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0D5" w:rsidRPr="00742B40" w:rsidRDefault="005A00D5" w:rsidP="005A00D5">
      <w:pPr>
        <w:rPr>
          <w:rFonts w:cs="Arial"/>
          <w:b/>
          <w:iCs/>
          <w:sz w:val="32"/>
          <w:szCs w:val="32"/>
        </w:rPr>
      </w:pPr>
    </w:p>
    <w:p w:rsidR="00F97BAD" w:rsidRPr="00742B40" w:rsidRDefault="00F97BAD" w:rsidP="005A00D5">
      <w:pPr>
        <w:rPr>
          <w:rFonts w:cs="Arial"/>
          <w:b/>
          <w:iCs/>
          <w:sz w:val="32"/>
          <w:szCs w:val="32"/>
        </w:rPr>
      </w:pPr>
    </w:p>
    <w:p w:rsidR="005A00D5" w:rsidRPr="00742B40" w:rsidRDefault="005A00D5" w:rsidP="005A00D5">
      <w:pPr>
        <w:rPr>
          <w:sz w:val="28"/>
        </w:rPr>
      </w:pPr>
    </w:p>
    <w:p w:rsidR="005A00D5" w:rsidRPr="00742B40" w:rsidRDefault="005A00D5" w:rsidP="005A00D5">
      <w:pPr>
        <w:rPr>
          <w:sz w:val="28"/>
        </w:rPr>
      </w:pPr>
    </w:p>
    <w:p w:rsidR="005A00D5" w:rsidRPr="00742B40" w:rsidRDefault="005A00D5" w:rsidP="005A00D5">
      <w:pPr>
        <w:rPr>
          <w:sz w:val="28"/>
        </w:rPr>
      </w:pPr>
    </w:p>
    <w:p w:rsidR="005A00D5" w:rsidRPr="00742B40" w:rsidRDefault="005A00D5" w:rsidP="005A00D5">
      <w:pPr>
        <w:rPr>
          <w:sz w:val="28"/>
        </w:rPr>
      </w:pPr>
    </w:p>
    <w:p w:rsidR="005A00D5" w:rsidRPr="00742B40" w:rsidRDefault="005A00D5" w:rsidP="005A00D5">
      <w:pPr>
        <w:rPr>
          <w:sz w:val="28"/>
        </w:rPr>
      </w:pPr>
    </w:p>
    <w:p w:rsidR="005A00D5" w:rsidRPr="00742B40" w:rsidRDefault="005A00D5" w:rsidP="005A00D5">
      <w:pPr>
        <w:rPr>
          <w:sz w:val="28"/>
        </w:rPr>
      </w:pPr>
    </w:p>
    <w:p w:rsidR="0037211A" w:rsidRPr="00742B40" w:rsidRDefault="0037211A" w:rsidP="005A00D5">
      <w:pPr>
        <w:rPr>
          <w:sz w:val="28"/>
        </w:rPr>
      </w:pPr>
    </w:p>
    <w:p w:rsidR="0037211A" w:rsidRPr="00742B40" w:rsidRDefault="0037211A" w:rsidP="005A00D5">
      <w:pPr>
        <w:rPr>
          <w:sz w:val="28"/>
        </w:rPr>
      </w:pPr>
    </w:p>
    <w:p w:rsidR="005A00D5" w:rsidRPr="00742B40" w:rsidRDefault="005A00D5" w:rsidP="005A00D5">
      <w:pPr>
        <w:rPr>
          <w:sz w:val="28"/>
        </w:rPr>
      </w:pPr>
    </w:p>
    <w:p w:rsidR="005A00D5" w:rsidRPr="00742B40" w:rsidRDefault="005A00D5" w:rsidP="005A00D5">
      <w:pPr>
        <w:rPr>
          <w:sz w:val="28"/>
        </w:rPr>
      </w:pPr>
    </w:p>
    <w:p w:rsidR="005A00D5" w:rsidRPr="00742B40" w:rsidRDefault="005A00D5" w:rsidP="005A00D5">
      <w:pPr>
        <w:rPr>
          <w:rFonts w:cs="Arial"/>
          <w:sz w:val="36"/>
          <w:szCs w:val="36"/>
        </w:rPr>
      </w:pPr>
    </w:p>
    <w:p w:rsidR="005A00D5" w:rsidRPr="00742B40" w:rsidRDefault="005A00D5" w:rsidP="005A00D5">
      <w:pPr>
        <w:jc w:val="center"/>
        <w:rPr>
          <w:rFonts w:cs="Arial"/>
          <w:b/>
          <w:sz w:val="36"/>
          <w:szCs w:val="36"/>
        </w:rPr>
      </w:pPr>
      <w:r w:rsidRPr="00742B40">
        <w:rPr>
          <w:rFonts w:cs="Arial"/>
          <w:b/>
          <w:sz w:val="36"/>
          <w:szCs w:val="36"/>
        </w:rPr>
        <w:t>I.</w:t>
      </w:r>
    </w:p>
    <w:p w:rsidR="005A00D5" w:rsidRPr="00742B40" w:rsidRDefault="005A00D5" w:rsidP="005A00D5">
      <w:pPr>
        <w:spacing w:line="360" w:lineRule="auto"/>
        <w:jc w:val="center"/>
        <w:rPr>
          <w:rFonts w:cs="Arial"/>
          <w:b/>
          <w:sz w:val="36"/>
          <w:szCs w:val="36"/>
        </w:rPr>
      </w:pPr>
    </w:p>
    <w:p w:rsidR="005A00D5" w:rsidRPr="00742B40" w:rsidRDefault="005A00D5" w:rsidP="005A00D5">
      <w:pPr>
        <w:spacing w:line="360" w:lineRule="auto"/>
        <w:jc w:val="center"/>
        <w:rPr>
          <w:rFonts w:cs="Arial"/>
          <w:b/>
          <w:sz w:val="36"/>
          <w:szCs w:val="36"/>
        </w:rPr>
      </w:pPr>
    </w:p>
    <w:p w:rsidR="005A00D5" w:rsidRPr="00742B40" w:rsidRDefault="005A00D5" w:rsidP="005A00D5">
      <w:pPr>
        <w:spacing w:line="360" w:lineRule="auto"/>
        <w:jc w:val="center"/>
        <w:rPr>
          <w:rFonts w:cs="Arial"/>
          <w:b/>
          <w:sz w:val="36"/>
          <w:szCs w:val="36"/>
        </w:rPr>
      </w:pPr>
      <w:r w:rsidRPr="00742B40">
        <w:rPr>
          <w:rFonts w:cs="Arial"/>
          <w:b/>
          <w:sz w:val="36"/>
          <w:szCs w:val="36"/>
        </w:rPr>
        <w:t xml:space="preserve">Analýza </w:t>
      </w:r>
    </w:p>
    <w:p w:rsidR="005A00D5" w:rsidRPr="00742B40" w:rsidRDefault="005A00D5" w:rsidP="005A00D5">
      <w:pPr>
        <w:spacing w:line="360" w:lineRule="auto"/>
        <w:jc w:val="center"/>
        <w:rPr>
          <w:rFonts w:cs="Arial"/>
          <w:b/>
          <w:sz w:val="36"/>
          <w:szCs w:val="36"/>
        </w:rPr>
      </w:pPr>
      <w:r w:rsidRPr="00742B40">
        <w:rPr>
          <w:rFonts w:cs="Arial"/>
          <w:b/>
          <w:sz w:val="36"/>
          <w:szCs w:val="36"/>
        </w:rPr>
        <w:t>vývoje příjmů a výdajů domácností ČR</w:t>
      </w:r>
    </w:p>
    <w:p w:rsidR="005A00D5" w:rsidRPr="00742B40" w:rsidRDefault="005A00D5" w:rsidP="005A00D5">
      <w:pPr>
        <w:spacing w:line="360" w:lineRule="auto"/>
        <w:jc w:val="center"/>
        <w:rPr>
          <w:rFonts w:cs="Arial"/>
          <w:b/>
          <w:sz w:val="36"/>
          <w:szCs w:val="36"/>
        </w:rPr>
      </w:pPr>
      <w:r w:rsidRPr="00742B40">
        <w:rPr>
          <w:rFonts w:cs="Arial"/>
          <w:b/>
          <w:sz w:val="36"/>
          <w:szCs w:val="36"/>
        </w:rPr>
        <w:t>v roce 201</w:t>
      </w:r>
      <w:r w:rsidR="00C32FC3" w:rsidRPr="00742B40">
        <w:rPr>
          <w:rFonts w:cs="Arial"/>
          <w:b/>
          <w:sz w:val="36"/>
          <w:szCs w:val="36"/>
        </w:rPr>
        <w:t>6</w:t>
      </w:r>
      <w:r w:rsidRPr="00742B40">
        <w:rPr>
          <w:rFonts w:cs="Arial"/>
          <w:b/>
          <w:sz w:val="36"/>
          <w:szCs w:val="36"/>
        </w:rPr>
        <w:t xml:space="preserve"> a predikce na další období</w:t>
      </w:r>
    </w:p>
    <w:p w:rsidR="005A00D5" w:rsidRPr="00742B40" w:rsidRDefault="005A00D5" w:rsidP="005A00D5">
      <w:pPr>
        <w:rPr>
          <w:rFonts w:cs="Arial"/>
          <w:b/>
          <w:sz w:val="36"/>
          <w:szCs w:val="36"/>
        </w:rPr>
      </w:pPr>
    </w:p>
    <w:p w:rsidR="005A00D5" w:rsidRPr="00742B40" w:rsidRDefault="005A00D5" w:rsidP="005A00D5">
      <w:pPr>
        <w:jc w:val="center"/>
        <w:rPr>
          <w:rFonts w:cs="Arial"/>
          <w:b/>
          <w:iCs/>
          <w:sz w:val="36"/>
          <w:szCs w:val="36"/>
        </w:rPr>
      </w:pPr>
      <w:r w:rsidRPr="00742B40">
        <w:rPr>
          <w:rFonts w:cs="Arial"/>
          <w:b/>
          <w:iCs/>
          <w:sz w:val="36"/>
          <w:szCs w:val="36"/>
        </w:rPr>
        <w:t>(textová část)</w:t>
      </w:r>
    </w:p>
    <w:p w:rsidR="005A00D5" w:rsidRPr="00742B40" w:rsidRDefault="005A00D5" w:rsidP="005A00D5">
      <w:pPr>
        <w:spacing w:line="360" w:lineRule="auto"/>
        <w:jc w:val="both"/>
        <w:rPr>
          <w:i/>
          <w:iCs/>
          <w:u w:val="single"/>
        </w:rPr>
      </w:pPr>
    </w:p>
    <w:p w:rsidR="005A00D5" w:rsidRPr="00742B40" w:rsidRDefault="005A00D5" w:rsidP="005A00D5">
      <w:pPr>
        <w:spacing w:line="360" w:lineRule="auto"/>
        <w:jc w:val="both"/>
        <w:rPr>
          <w:i/>
          <w:iCs/>
          <w:u w:val="single"/>
        </w:rPr>
      </w:pPr>
    </w:p>
    <w:p w:rsidR="005A00D5" w:rsidRPr="00742B40" w:rsidRDefault="005A00D5" w:rsidP="005A00D5">
      <w:pPr>
        <w:spacing w:line="360" w:lineRule="auto"/>
        <w:jc w:val="both"/>
        <w:rPr>
          <w:i/>
          <w:iCs/>
          <w:u w:val="single"/>
        </w:rPr>
      </w:pPr>
    </w:p>
    <w:p w:rsidR="005A00D5" w:rsidRPr="00C32FC3" w:rsidRDefault="005A00D5" w:rsidP="005A00D5">
      <w:pPr>
        <w:spacing w:line="360" w:lineRule="auto"/>
        <w:jc w:val="both"/>
        <w:rPr>
          <w:i/>
          <w:iCs/>
          <w:color w:val="FF0000"/>
          <w:u w:val="single"/>
        </w:rPr>
        <w:sectPr w:rsidR="005A00D5" w:rsidRPr="00C32FC3" w:rsidSect="005A00D5">
          <w:footerReference w:type="default" r:id="rId9"/>
          <w:pgSz w:w="11906" w:h="16838"/>
          <w:pgMar w:top="1417" w:right="1417" w:bottom="1417" w:left="1417" w:header="708" w:footer="708" w:gutter="0"/>
          <w:pgNumType w:start="2"/>
          <w:cols w:space="708"/>
        </w:sectPr>
      </w:pPr>
    </w:p>
    <w:p w:rsidR="00094D6B" w:rsidRPr="0071612E" w:rsidRDefault="00094D6B" w:rsidP="005A00D5">
      <w:pPr>
        <w:pStyle w:val="Nadpis1"/>
        <w:numPr>
          <w:ilvl w:val="0"/>
          <w:numId w:val="0"/>
        </w:numPr>
        <w:jc w:val="center"/>
        <w:rPr>
          <w:i/>
          <w:iCs/>
          <w:sz w:val="40"/>
        </w:rPr>
      </w:pPr>
    </w:p>
    <w:p w:rsidR="005A00D5" w:rsidRPr="0071612E" w:rsidRDefault="005A00D5" w:rsidP="005A00D5">
      <w:pPr>
        <w:pStyle w:val="Nadpis1"/>
        <w:numPr>
          <w:ilvl w:val="0"/>
          <w:numId w:val="0"/>
        </w:numPr>
        <w:jc w:val="center"/>
        <w:rPr>
          <w:i/>
          <w:iCs/>
          <w:sz w:val="40"/>
        </w:rPr>
      </w:pPr>
      <w:r w:rsidRPr="0071612E">
        <w:rPr>
          <w:i/>
          <w:iCs/>
          <w:sz w:val="40"/>
        </w:rPr>
        <w:t>Obsah</w:t>
      </w:r>
    </w:p>
    <w:p w:rsidR="005A00D5" w:rsidRPr="0071612E" w:rsidRDefault="005A00D5" w:rsidP="005A00D5">
      <w:pPr>
        <w:tabs>
          <w:tab w:val="center" w:pos="8222"/>
        </w:tabs>
        <w:jc w:val="both"/>
      </w:pPr>
    </w:p>
    <w:p w:rsidR="005A00D5" w:rsidRPr="0071612E" w:rsidRDefault="005A00D5" w:rsidP="005A00D5">
      <w:pPr>
        <w:tabs>
          <w:tab w:val="center" w:pos="8222"/>
        </w:tabs>
        <w:spacing w:line="360" w:lineRule="auto"/>
        <w:jc w:val="both"/>
      </w:pPr>
      <w:r w:rsidRPr="0071612E">
        <w:tab/>
        <w:t>strana</w:t>
      </w:r>
    </w:p>
    <w:p w:rsidR="005A00D5" w:rsidRPr="0071612E" w:rsidRDefault="005A00D5" w:rsidP="005A00D5">
      <w:pPr>
        <w:tabs>
          <w:tab w:val="decimal" w:pos="8222"/>
        </w:tabs>
        <w:spacing w:line="360" w:lineRule="auto"/>
        <w:jc w:val="both"/>
      </w:pPr>
    </w:p>
    <w:p w:rsidR="005A00D5" w:rsidRPr="0071612E" w:rsidRDefault="005A00D5" w:rsidP="005A00D5">
      <w:pPr>
        <w:tabs>
          <w:tab w:val="left" w:pos="284"/>
          <w:tab w:val="left" w:pos="567"/>
          <w:tab w:val="left" w:pos="851"/>
          <w:tab w:val="decimal" w:leader="dot" w:pos="8222"/>
        </w:tabs>
        <w:spacing w:line="360" w:lineRule="auto"/>
        <w:ind w:left="284"/>
        <w:jc w:val="both"/>
        <w:rPr>
          <w:i/>
        </w:rPr>
      </w:pPr>
      <w:r w:rsidRPr="0071612E">
        <w:rPr>
          <w:b/>
          <w:bCs/>
        </w:rPr>
        <w:t>Metodika a zdroje použitých dat</w:t>
      </w:r>
      <w:r w:rsidRPr="0071612E">
        <w:tab/>
      </w:r>
      <w:r w:rsidR="005C0497" w:rsidRPr="0071612E">
        <w:t>1</w:t>
      </w:r>
    </w:p>
    <w:p w:rsidR="005A00D5" w:rsidRPr="0071612E" w:rsidRDefault="005A00D5" w:rsidP="005A00D5">
      <w:pPr>
        <w:pStyle w:val="Nadpis9"/>
        <w:numPr>
          <w:ilvl w:val="0"/>
          <w:numId w:val="0"/>
        </w:numPr>
        <w:ind w:left="360"/>
        <w:rPr>
          <w:i/>
        </w:rPr>
      </w:pPr>
    </w:p>
    <w:p w:rsidR="005A00D5" w:rsidRPr="0071612E" w:rsidRDefault="005A00D5" w:rsidP="005A00D5">
      <w:pPr>
        <w:pStyle w:val="Nadpis9"/>
        <w:keepNext/>
        <w:numPr>
          <w:ilvl w:val="0"/>
          <w:numId w:val="0"/>
        </w:numPr>
        <w:tabs>
          <w:tab w:val="left" w:pos="284"/>
          <w:tab w:val="left" w:pos="851"/>
          <w:tab w:val="decimal" w:leader="dot" w:pos="8222"/>
        </w:tabs>
        <w:spacing w:before="0" w:after="0" w:line="360" w:lineRule="auto"/>
        <w:ind w:left="360"/>
        <w:jc w:val="both"/>
        <w:rPr>
          <w:b/>
          <w:sz w:val="24"/>
          <w:szCs w:val="24"/>
        </w:rPr>
      </w:pPr>
      <w:r w:rsidRPr="0071612E">
        <w:rPr>
          <w:b/>
          <w:sz w:val="24"/>
          <w:szCs w:val="24"/>
        </w:rPr>
        <w:t xml:space="preserve">A. Základní charakteristika příjmové a výdajové situace </w:t>
      </w:r>
      <w:r w:rsidR="00094D6B" w:rsidRPr="0071612E">
        <w:rPr>
          <w:b/>
          <w:sz w:val="24"/>
          <w:szCs w:val="24"/>
        </w:rPr>
        <w:t>domácností</w:t>
      </w:r>
    </w:p>
    <w:p w:rsidR="005A00D5" w:rsidRPr="0071612E" w:rsidRDefault="005A00D5" w:rsidP="005A00D5">
      <w:pPr>
        <w:tabs>
          <w:tab w:val="left" w:pos="284"/>
          <w:tab w:val="left" w:pos="567"/>
          <w:tab w:val="left" w:pos="851"/>
          <w:tab w:val="decimal" w:leader="dot" w:pos="8222"/>
        </w:tabs>
        <w:spacing w:line="360" w:lineRule="auto"/>
        <w:ind w:left="360"/>
        <w:jc w:val="both"/>
      </w:pPr>
      <w:r w:rsidRPr="0071612E">
        <w:rPr>
          <w:b/>
          <w:szCs w:val="24"/>
        </w:rPr>
        <w:t xml:space="preserve">     v roce 201</w:t>
      </w:r>
      <w:r w:rsidR="00C32FC3" w:rsidRPr="0071612E">
        <w:rPr>
          <w:b/>
          <w:szCs w:val="24"/>
        </w:rPr>
        <w:t>6</w:t>
      </w:r>
      <w:r w:rsidRPr="0071612E">
        <w:rPr>
          <w:szCs w:val="24"/>
        </w:rPr>
        <w:tab/>
      </w:r>
      <w:r w:rsidR="005C0497" w:rsidRPr="0071612E">
        <w:rPr>
          <w:szCs w:val="24"/>
        </w:rPr>
        <w:t>2</w:t>
      </w:r>
    </w:p>
    <w:p w:rsidR="005A00D5" w:rsidRPr="0071612E" w:rsidRDefault="005A00D5" w:rsidP="005A00D5">
      <w:pPr>
        <w:tabs>
          <w:tab w:val="decimal" w:pos="8222"/>
        </w:tabs>
        <w:spacing w:line="360" w:lineRule="auto"/>
        <w:jc w:val="both"/>
      </w:pPr>
    </w:p>
    <w:p w:rsidR="00094D6B" w:rsidRPr="0071612E" w:rsidRDefault="00094D6B" w:rsidP="005A00D5">
      <w:pPr>
        <w:tabs>
          <w:tab w:val="decimal" w:pos="8222"/>
        </w:tabs>
        <w:spacing w:line="360" w:lineRule="auto"/>
        <w:jc w:val="both"/>
      </w:pPr>
    </w:p>
    <w:p w:rsidR="005A00D5" w:rsidRPr="0071612E" w:rsidRDefault="005A00D5" w:rsidP="005A00D5">
      <w:pPr>
        <w:tabs>
          <w:tab w:val="decimal" w:pos="8222"/>
        </w:tabs>
        <w:spacing w:line="360" w:lineRule="auto"/>
        <w:ind w:left="142" w:hanging="142"/>
        <w:jc w:val="both"/>
        <w:rPr>
          <w:b/>
        </w:rPr>
      </w:pPr>
      <w:r w:rsidRPr="0071612E">
        <w:t xml:space="preserve">     </w:t>
      </w:r>
      <w:r w:rsidRPr="0071612E">
        <w:rPr>
          <w:b/>
        </w:rPr>
        <w:t>B.</w:t>
      </w:r>
      <w:r w:rsidRPr="0071612E">
        <w:t xml:space="preserve"> </w:t>
      </w:r>
      <w:r w:rsidRPr="0071612E">
        <w:rPr>
          <w:b/>
        </w:rPr>
        <w:t>Vývoj rozhodujících skupin příjmů, životních nákladů, výdajů,</w:t>
      </w:r>
    </w:p>
    <w:p w:rsidR="00FA6FF3" w:rsidRPr="0071612E" w:rsidRDefault="005A00D5" w:rsidP="00FA6FF3">
      <w:pPr>
        <w:tabs>
          <w:tab w:val="left" w:pos="284"/>
          <w:tab w:val="left" w:pos="567"/>
          <w:tab w:val="left" w:pos="851"/>
          <w:tab w:val="decimal" w:leader="dot" w:pos="8222"/>
        </w:tabs>
        <w:spacing w:line="360" w:lineRule="auto"/>
        <w:ind w:left="567" w:hanging="567"/>
        <w:jc w:val="both"/>
      </w:pPr>
      <w:r w:rsidRPr="0071612E">
        <w:rPr>
          <w:b/>
        </w:rPr>
        <w:t xml:space="preserve">          úvěrů a úspor domácností </w:t>
      </w:r>
      <w:r w:rsidRPr="0071612E">
        <w:t>(podrobnější zhodnocení)</w:t>
      </w:r>
      <w:r w:rsidR="00094D6B" w:rsidRPr="0071612E">
        <w:tab/>
      </w:r>
      <w:r w:rsidR="0071612E" w:rsidRPr="0071612E">
        <w:t>5</w:t>
      </w:r>
    </w:p>
    <w:p w:rsidR="005A00D5" w:rsidRPr="0071612E" w:rsidRDefault="005A00D5" w:rsidP="005A00D5">
      <w:pPr>
        <w:tabs>
          <w:tab w:val="decimal" w:pos="8222"/>
        </w:tabs>
        <w:ind w:left="284" w:hanging="284"/>
        <w:jc w:val="both"/>
        <w:rPr>
          <w:b/>
        </w:rPr>
      </w:pPr>
    </w:p>
    <w:p w:rsidR="005A00D5" w:rsidRPr="0071612E" w:rsidRDefault="005A00D5" w:rsidP="005A00D5">
      <w:pPr>
        <w:tabs>
          <w:tab w:val="left" w:pos="284"/>
          <w:tab w:val="left" w:pos="567"/>
          <w:tab w:val="left" w:pos="851"/>
          <w:tab w:val="decimal" w:leader="dot" w:pos="8222"/>
        </w:tabs>
        <w:spacing w:line="360" w:lineRule="auto"/>
        <w:ind w:left="567" w:hanging="567"/>
        <w:jc w:val="both"/>
      </w:pPr>
      <w:r w:rsidRPr="0071612E">
        <w:tab/>
        <w:t xml:space="preserve">     </w:t>
      </w:r>
      <w:r w:rsidRPr="0071612E">
        <w:rPr>
          <w:b/>
          <w:bCs/>
        </w:rPr>
        <w:t>1</w:t>
      </w:r>
      <w:r w:rsidRPr="0071612E">
        <w:rPr>
          <w:b/>
        </w:rPr>
        <w:t>.   Příjmy domácností</w:t>
      </w:r>
      <w:r w:rsidR="0071612E" w:rsidRPr="0071612E">
        <w:tab/>
        <w:t>5</w:t>
      </w:r>
    </w:p>
    <w:p w:rsidR="005A00D5" w:rsidRPr="0071612E" w:rsidRDefault="005A00D5" w:rsidP="005A00D5">
      <w:pPr>
        <w:tabs>
          <w:tab w:val="left" w:pos="567"/>
          <w:tab w:val="left" w:pos="709"/>
          <w:tab w:val="decimal" w:leader="dot" w:pos="8222"/>
        </w:tabs>
        <w:spacing w:line="360" w:lineRule="auto"/>
        <w:ind w:left="709" w:hanging="426"/>
        <w:jc w:val="both"/>
      </w:pPr>
      <w:r w:rsidRPr="0071612E">
        <w:tab/>
        <w:t xml:space="preserve"> </w:t>
      </w:r>
      <w:proofErr w:type="gramStart"/>
      <w:r w:rsidRPr="0071612E">
        <w:t>1</w:t>
      </w:r>
      <w:r w:rsidR="005C0497" w:rsidRPr="0071612E">
        <w:t>. 1  Základní</w:t>
      </w:r>
      <w:proofErr w:type="gramEnd"/>
      <w:r w:rsidR="005C0497" w:rsidRPr="0071612E">
        <w:t xml:space="preserve"> charakteristika </w:t>
      </w:r>
      <w:r w:rsidR="0071612E" w:rsidRPr="0071612E">
        <w:tab/>
        <w:t>5</w:t>
      </w:r>
    </w:p>
    <w:p w:rsidR="005A00D5" w:rsidRPr="0071612E" w:rsidRDefault="005C0497" w:rsidP="005A00D5">
      <w:pPr>
        <w:tabs>
          <w:tab w:val="left" w:pos="284"/>
          <w:tab w:val="left" w:pos="567"/>
          <w:tab w:val="left" w:pos="851"/>
          <w:tab w:val="decimal" w:leader="dot" w:pos="8222"/>
        </w:tabs>
        <w:spacing w:line="360" w:lineRule="auto"/>
        <w:jc w:val="both"/>
      </w:pPr>
      <w:r w:rsidRPr="0071612E">
        <w:tab/>
      </w:r>
      <w:r w:rsidRPr="0071612E">
        <w:tab/>
        <w:t xml:space="preserve"> </w:t>
      </w:r>
      <w:proofErr w:type="gramStart"/>
      <w:r w:rsidR="0071612E" w:rsidRPr="0071612E">
        <w:t>1. 2  Mzdy</w:t>
      </w:r>
      <w:proofErr w:type="gramEnd"/>
      <w:r w:rsidR="0071612E" w:rsidRPr="0071612E">
        <w:tab/>
        <w:t>8</w:t>
      </w:r>
    </w:p>
    <w:p w:rsidR="00375344" w:rsidRPr="0071612E" w:rsidRDefault="00375344" w:rsidP="005A00D5">
      <w:pPr>
        <w:tabs>
          <w:tab w:val="left" w:pos="284"/>
          <w:tab w:val="left" w:pos="567"/>
          <w:tab w:val="left" w:pos="851"/>
          <w:tab w:val="decimal" w:leader="dot" w:pos="8222"/>
        </w:tabs>
        <w:spacing w:line="360" w:lineRule="auto"/>
        <w:jc w:val="both"/>
        <w:rPr>
          <w:b/>
          <w:bCs/>
          <w:i/>
          <w:iCs/>
        </w:rPr>
      </w:pPr>
      <w:r w:rsidRPr="0071612E">
        <w:tab/>
      </w:r>
      <w:r w:rsidRPr="0071612E">
        <w:tab/>
      </w:r>
      <w:r w:rsidRPr="0071612E">
        <w:tab/>
        <w:t>1. 2. 1. Poznatky z Informačníh</w:t>
      </w:r>
      <w:r w:rsidR="005C0497" w:rsidRPr="0071612E">
        <w:t>o systému o průměrném výdělku</w:t>
      </w:r>
      <w:r w:rsidR="005C0497" w:rsidRPr="0071612E">
        <w:tab/>
      </w:r>
      <w:r w:rsidR="0071612E" w:rsidRPr="0071612E">
        <w:t>17</w:t>
      </w:r>
    </w:p>
    <w:p w:rsidR="005A00D5" w:rsidRPr="0071612E" w:rsidRDefault="005C0497" w:rsidP="005A00D5">
      <w:pPr>
        <w:tabs>
          <w:tab w:val="left" w:pos="284"/>
          <w:tab w:val="left" w:pos="567"/>
          <w:tab w:val="left" w:pos="851"/>
          <w:tab w:val="decimal" w:leader="dot" w:pos="8222"/>
        </w:tabs>
        <w:spacing w:line="360" w:lineRule="auto"/>
        <w:jc w:val="both"/>
      </w:pPr>
      <w:r w:rsidRPr="0071612E">
        <w:tab/>
      </w:r>
      <w:r w:rsidRPr="0071612E">
        <w:tab/>
        <w:t xml:space="preserve"> </w:t>
      </w:r>
      <w:proofErr w:type="gramStart"/>
      <w:r w:rsidRPr="0071612E">
        <w:t>1. 3  Sociální</w:t>
      </w:r>
      <w:proofErr w:type="gramEnd"/>
      <w:r w:rsidRPr="0071612E">
        <w:t xml:space="preserve"> příjmy</w:t>
      </w:r>
      <w:r w:rsidRPr="0071612E">
        <w:tab/>
        <w:t>2</w:t>
      </w:r>
      <w:r w:rsidR="0071612E" w:rsidRPr="0071612E">
        <w:t>1</w:t>
      </w:r>
    </w:p>
    <w:p w:rsidR="005A00D5" w:rsidRPr="0071612E" w:rsidRDefault="005C0497" w:rsidP="005A00D5">
      <w:pPr>
        <w:tabs>
          <w:tab w:val="left" w:pos="284"/>
          <w:tab w:val="left" w:pos="567"/>
          <w:tab w:val="left" w:pos="851"/>
          <w:tab w:val="decimal" w:leader="dot" w:pos="8222"/>
        </w:tabs>
        <w:spacing w:line="360" w:lineRule="auto"/>
        <w:jc w:val="both"/>
      </w:pPr>
      <w:r w:rsidRPr="0071612E">
        <w:tab/>
      </w:r>
      <w:r w:rsidRPr="0071612E">
        <w:tab/>
        <w:t xml:space="preserve"> </w:t>
      </w:r>
      <w:proofErr w:type="gramStart"/>
      <w:r w:rsidRPr="0071612E">
        <w:t>1. 4  Ostatní</w:t>
      </w:r>
      <w:proofErr w:type="gramEnd"/>
      <w:r w:rsidRPr="0071612E">
        <w:t xml:space="preserve"> příjmy</w:t>
      </w:r>
      <w:r w:rsidRPr="0071612E">
        <w:tab/>
        <w:t>3</w:t>
      </w:r>
      <w:r w:rsidR="0071612E" w:rsidRPr="0071612E">
        <w:t>1</w:t>
      </w:r>
    </w:p>
    <w:p w:rsidR="005A00D5" w:rsidRPr="0071612E" w:rsidRDefault="005A00D5" w:rsidP="005A00D5">
      <w:pPr>
        <w:tabs>
          <w:tab w:val="left" w:pos="284"/>
          <w:tab w:val="left" w:pos="567"/>
          <w:tab w:val="left" w:pos="851"/>
          <w:tab w:val="decimal" w:leader="dot" w:pos="8222"/>
        </w:tabs>
        <w:spacing w:line="360" w:lineRule="auto"/>
        <w:jc w:val="both"/>
      </w:pPr>
      <w:r w:rsidRPr="0071612E">
        <w:tab/>
      </w:r>
      <w:r w:rsidRPr="0071612E">
        <w:tab/>
      </w:r>
    </w:p>
    <w:p w:rsidR="005A00D5" w:rsidRPr="0071612E" w:rsidRDefault="005A00D5" w:rsidP="005A00D5">
      <w:pPr>
        <w:tabs>
          <w:tab w:val="left" w:pos="284"/>
          <w:tab w:val="left" w:pos="567"/>
          <w:tab w:val="left" w:pos="851"/>
          <w:tab w:val="decimal" w:leader="dot" w:pos="8222"/>
        </w:tabs>
        <w:spacing w:line="360" w:lineRule="auto"/>
        <w:jc w:val="both"/>
        <w:rPr>
          <w:bCs/>
          <w:i/>
          <w:iCs/>
        </w:rPr>
      </w:pPr>
      <w:r w:rsidRPr="0071612E">
        <w:t xml:space="preserve">         </w:t>
      </w:r>
      <w:r w:rsidRPr="0071612E">
        <w:rPr>
          <w:b/>
          <w:bCs/>
        </w:rPr>
        <w:t>2.   Spotřebitelské ceny a životní náklady</w:t>
      </w:r>
      <w:r w:rsidR="005C0497" w:rsidRPr="0071612E">
        <w:tab/>
        <w:t>3</w:t>
      </w:r>
      <w:r w:rsidR="0071612E" w:rsidRPr="0071612E">
        <w:t>3</w:t>
      </w:r>
    </w:p>
    <w:p w:rsidR="005A00D5" w:rsidRPr="0071612E" w:rsidRDefault="005A00D5" w:rsidP="005A00D5">
      <w:pPr>
        <w:tabs>
          <w:tab w:val="left" w:pos="284"/>
          <w:tab w:val="left" w:pos="567"/>
          <w:tab w:val="left" w:pos="851"/>
          <w:tab w:val="decimal" w:leader="dot" w:pos="8222"/>
        </w:tabs>
        <w:spacing w:line="360" w:lineRule="auto"/>
        <w:jc w:val="both"/>
        <w:rPr>
          <w:bCs/>
          <w:i/>
          <w:iCs/>
        </w:rPr>
      </w:pPr>
      <w:r w:rsidRPr="0071612E">
        <w:rPr>
          <w:bCs/>
          <w:i/>
          <w:iCs/>
        </w:rPr>
        <w:t xml:space="preserve">         </w:t>
      </w:r>
    </w:p>
    <w:p w:rsidR="005A00D5" w:rsidRPr="0071612E" w:rsidRDefault="005A00D5" w:rsidP="005A00D5">
      <w:pPr>
        <w:tabs>
          <w:tab w:val="left" w:pos="284"/>
          <w:tab w:val="left" w:pos="567"/>
          <w:tab w:val="left" w:pos="851"/>
          <w:tab w:val="decimal" w:leader="dot" w:pos="8222"/>
        </w:tabs>
        <w:spacing w:line="360" w:lineRule="auto"/>
        <w:jc w:val="both"/>
      </w:pPr>
      <w:r w:rsidRPr="0071612E">
        <w:tab/>
      </w:r>
      <w:r w:rsidRPr="0071612E">
        <w:tab/>
      </w:r>
      <w:r w:rsidRPr="0071612E">
        <w:rPr>
          <w:b/>
        </w:rPr>
        <w:t>3.   Peněžní výdaje, úvěry a úspory domácností</w:t>
      </w:r>
      <w:r w:rsidR="005C0497" w:rsidRPr="0071612E">
        <w:tab/>
      </w:r>
      <w:r w:rsidR="00E71F2B" w:rsidRPr="0071612E">
        <w:t>3</w:t>
      </w:r>
      <w:r w:rsidR="0071612E" w:rsidRPr="0071612E">
        <w:t>6</w:t>
      </w:r>
    </w:p>
    <w:p w:rsidR="005A00D5" w:rsidRPr="0071612E" w:rsidRDefault="005A00D5" w:rsidP="00391DAA">
      <w:pPr>
        <w:numPr>
          <w:ilvl w:val="0"/>
          <w:numId w:val="3"/>
        </w:numPr>
        <w:tabs>
          <w:tab w:val="left" w:pos="284"/>
          <w:tab w:val="left" w:pos="567"/>
          <w:tab w:val="left" w:pos="851"/>
          <w:tab w:val="decimal" w:leader="dot" w:pos="8222"/>
        </w:tabs>
        <w:spacing w:line="360" w:lineRule="auto"/>
        <w:ind w:left="709" w:hanging="79"/>
        <w:jc w:val="both"/>
      </w:pPr>
      <w:r w:rsidRPr="0071612E">
        <w:t xml:space="preserve">1 </w:t>
      </w:r>
      <w:proofErr w:type="gramStart"/>
      <w:r w:rsidRPr="0071612E">
        <w:t>Peněžní</w:t>
      </w:r>
      <w:proofErr w:type="gramEnd"/>
      <w:r w:rsidR="005C0497" w:rsidRPr="0071612E">
        <w:t xml:space="preserve"> výdaje</w:t>
      </w:r>
      <w:r w:rsidR="00094D6B" w:rsidRPr="0071612E">
        <w:tab/>
      </w:r>
      <w:r w:rsidR="00E71F2B" w:rsidRPr="0071612E">
        <w:t>3</w:t>
      </w:r>
      <w:r w:rsidR="0071612E" w:rsidRPr="0071612E">
        <w:t>6</w:t>
      </w:r>
    </w:p>
    <w:p w:rsidR="005A00D5" w:rsidRPr="0071612E" w:rsidRDefault="005A00D5" w:rsidP="005A00D5">
      <w:pPr>
        <w:tabs>
          <w:tab w:val="left" w:pos="284"/>
          <w:tab w:val="left" w:pos="567"/>
          <w:tab w:val="left" w:pos="851"/>
          <w:tab w:val="decimal" w:leader="dot" w:pos="8222"/>
        </w:tabs>
        <w:spacing w:line="360" w:lineRule="auto"/>
        <w:ind w:left="630"/>
        <w:jc w:val="both"/>
      </w:pPr>
      <w:r w:rsidRPr="0071612E">
        <w:t>3. 2 Peněžní úvě</w:t>
      </w:r>
      <w:r w:rsidR="00094D6B" w:rsidRPr="0071612E">
        <w:t>ry, půjčky</w:t>
      </w:r>
      <w:r w:rsidR="00094D6B" w:rsidRPr="0071612E">
        <w:tab/>
      </w:r>
      <w:r w:rsidR="0071612E" w:rsidRPr="0071612E">
        <w:t>37</w:t>
      </w:r>
    </w:p>
    <w:p w:rsidR="005A00D5" w:rsidRPr="0071612E" w:rsidRDefault="005A00D5" w:rsidP="00391DAA">
      <w:pPr>
        <w:numPr>
          <w:ilvl w:val="0"/>
          <w:numId w:val="4"/>
        </w:numPr>
        <w:tabs>
          <w:tab w:val="left" w:pos="284"/>
          <w:tab w:val="left" w:pos="567"/>
          <w:tab w:val="left" w:pos="851"/>
          <w:tab w:val="decimal" w:leader="dot" w:pos="8222"/>
        </w:tabs>
        <w:spacing w:line="360" w:lineRule="auto"/>
        <w:ind w:left="709" w:hanging="79"/>
        <w:jc w:val="both"/>
      </w:pPr>
      <w:r w:rsidRPr="0071612E">
        <w:t>3 Ús</w:t>
      </w:r>
      <w:r w:rsidR="00094D6B" w:rsidRPr="0071612E">
        <w:t>pory</w:t>
      </w:r>
      <w:r w:rsidR="00094D6B" w:rsidRPr="0071612E">
        <w:tab/>
      </w:r>
      <w:r w:rsidR="0071612E" w:rsidRPr="0071612E">
        <w:t>39</w:t>
      </w:r>
    </w:p>
    <w:p w:rsidR="005A00D5" w:rsidRPr="0071612E" w:rsidRDefault="005A00D5" w:rsidP="00094D6B">
      <w:pPr>
        <w:tabs>
          <w:tab w:val="left" w:pos="284"/>
          <w:tab w:val="left" w:pos="567"/>
          <w:tab w:val="left" w:pos="851"/>
          <w:tab w:val="decimal" w:leader="dot" w:pos="8222"/>
        </w:tabs>
        <w:spacing w:line="360" w:lineRule="auto"/>
        <w:jc w:val="both"/>
      </w:pPr>
    </w:p>
    <w:p w:rsidR="005A00D5" w:rsidRPr="0071612E" w:rsidRDefault="005A00D5" w:rsidP="005A00D5">
      <w:pPr>
        <w:tabs>
          <w:tab w:val="left" w:pos="284"/>
          <w:tab w:val="left" w:pos="567"/>
          <w:tab w:val="left" w:pos="851"/>
          <w:tab w:val="decimal" w:leader="dot" w:pos="8222"/>
        </w:tabs>
        <w:spacing w:line="360" w:lineRule="auto"/>
        <w:jc w:val="both"/>
      </w:pPr>
    </w:p>
    <w:p w:rsidR="005A00D5" w:rsidRPr="0071612E" w:rsidRDefault="005A00D5" w:rsidP="005A00D5">
      <w:pPr>
        <w:tabs>
          <w:tab w:val="left" w:pos="284"/>
          <w:tab w:val="left" w:pos="567"/>
          <w:tab w:val="left" w:pos="851"/>
          <w:tab w:val="decimal" w:leader="dot" w:pos="8222"/>
        </w:tabs>
        <w:spacing w:line="360" w:lineRule="auto"/>
        <w:jc w:val="both"/>
      </w:pPr>
      <w:r w:rsidRPr="0071612E">
        <w:rPr>
          <w:b/>
          <w:bCs/>
        </w:rPr>
        <w:t xml:space="preserve">     C. Vývoj na počátku roku 201</w:t>
      </w:r>
      <w:r w:rsidR="00757768" w:rsidRPr="0071612E">
        <w:rPr>
          <w:b/>
          <w:bCs/>
        </w:rPr>
        <w:t>6</w:t>
      </w:r>
      <w:r w:rsidRPr="0071612E">
        <w:rPr>
          <w:b/>
          <w:bCs/>
        </w:rPr>
        <w:t xml:space="preserve"> a predikce na </w:t>
      </w:r>
      <w:r w:rsidR="003030BE" w:rsidRPr="0071612E">
        <w:rPr>
          <w:b/>
          <w:bCs/>
        </w:rPr>
        <w:t>léta 201</w:t>
      </w:r>
      <w:r w:rsidR="00C32FC3" w:rsidRPr="0071612E">
        <w:rPr>
          <w:b/>
          <w:bCs/>
        </w:rPr>
        <w:t>7</w:t>
      </w:r>
      <w:r w:rsidR="003030BE" w:rsidRPr="0071612E">
        <w:rPr>
          <w:b/>
          <w:bCs/>
        </w:rPr>
        <w:t xml:space="preserve"> až 201</w:t>
      </w:r>
      <w:r w:rsidR="00C32FC3" w:rsidRPr="0071612E">
        <w:rPr>
          <w:b/>
          <w:bCs/>
        </w:rPr>
        <w:t>8</w:t>
      </w:r>
      <w:r w:rsidR="005C0497" w:rsidRPr="0071612E">
        <w:tab/>
        <w:t>4</w:t>
      </w:r>
      <w:r w:rsidR="0071612E" w:rsidRPr="0071612E">
        <w:t>1</w:t>
      </w:r>
    </w:p>
    <w:p w:rsidR="005A00D5" w:rsidRPr="0071612E" w:rsidRDefault="005A00D5" w:rsidP="005A00D5">
      <w:pPr>
        <w:tabs>
          <w:tab w:val="left" w:pos="284"/>
          <w:tab w:val="left" w:pos="567"/>
          <w:tab w:val="left" w:pos="851"/>
          <w:tab w:val="decimal" w:leader="dot" w:pos="8222"/>
        </w:tabs>
        <w:spacing w:line="360" w:lineRule="auto"/>
        <w:jc w:val="both"/>
      </w:pPr>
    </w:p>
    <w:p w:rsidR="00D127F0" w:rsidRPr="0071612E" w:rsidRDefault="00D127F0" w:rsidP="00D127F0">
      <w:pPr>
        <w:spacing w:line="360" w:lineRule="auto"/>
        <w:jc w:val="both"/>
        <w:rPr>
          <w:i/>
          <w:iCs/>
          <w:u w:val="single"/>
        </w:rPr>
      </w:pPr>
    </w:p>
    <w:p w:rsidR="00D127F0" w:rsidRPr="0071612E" w:rsidRDefault="00D127F0" w:rsidP="00D127F0">
      <w:pPr>
        <w:spacing w:line="360" w:lineRule="auto"/>
        <w:jc w:val="both"/>
        <w:rPr>
          <w:i/>
          <w:iCs/>
          <w:u w:val="single"/>
        </w:rPr>
        <w:sectPr w:rsidR="00D127F0" w:rsidRPr="0071612E" w:rsidSect="005A00D5">
          <w:footerReference w:type="default" r:id="rId10"/>
          <w:pgSz w:w="11906" w:h="16838"/>
          <w:pgMar w:top="1417" w:right="1417" w:bottom="1417" w:left="1417" w:header="708" w:footer="708" w:gutter="0"/>
          <w:pgNumType w:start="2"/>
          <w:cols w:space="708"/>
        </w:sectPr>
      </w:pPr>
    </w:p>
    <w:p w:rsidR="004E2B0E" w:rsidRPr="00E77B06" w:rsidRDefault="004E2B0E" w:rsidP="004E2B0E">
      <w:pPr>
        <w:pStyle w:val="Nadpis1"/>
        <w:numPr>
          <w:ilvl w:val="0"/>
          <w:numId w:val="0"/>
        </w:numPr>
        <w:rPr>
          <w:rFonts w:cs="Arial"/>
          <w:i/>
          <w:iCs/>
          <w:sz w:val="28"/>
          <w:u w:val="single"/>
        </w:rPr>
      </w:pPr>
      <w:r w:rsidRPr="00E77B06">
        <w:rPr>
          <w:rFonts w:cs="Arial"/>
          <w:i/>
          <w:iCs/>
          <w:sz w:val="28"/>
          <w:u w:val="single"/>
        </w:rPr>
        <w:lastRenderedPageBreak/>
        <w:t>Metodika a zdroje použitých dat</w:t>
      </w:r>
    </w:p>
    <w:p w:rsidR="004E2B0E" w:rsidRPr="00E77B06" w:rsidRDefault="004E2B0E" w:rsidP="004E2B0E">
      <w:pPr>
        <w:pStyle w:val="Zkladntext"/>
        <w:spacing w:after="200" w:line="240" w:lineRule="auto"/>
        <w:rPr>
          <w:rFonts w:cs="Arial"/>
          <w:b/>
        </w:rPr>
      </w:pPr>
    </w:p>
    <w:p w:rsidR="004E2B0E" w:rsidRPr="00E77B06" w:rsidRDefault="004E2B0E" w:rsidP="004E2B0E">
      <w:pPr>
        <w:pStyle w:val="Zkladntextodsazen"/>
        <w:spacing w:after="200" w:line="240" w:lineRule="auto"/>
        <w:ind w:firstLine="0"/>
        <w:rPr>
          <w:rFonts w:cs="Arial"/>
          <w:b/>
          <w:bCs/>
          <w:i/>
        </w:rPr>
      </w:pPr>
      <w:r w:rsidRPr="00E77B06">
        <w:rPr>
          <w:rFonts w:cs="Arial"/>
          <w:i/>
        </w:rPr>
        <w:tab/>
      </w:r>
      <w:r w:rsidRPr="00E77B06">
        <w:rPr>
          <w:rFonts w:cs="Arial"/>
          <w:b/>
          <w:bCs/>
          <w:i/>
        </w:rPr>
        <w:t>Makroekonomické zhodnocení</w:t>
      </w:r>
      <w:r w:rsidRPr="00E77B06">
        <w:rPr>
          <w:rFonts w:cs="Arial"/>
          <w:i/>
        </w:rPr>
        <w:t xml:space="preserve"> vývoje </w:t>
      </w:r>
      <w:r>
        <w:rPr>
          <w:rFonts w:cs="Arial"/>
          <w:i/>
        </w:rPr>
        <w:t xml:space="preserve">spotřebitelských cen, </w:t>
      </w:r>
      <w:r w:rsidRPr="00E77B06">
        <w:rPr>
          <w:rFonts w:cs="Arial"/>
          <w:i/>
        </w:rPr>
        <w:t>peněžních příjmů, výdajů</w:t>
      </w:r>
      <w:r>
        <w:rPr>
          <w:rFonts w:cs="Arial"/>
          <w:i/>
        </w:rPr>
        <w:t>, bankovních vkladů</w:t>
      </w:r>
      <w:r w:rsidRPr="00E77B06">
        <w:rPr>
          <w:rFonts w:cs="Arial"/>
          <w:i/>
        </w:rPr>
        <w:t xml:space="preserve"> a úspor (sektoru) domácností </w:t>
      </w:r>
      <w:r w:rsidRPr="00E77B06">
        <w:rPr>
          <w:rFonts w:cs="Arial"/>
          <w:b/>
          <w:bCs/>
          <w:i/>
        </w:rPr>
        <w:t>vychází z dat</w:t>
      </w:r>
      <w:r w:rsidRPr="00E77B06">
        <w:rPr>
          <w:rFonts w:cs="Arial"/>
          <w:i/>
        </w:rPr>
        <w:t xml:space="preserve"> </w:t>
      </w:r>
      <w:r w:rsidRPr="00E77B06">
        <w:rPr>
          <w:rFonts w:cs="Arial"/>
          <w:b/>
          <w:bCs/>
          <w:i/>
        </w:rPr>
        <w:t xml:space="preserve">Českého statistického úřadu </w:t>
      </w:r>
      <w:r w:rsidRPr="00E77B06">
        <w:rPr>
          <w:rFonts w:cs="Arial"/>
          <w:bCs/>
          <w:i/>
        </w:rPr>
        <w:t>(dále ČSÚ),</w:t>
      </w:r>
      <w:r w:rsidRPr="00E77B06">
        <w:rPr>
          <w:rFonts w:cs="Arial"/>
          <w:b/>
          <w:bCs/>
          <w:i/>
        </w:rPr>
        <w:t xml:space="preserve"> </w:t>
      </w:r>
      <w:r>
        <w:rPr>
          <w:rFonts w:cs="Arial"/>
          <w:b/>
          <w:bCs/>
          <w:i/>
        </w:rPr>
        <w:t xml:space="preserve">Informačního systému o průměrném výdělku </w:t>
      </w:r>
      <w:r w:rsidRPr="00942D7D">
        <w:rPr>
          <w:rFonts w:cs="Arial"/>
          <w:bCs/>
          <w:i/>
        </w:rPr>
        <w:t>(ISPV),</w:t>
      </w:r>
      <w:r>
        <w:rPr>
          <w:rFonts w:cs="Arial"/>
          <w:b/>
          <w:bCs/>
          <w:i/>
        </w:rPr>
        <w:t xml:space="preserve"> </w:t>
      </w:r>
      <w:r w:rsidRPr="00E77B06">
        <w:rPr>
          <w:rFonts w:cs="Arial"/>
          <w:b/>
          <w:bCs/>
          <w:i/>
        </w:rPr>
        <w:t xml:space="preserve">České národní banky </w:t>
      </w:r>
      <w:r w:rsidRPr="00E77B06">
        <w:rPr>
          <w:rFonts w:cs="Arial"/>
          <w:bCs/>
          <w:i/>
        </w:rPr>
        <w:t>(ČNB),</w:t>
      </w:r>
      <w:r w:rsidRPr="00E77B06">
        <w:rPr>
          <w:rFonts w:cs="Arial"/>
          <w:b/>
          <w:bCs/>
          <w:i/>
        </w:rPr>
        <w:t xml:space="preserve"> Asociace pro kapitálový trh </w:t>
      </w:r>
      <w:r w:rsidR="00810E13">
        <w:rPr>
          <w:rFonts w:cs="Arial"/>
          <w:bCs/>
          <w:i/>
        </w:rPr>
        <w:t>(AKAT)</w:t>
      </w:r>
      <w:r w:rsidRPr="00E77B06">
        <w:rPr>
          <w:rFonts w:cs="Arial"/>
          <w:b/>
          <w:bCs/>
          <w:i/>
        </w:rPr>
        <w:t xml:space="preserve"> a České leasingové a finanční asociace </w:t>
      </w:r>
      <w:r w:rsidRPr="00E77B06">
        <w:rPr>
          <w:rFonts w:cs="Arial"/>
          <w:bCs/>
          <w:i/>
        </w:rPr>
        <w:t>(ČLFA),</w:t>
      </w:r>
      <w:r w:rsidRPr="00E77B06">
        <w:rPr>
          <w:rFonts w:cs="Arial"/>
          <w:i/>
        </w:rPr>
        <w:t xml:space="preserve"> vlastní</w:t>
      </w:r>
      <w:r w:rsidRPr="00E77B06">
        <w:rPr>
          <w:rFonts w:cs="Arial"/>
        </w:rPr>
        <w:t xml:space="preserve"> </w:t>
      </w:r>
      <w:r w:rsidRPr="00E77B06">
        <w:rPr>
          <w:rFonts w:cs="Arial"/>
          <w:b/>
          <w:bCs/>
          <w:i/>
        </w:rPr>
        <w:t xml:space="preserve">databáze resortu práce a sociálních věcí, České správy sociálního zabezpečení </w:t>
      </w:r>
      <w:r w:rsidRPr="00E77B06">
        <w:rPr>
          <w:rFonts w:cs="Arial"/>
          <w:bCs/>
          <w:i/>
        </w:rPr>
        <w:t>(ČSSZ) a</w:t>
      </w:r>
      <w:r w:rsidRPr="00E77B06">
        <w:rPr>
          <w:rFonts w:cs="Arial"/>
          <w:b/>
          <w:bCs/>
          <w:i/>
        </w:rPr>
        <w:t xml:space="preserve"> Ministerstva financí </w:t>
      </w:r>
      <w:r w:rsidRPr="00E77B06">
        <w:rPr>
          <w:rFonts w:cs="Arial"/>
          <w:bCs/>
          <w:i/>
        </w:rPr>
        <w:t>(MF).</w:t>
      </w:r>
      <w:r w:rsidRPr="00E77B06">
        <w:rPr>
          <w:rFonts w:cs="Arial"/>
          <w:b/>
          <w:bCs/>
          <w:i/>
        </w:rPr>
        <w:t xml:space="preserve"> </w:t>
      </w:r>
      <w:r w:rsidRPr="00E77B06">
        <w:rPr>
          <w:rFonts w:cs="Arial"/>
          <w:bCs/>
          <w:i/>
        </w:rPr>
        <w:t xml:space="preserve">Využity byly také výsledky vlastních šetření </w:t>
      </w:r>
      <w:r w:rsidR="00B5424D" w:rsidRPr="00B5424D">
        <w:rPr>
          <w:rFonts w:cs="Arial"/>
          <w:b/>
          <w:bCs/>
          <w:i/>
        </w:rPr>
        <w:t>Ministerstva práce a</w:t>
      </w:r>
      <w:r w:rsidR="00B5424D">
        <w:rPr>
          <w:rFonts w:cs="Arial"/>
          <w:b/>
          <w:bCs/>
          <w:i/>
        </w:rPr>
        <w:t> </w:t>
      </w:r>
      <w:r w:rsidR="00B5424D" w:rsidRPr="00B5424D">
        <w:rPr>
          <w:rFonts w:cs="Arial"/>
          <w:b/>
          <w:bCs/>
          <w:i/>
        </w:rPr>
        <w:t>sociálních věcí</w:t>
      </w:r>
      <w:r w:rsidR="00B5424D">
        <w:rPr>
          <w:rFonts w:cs="Arial"/>
          <w:bCs/>
          <w:i/>
        </w:rPr>
        <w:t xml:space="preserve"> (</w:t>
      </w:r>
      <w:r w:rsidRPr="00E77B06">
        <w:rPr>
          <w:rFonts w:cs="Arial"/>
          <w:bCs/>
          <w:i/>
        </w:rPr>
        <w:t>MPSV</w:t>
      </w:r>
      <w:r w:rsidR="00B5424D">
        <w:rPr>
          <w:rFonts w:cs="Arial"/>
          <w:bCs/>
          <w:i/>
        </w:rPr>
        <w:t>)</w:t>
      </w:r>
      <w:r w:rsidRPr="00E77B06">
        <w:rPr>
          <w:rFonts w:cs="Arial"/>
          <w:bCs/>
          <w:i/>
        </w:rPr>
        <w:t xml:space="preserve"> a dalších institucí a agentur.</w:t>
      </w:r>
    </w:p>
    <w:p w:rsidR="004E2B0E" w:rsidRPr="00330D94" w:rsidRDefault="004E2B0E" w:rsidP="004E2B0E">
      <w:pPr>
        <w:pStyle w:val="Zkladntextodsazen"/>
        <w:spacing w:after="200" w:line="240" w:lineRule="auto"/>
        <w:ind w:firstLine="0"/>
        <w:rPr>
          <w:rFonts w:cs="Arial"/>
          <w:b/>
          <w:bCs/>
          <w:i/>
        </w:rPr>
      </w:pPr>
      <w:r w:rsidRPr="00E77B06">
        <w:rPr>
          <w:rFonts w:cs="Arial"/>
          <w:b/>
          <w:bCs/>
        </w:rPr>
        <w:tab/>
      </w:r>
      <w:r>
        <w:rPr>
          <w:rFonts w:cs="Arial"/>
          <w:i/>
        </w:rPr>
        <w:t>Z</w:t>
      </w:r>
      <w:r w:rsidRPr="00E77B06">
        <w:rPr>
          <w:rFonts w:cs="Arial"/>
          <w:i/>
        </w:rPr>
        <w:t xml:space="preserve">ákladní </w:t>
      </w:r>
      <w:r w:rsidRPr="00E77B06">
        <w:rPr>
          <w:rFonts w:cs="Arial"/>
          <w:b/>
          <w:bCs/>
          <w:i/>
        </w:rPr>
        <w:t>příjmov</w:t>
      </w:r>
      <w:r>
        <w:rPr>
          <w:rFonts w:cs="Arial"/>
          <w:b/>
          <w:bCs/>
          <w:i/>
        </w:rPr>
        <w:t>á</w:t>
      </w:r>
      <w:r w:rsidRPr="00E77B06">
        <w:rPr>
          <w:rFonts w:cs="Arial"/>
          <w:b/>
          <w:bCs/>
          <w:i/>
        </w:rPr>
        <w:t xml:space="preserve"> </w:t>
      </w:r>
      <w:r>
        <w:rPr>
          <w:rFonts w:cs="Arial"/>
          <w:b/>
          <w:bCs/>
          <w:i/>
        </w:rPr>
        <w:t>charakteristika</w:t>
      </w:r>
      <w:r w:rsidRPr="00E77B06">
        <w:rPr>
          <w:rFonts w:cs="Arial"/>
          <w:b/>
          <w:bCs/>
          <w:i/>
        </w:rPr>
        <w:t xml:space="preserve"> na mikroúrovni vychází z výběrov</w:t>
      </w:r>
      <w:r>
        <w:rPr>
          <w:rFonts w:cs="Arial"/>
          <w:b/>
          <w:bCs/>
          <w:i/>
        </w:rPr>
        <w:t>ého</w:t>
      </w:r>
      <w:r w:rsidRPr="00E77B06">
        <w:rPr>
          <w:rFonts w:cs="Arial"/>
          <w:b/>
          <w:bCs/>
          <w:i/>
        </w:rPr>
        <w:t xml:space="preserve"> </w:t>
      </w:r>
      <w:r w:rsidRPr="004B523C">
        <w:rPr>
          <w:rFonts w:cs="Arial"/>
          <w:b/>
          <w:i/>
        </w:rPr>
        <w:t>šetření</w:t>
      </w:r>
      <w:r w:rsidRPr="00E77B06">
        <w:rPr>
          <w:rFonts w:cs="Arial"/>
          <w:i/>
        </w:rPr>
        <w:t xml:space="preserve"> o příjmech a</w:t>
      </w:r>
      <w:r>
        <w:rPr>
          <w:rFonts w:cs="Arial"/>
          <w:i/>
        </w:rPr>
        <w:t xml:space="preserve"> </w:t>
      </w:r>
      <w:r w:rsidRPr="00E77B06">
        <w:rPr>
          <w:rFonts w:cs="Arial"/>
          <w:i/>
        </w:rPr>
        <w:t xml:space="preserve">životních podmínkách domácností </w:t>
      </w:r>
      <w:r w:rsidRPr="00E77B06">
        <w:rPr>
          <w:rFonts w:cs="Arial"/>
          <w:b/>
          <w:bCs/>
          <w:i/>
        </w:rPr>
        <w:t>zpracovaných ČSÚ. Dlouhodoběji platné tendence vycházejí z oficiálních údajů zveřejněných v publikaci „Příjmy a životní podmínky domácností v roce 201</w:t>
      </w:r>
      <w:r>
        <w:rPr>
          <w:rFonts w:cs="Arial"/>
          <w:b/>
          <w:bCs/>
          <w:i/>
        </w:rPr>
        <w:t>5</w:t>
      </w:r>
      <w:r w:rsidRPr="00E77B06">
        <w:rPr>
          <w:rFonts w:cs="Arial"/>
          <w:b/>
          <w:bCs/>
          <w:i/>
        </w:rPr>
        <w:t xml:space="preserve">“ a </w:t>
      </w:r>
      <w:proofErr w:type="spellStart"/>
      <w:r w:rsidRPr="00E77B06">
        <w:rPr>
          <w:rFonts w:cs="Arial"/>
          <w:b/>
          <w:bCs/>
          <w:i/>
        </w:rPr>
        <w:t>Eurostatu</w:t>
      </w:r>
      <w:proofErr w:type="spellEnd"/>
      <w:r w:rsidRPr="00E77B06">
        <w:rPr>
          <w:rFonts w:cs="Arial"/>
          <w:b/>
          <w:bCs/>
          <w:i/>
        </w:rPr>
        <w:t>.</w:t>
      </w:r>
      <w:r>
        <w:rPr>
          <w:rFonts w:cs="Arial"/>
          <w:b/>
          <w:bCs/>
          <w:i/>
        </w:rPr>
        <w:t xml:space="preserve"> </w:t>
      </w:r>
      <w:r w:rsidRPr="00330D94">
        <w:rPr>
          <w:rFonts w:cs="Arial"/>
          <w:bCs/>
          <w:i/>
        </w:rPr>
        <w:t>Součástí analýzy za rok 2016 již není, vzhledem k probíhající reformě, rozbor příjmů a výdajů domácností ze statistiky rodinných účtů.</w:t>
      </w:r>
      <w:r>
        <w:rPr>
          <w:rFonts w:cs="Arial"/>
          <w:bCs/>
          <w:i/>
        </w:rPr>
        <w:t xml:space="preserve"> Výsledky tohoto šetření budou obsahem Analýzy vývoje příjmů a výdajů domácností ČR v 1. pololetí 2017. </w:t>
      </w:r>
      <w:r w:rsidRPr="00330D94">
        <w:rPr>
          <w:rFonts w:cs="Arial"/>
          <w:b/>
          <w:bCs/>
          <w:i/>
        </w:rPr>
        <w:t xml:space="preserve">   </w:t>
      </w:r>
    </w:p>
    <w:p w:rsidR="004E2B0E" w:rsidRPr="00E77B06" w:rsidRDefault="004E2B0E" w:rsidP="004E2B0E">
      <w:pPr>
        <w:pStyle w:val="Zkladntextodsazen"/>
        <w:spacing w:after="200" w:line="240" w:lineRule="auto"/>
        <w:ind w:firstLine="0"/>
        <w:rPr>
          <w:rFonts w:cs="Arial"/>
          <w:i/>
        </w:rPr>
      </w:pPr>
      <w:r w:rsidRPr="00E77B06">
        <w:rPr>
          <w:rFonts w:cs="Arial"/>
          <w:b/>
          <w:bCs/>
          <w:i/>
        </w:rPr>
        <w:tab/>
        <w:t>Analýza mzdového vývoje</w:t>
      </w:r>
      <w:r w:rsidRPr="00E77B06">
        <w:rPr>
          <w:rFonts w:cs="Arial"/>
          <w:i/>
        </w:rPr>
        <w:t xml:space="preserve"> </w:t>
      </w:r>
      <w:r w:rsidRPr="00E77B06">
        <w:rPr>
          <w:rFonts w:cs="Arial"/>
          <w:b/>
          <w:bCs/>
          <w:i/>
        </w:rPr>
        <w:t>byla</w:t>
      </w:r>
      <w:r w:rsidRPr="00E77B06">
        <w:rPr>
          <w:rFonts w:cs="Arial"/>
          <w:i/>
        </w:rPr>
        <w:t xml:space="preserve"> do úrovně firem </w:t>
      </w:r>
      <w:r w:rsidRPr="00E77B06">
        <w:rPr>
          <w:rFonts w:cs="Arial"/>
          <w:b/>
          <w:bCs/>
          <w:i/>
        </w:rPr>
        <w:t>zpracována na základě údajů ČSÚ.</w:t>
      </w:r>
      <w:r w:rsidRPr="00E77B06">
        <w:rPr>
          <w:rFonts w:cs="Arial"/>
          <w:bCs/>
          <w:i/>
          <w:szCs w:val="24"/>
        </w:rPr>
        <w:t xml:space="preserve"> Průměrná mzda byla vykazována na přepočtené počty zaměstnanců (zohledňující délku pracovního úvazku) v celém národním hospodářství (není-li v textu uvedeno jinak). Při zpracování dat o průměrných mzdách byly ČSÚ uplatněny </w:t>
      </w:r>
      <w:proofErr w:type="spellStart"/>
      <w:r w:rsidRPr="00E77B06">
        <w:rPr>
          <w:rFonts w:cs="Arial"/>
          <w:bCs/>
          <w:i/>
          <w:szCs w:val="24"/>
        </w:rPr>
        <w:t>matematicko</w:t>
      </w:r>
      <w:proofErr w:type="spellEnd"/>
      <w:r w:rsidRPr="00E77B06">
        <w:rPr>
          <w:rFonts w:cs="Arial"/>
          <w:bCs/>
          <w:i/>
          <w:szCs w:val="24"/>
        </w:rPr>
        <w:t> – statistické metody odhadů</w:t>
      </w:r>
      <w:r w:rsidRPr="00E77B06">
        <w:rPr>
          <w:rFonts w:cs="Arial"/>
          <w:i/>
          <w:szCs w:val="24"/>
        </w:rPr>
        <w:t xml:space="preserve"> </w:t>
      </w:r>
      <w:proofErr w:type="spellStart"/>
      <w:r w:rsidRPr="00E77B06">
        <w:rPr>
          <w:rFonts w:cs="Arial"/>
          <w:i/>
          <w:szCs w:val="24"/>
        </w:rPr>
        <w:t>nonresponse</w:t>
      </w:r>
      <w:proofErr w:type="spellEnd"/>
      <w:r w:rsidRPr="00E77B06">
        <w:rPr>
          <w:rFonts w:cs="Arial"/>
          <w:i/>
          <w:szCs w:val="24"/>
        </w:rPr>
        <w:t xml:space="preserve"> a odhadů za nešetřenou část podnikatelské sféry a neziskových organizací, při současném využití administrativních zdrojů dat. </w:t>
      </w:r>
      <w:r w:rsidRPr="00E77B06">
        <w:rPr>
          <w:rFonts w:cs="Arial"/>
          <w:i/>
        </w:rPr>
        <w:t>Data za jednotlivé regiony byla získána tzv. </w:t>
      </w:r>
      <w:proofErr w:type="spellStart"/>
      <w:r w:rsidRPr="00E77B06">
        <w:rPr>
          <w:rFonts w:cs="Arial"/>
          <w:i/>
        </w:rPr>
        <w:t>pracovištní</w:t>
      </w:r>
      <w:proofErr w:type="spellEnd"/>
      <w:r w:rsidRPr="00E77B06">
        <w:rPr>
          <w:rFonts w:cs="Arial"/>
          <w:i/>
        </w:rPr>
        <w:t xml:space="preserve"> metodou – tj. podle místa skutečného pracoviště zaměstnanců. </w:t>
      </w:r>
      <w:r w:rsidRPr="00E77B06">
        <w:rPr>
          <w:rFonts w:cs="Arial"/>
          <w:b/>
          <w:bCs/>
          <w:i/>
        </w:rPr>
        <w:t>Rozbor pohybu výdělků jednotlivých zaměstnanců umožnila data Informačního systému o průměrném výdělku za rok 201</w:t>
      </w:r>
      <w:r>
        <w:rPr>
          <w:rFonts w:cs="Arial"/>
          <w:b/>
          <w:bCs/>
          <w:i/>
        </w:rPr>
        <w:t>6</w:t>
      </w:r>
      <w:r w:rsidRPr="00E77B06">
        <w:rPr>
          <w:rFonts w:cs="Arial"/>
          <w:i/>
        </w:rPr>
        <w:t xml:space="preserve"> (pokrývající </w:t>
      </w:r>
      <w:r>
        <w:rPr>
          <w:rFonts w:cs="Arial"/>
          <w:i/>
        </w:rPr>
        <w:t>19</w:t>
      </w:r>
      <w:r w:rsidRPr="00E77B06">
        <w:rPr>
          <w:rFonts w:cs="Arial"/>
          <w:i/>
        </w:rPr>
        <w:t> </w:t>
      </w:r>
      <w:r>
        <w:rPr>
          <w:rFonts w:cs="Arial"/>
          <w:i/>
        </w:rPr>
        <w:t>198</w:t>
      </w:r>
      <w:r w:rsidRPr="00E77B06">
        <w:rPr>
          <w:rFonts w:cs="Arial"/>
          <w:i/>
        </w:rPr>
        <w:t xml:space="preserve"> ekonomických subjektů zaměstnávajících 2 3</w:t>
      </w:r>
      <w:r>
        <w:rPr>
          <w:rFonts w:cs="Arial"/>
          <w:i/>
        </w:rPr>
        <w:t>80</w:t>
      </w:r>
      <w:r w:rsidRPr="00E77B06">
        <w:rPr>
          <w:rFonts w:cs="Arial"/>
          <w:i/>
        </w:rPr>
        <w:t xml:space="preserve"> tis. zaměstnanců) v  gesci MPSV.</w:t>
      </w:r>
    </w:p>
    <w:p w:rsidR="004E2B0E" w:rsidRPr="00E77B06" w:rsidRDefault="004E2B0E" w:rsidP="004E2B0E">
      <w:pPr>
        <w:spacing w:after="200"/>
        <w:jc w:val="both"/>
        <w:rPr>
          <w:rFonts w:cs="Arial"/>
          <w:b/>
          <w:bCs/>
          <w:i/>
        </w:rPr>
      </w:pPr>
      <w:r w:rsidRPr="00E77B06">
        <w:rPr>
          <w:rFonts w:cs="Arial"/>
          <w:i/>
        </w:rPr>
        <w:tab/>
        <w:t xml:space="preserve"> </w:t>
      </w:r>
      <w:r w:rsidRPr="00E77B06">
        <w:rPr>
          <w:rFonts w:cs="Arial"/>
          <w:b/>
          <w:bCs/>
          <w:i/>
        </w:rPr>
        <w:t xml:space="preserve">Od ČSÚ byla převzata rovněž data o hrubém domácím produktu </w:t>
      </w:r>
      <w:r w:rsidRPr="00E77B06">
        <w:rPr>
          <w:rFonts w:cs="Arial"/>
          <w:bCs/>
          <w:i/>
        </w:rPr>
        <w:t>(</w:t>
      </w:r>
      <w:r>
        <w:rPr>
          <w:rFonts w:cs="Arial"/>
          <w:bCs/>
          <w:i/>
        </w:rPr>
        <w:t xml:space="preserve">HDP je uváděn </w:t>
      </w:r>
      <w:r w:rsidRPr="00A944D9">
        <w:rPr>
          <w:rFonts w:cs="Arial"/>
          <w:bCs/>
          <w:i/>
        </w:rPr>
        <w:t>bez očištění o nestejný počet pracovních dní</w:t>
      </w:r>
      <w:r w:rsidRPr="00E77B06">
        <w:rPr>
          <w:rFonts w:cs="Arial"/>
          <w:bCs/>
          <w:i/>
        </w:rPr>
        <w:t>)</w:t>
      </w:r>
      <w:r w:rsidRPr="00E77B06">
        <w:rPr>
          <w:rFonts w:cs="Arial"/>
          <w:b/>
          <w:bCs/>
          <w:i/>
        </w:rPr>
        <w:t xml:space="preserve"> a úhrnné produktivitě práce.</w:t>
      </w:r>
    </w:p>
    <w:p w:rsidR="004E2B0E" w:rsidRPr="00E77B06" w:rsidRDefault="004E2B0E" w:rsidP="004E2B0E">
      <w:pPr>
        <w:spacing w:after="200"/>
        <w:jc w:val="both"/>
        <w:rPr>
          <w:rFonts w:cs="Arial"/>
          <w:bCs/>
          <w:i/>
        </w:rPr>
      </w:pPr>
      <w:r w:rsidRPr="00E77B06">
        <w:rPr>
          <w:rFonts w:cs="Arial"/>
          <w:b/>
          <w:bCs/>
          <w:i/>
        </w:rPr>
        <w:tab/>
        <w:t>Analýza pohybu spotřebitelských cen a životních nákladů</w:t>
      </w:r>
      <w:r w:rsidRPr="00E77B06">
        <w:rPr>
          <w:rFonts w:cs="Arial"/>
          <w:i/>
        </w:rPr>
        <w:t xml:space="preserve"> domácností (vč. vývoje na počátku roku 201</w:t>
      </w:r>
      <w:r>
        <w:rPr>
          <w:rFonts w:cs="Arial"/>
          <w:i/>
        </w:rPr>
        <w:t>7</w:t>
      </w:r>
      <w:r w:rsidRPr="00E77B06">
        <w:rPr>
          <w:rFonts w:cs="Arial"/>
          <w:i/>
        </w:rPr>
        <w:t xml:space="preserve">) </w:t>
      </w:r>
      <w:r w:rsidRPr="00E77B06">
        <w:rPr>
          <w:rFonts w:cs="Arial"/>
          <w:b/>
          <w:bCs/>
          <w:i/>
        </w:rPr>
        <w:t xml:space="preserve">je založena na rozboru údajů ČSÚ; </w:t>
      </w:r>
      <w:r w:rsidRPr="00E77B06">
        <w:rPr>
          <w:rFonts w:cs="Arial"/>
          <w:bCs/>
          <w:i/>
        </w:rPr>
        <w:t>při propočtech možného vývoje hlavních makroekonomických veličin v dalších letech (v části „C“) byly použity metody extrapolace již probíhajícího (resp. opakujícího se) trendu – např. tržní spotřebitelské ceny, popř. regresní analýza (HDP, podpory v nezaměstnanosti apod.).</w:t>
      </w:r>
    </w:p>
    <w:p w:rsidR="004E2B0E" w:rsidRPr="00E77B06" w:rsidRDefault="004E2B0E" w:rsidP="004E2B0E">
      <w:pPr>
        <w:pStyle w:val="Zkladntext"/>
        <w:spacing w:line="240" w:lineRule="auto"/>
        <w:rPr>
          <w:rFonts w:cs="Arial"/>
          <w:b/>
        </w:rPr>
      </w:pPr>
      <w:r w:rsidRPr="00E77B06">
        <w:rPr>
          <w:rFonts w:cs="Arial"/>
          <w:i/>
        </w:rPr>
        <w:tab/>
      </w:r>
      <w:r w:rsidRPr="00E77B06">
        <w:rPr>
          <w:rFonts w:cs="Arial"/>
          <w:b/>
          <w:bCs/>
          <w:i/>
        </w:rPr>
        <w:t>S výjimkou použitých údajů z vlastní databáze MPSV, dat ČSÚ o vývoji spotřebitelských cen a životních nákladů, přehledů ČNB (bankovní vklady a úvěry) a údajů z Informačního systému o průměrném výdělku je nutno všechna ostatní uváděná data považovat za předběžná.</w:t>
      </w:r>
      <w:r w:rsidRPr="00E77B06">
        <w:rPr>
          <w:rFonts w:cs="Arial"/>
          <w:i/>
        </w:rPr>
        <w:t xml:space="preserve"> </w:t>
      </w:r>
      <w:r w:rsidRPr="00E77B06">
        <w:rPr>
          <w:rFonts w:cs="Arial"/>
          <w:b/>
          <w:i/>
        </w:rPr>
        <w:t>Jejich dodatečné zpřesnění však podle ověřených předpokladů nezmění základní tendence charakterizované v materiálu</w:t>
      </w:r>
      <w:r w:rsidRPr="00E77B06">
        <w:rPr>
          <w:rFonts w:cs="Arial"/>
          <w:b/>
        </w:rPr>
        <w:t>.</w:t>
      </w:r>
    </w:p>
    <w:p w:rsidR="004E2B0E" w:rsidRPr="00E77B06" w:rsidRDefault="004E2B0E" w:rsidP="004E2B0E">
      <w:pPr>
        <w:pStyle w:val="Zkladntext"/>
        <w:spacing w:after="200" w:line="240" w:lineRule="auto"/>
        <w:rPr>
          <w:rFonts w:cs="Arial"/>
          <w:b/>
        </w:rPr>
      </w:pPr>
    </w:p>
    <w:p w:rsidR="004E2B0E" w:rsidRPr="00E77B06" w:rsidRDefault="004E2B0E" w:rsidP="004E2B0E">
      <w:pPr>
        <w:tabs>
          <w:tab w:val="left" w:pos="284"/>
          <w:tab w:val="left" w:pos="567"/>
          <w:tab w:val="left" w:pos="851"/>
          <w:tab w:val="decimal" w:leader="dot" w:pos="8222"/>
        </w:tabs>
        <w:spacing w:line="360" w:lineRule="auto"/>
        <w:jc w:val="both"/>
        <w:rPr>
          <w:rFonts w:cs="Arial"/>
          <w:i/>
          <w:iCs/>
          <w:u w:val="single"/>
        </w:rPr>
      </w:pPr>
      <w:r w:rsidRPr="00E77B06">
        <w:rPr>
          <w:rFonts w:cs="Arial"/>
          <w:i/>
          <w:iCs/>
          <w:u w:val="single"/>
        </w:rPr>
        <w:t>Analýza obsahuje údaje platné k 1</w:t>
      </w:r>
      <w:r>
        <w:rPr>
          <w:rFonts w:cs="Arial"/>
          <w:i/>
          <w:iCs/>
          <w:u w:val="single"/>
        </w:rPr>
        <w:t>3</w:t>
      </w:r>
      <w:r w:rsidRPr="00E77B06">
        <w:rPr>
          <w:rFonts w:cs="Arial"/>
          <w:i/>
          <w:iCs/>
          <w:u w:val="single"/>
        </w:rPr>
        <w:t>. dubnu 201</w:t>
      </w:r>
      <w:r>
        <w:rPr>
          <w:rFonts w:cs="Arial"/>
          <w:i/>
          <w:iCs/>
          <w:u w:val="single"/>
        </w:rPr>
        <w:t>7</w:t>
      </w:r>
    </w:p>
    <w:p w:rsidR="004E2B0E" w:rsidRDefault="004E2B0E" w:rsidP="004E2B0E">
      <w:pPr>
        <w:pStyle w:val="Nadpis9"/>
        <w:keepNext/>
        <w:numPr>
          <w:ilvl w:val="0"/>
          <w:numId w:val="0"/>
        </w:numPr>
        <w:tabs>
          <w:tab w:val="left" w:pos="284"/>
          <w:tab w:val="left" w:pos="567"/>
          <w:tab w:val="num" w:pos="810"/>
          <w:tab w:val="left" w:pos="851"/>
          <w:tab w:val="decimal" w:leader="dot" w:pos="8222"/>
        </w:tabs>
        <w:spacing w:before="0" w:after="0" w:line="360" w:lineRule="auto"/>
        <w:jc w:val="both"/>
        <w:rPr>
          <w:b/>
          <w:i/>
          <w:sz w:val="36"/>
          <w:szCs w:val="36"/>
        </w:rPr>
      </w:pPr>
      <w:r w:rsidRPr="00851034">
        <w:rPr>
          <w:b/>
          <w:i/>
          <w:sz w:val="36"/>
          <w:szCs w:val="36"/>
        </w:rPr>
        <w:lastRenderedPageBreak/>
        <w:t>A. Základní charakteristika příjmové a výdajové</w:t>
      </w:r>
    </w:p>
    <w:p w:rsidR="004E2B0E" w:rsidRDefault="004E2B0E" w:rsidP="004E2B0E">
      <w:pPr>
        <w:pStyle w:val="Nadpis9"/>
        <w:keepNext/>
        <w:numPr>
          <w:ilvl w:val="0"/>
          <w:numId w:val="0"/>
        </w:numPr>
        <w:tabs>
          <w:tab w:val="left" w:pos="284"/>
          <w:tab w:val="left" w:pos="567"/>
          <w:tab w:val="num" w:pos="810"/>
          <w:tab w:val="left" w:pos="851"/>
          <w:tab w:val="decimal" w:leader="dot" w:pos="8222"/>
        </w:tabs>
        <w:spacing w:before="0" w:line="360" w:lineRule="auto"/>
        <w:jc w:val="both"/>
        <w:rPr>
          <w:b/>
          <w:i/>
          <w:sz w:val="36"/>
          <w:szCs w:val="36"/>
        </w:rPr>
      </w:pPr>
      <w:r>
        <w:rPr>
          <w:b/>
          <w:i/>
          <w:sz w:val="36"/>
          <w:szCs w:val="36"/>
        </w:rPr>
        <w:t xml:space="preserve">    </w:t>
      </w:r>
      <w:r w:rsidRPr="00851034">
        <w:rPr>
          <w:b/>
          <w:i/>
          <w:sz w:val="36"/>
          <w:szCs w:val="36"/>
        </w:rPr>
        <w:t>situace domácností v roce 201</w:t>
      </w:r>
      <w:r>
        <w:rPr>
          <w:b/>
          <w:i/>
          <w:sz w:val="36"/>
          <w:szCs w:val="36"/>
        </w:rPr>
        <w:t>6</w:t>
      </w:r>
    </w:p>
    <w:p w:rsidR="004E2B0E" w:rsidRPr="00810E13" w:rsidRDefault="004E2B0E" w:rsidP="004E2B0E">
      <w:pPr>
        <w:spacing w:before="240" w:after="240" w:line="360" w:lineRule="auto"/>
        <w:jc w:val="both"/>
      </w:pPr>
      <w:r w:rsidRPr="00025CA0">
        <w:tab/>
      </w:r>
      <w:r w:rsidRPr="001A16EA">
        <w:rPr>
          <w:b/>
        </w:rPr>
        <w:t xml:space="preserve">Ekonomika České republiky rostla v roce </w:t>
      </w:r>
      <w:r w:rsidR="00D526F3">
        <w:rPr>
          <w:b/>
        </w:rPr>
        <w:t xml:space="preserve">2016 </w:t>
      </w:r>
      <w:r w:rsidRPr="001A16EA">
        <w:rPr>
          <w:b/>
        </w:rPr>
        <w:t xml:space="preserve">pomaleji než v  předcházejícím roce </w:t>
      </w:r>
      <w:r w:rsidRPr="001A16EA">
        <w:t xml:space="preserve">a hrubý domácí produkt se zvýšil o 2,4 %. </w:t>
      </w:r>
      <w:r w:rsidRPr="00A227E4">
        <w:t xml:space="preserve">Hlavní příčinnou nižšího tempa růstu </w:t>
      </w:r>
      <w:r w:rsidRPr="00810E13">
        <w:t>byla vysoká srovnávací základna roku 2015, kdy nastala kombinace jednorázových prorůstových faktorů, které se již v minulém roce neopakovaly.</w:t>
      </w:r>
    </w:p>
    <w:p w:rsidR="004E2B0E" w:rsidRPr="004E2B0E" w:rsidRDefault="004E2B0E" w:rsidP="004E2B0E">
      <w:pPr>
        <w:spacing w:after="240" w:line="360" w:lineRule="auto"/>
        <w:jc w:val="both"/>
        <w:rPr>
          <w:b/>
        </w:rPr>
      </w:pPr>
      <w:r w:rsidRPr="00810E13">
        <w:tab/>
      </w:r>
      <w:r w:rsidRPr="00810E13">
        <w:rPr>
          <w:b/>
        </w:rPr>
        <w:t>Klíčovým faktorem hospodářského růstu</w:t>
      </w:r>
      <w:r w:rsidRPr="00810E13">
        <w:t xml:space="preserve"> v roce 2016 </w:t>
      </w:r>
      <w:r w:rsidRPr="00810E13">
        <w:rPr>
          <w:b/>
        </w:rPr>
        <w:t>byla sílící poptávka českých domácnost</w:t>
      </w:r>
      <w:r w:rsidRPr="00186992">
        <w:rPr>
          <w:b/>
        </w:rPr>
        <w:t xml:space="preserve">í </w:t>
      </w:r>
      <w:r w:rsidRPr="00186992">
        <w:t xml:space="preserve">a kladný přebytek bilance zahraničního obchodu. </w:t>
      </w:r>
      <w:r w:rsidRPr="001A16EA">
        <w:rPr>
          <w:b/>
        </w:rPr>
        <w:t>Výdaje na konečnou spotřebu domácností,</w:t>
      </w:r>
      <w:r w:rsidRPr="001A16EA">
        <w:t xml:space="preserve"> které jsou ve výdajovém vyjádření téměř polovinou HDP, </w:t>
      </w:r>
      <w:r w:rsidRPr="001A16EA">
        <w:rPr>
          <w:b/>
        </w:rPr>
        <w:t>vzrostly meziročně o 2,9 %.</w:t>
      </w:r>
      <w:r w:rsidRPr="001A16EA">
        <w:t xml:space="preserve"> K větší ochotě domácností ke spotřebě vedla zejména stále se zlepšující situace na trhu práce</w:t>
      </w:r>
      <w:r>
        <w:t>, nízké úrokové sazby</w:t>
      </w:r>
      <w:r w:rsidRPr="001A16EA">
        <w:t xml:space="preserve"> a</w:t>
      </w:r>
      <w:r w:rsidRPr="00DF6D1D">
        <w:rPr>
          <w:color w:val="FF0000"/>
        </w:rPr>
        <w:t xml:space="preserve"> </w:t>
      </w:r>
      <w:r>
        <w:t>pouze mírný</w:t>
      </w:r>
      <w:r w:rsidRPr="00186992">
        <w:t xml:space="preserve"> růst cen. </w:t>
      </w:r>
      <w:r>
        <w:t>Naopak v</w:t>
      </w:r>
      <w:r w:rsidRPr="001A16EA">
        <w:t xml:space="preserve">ýdaje vládních institucí </w:t>
      </w:r>
      <w:r>
        <w:t>vzrostly oproti roku 2015 jen</w:t>
      </w:r>
      <w:r w:rsidRPr="001A16EA">
        <w:t xml:space="preserve"> o</w:t>
      </w:r>
      <w:r>
        <w:t> </w:t>
      </w:r>
      <w:r w:rsidRPr="001A16EA">
        <w:t xml:space="preserve">1,2 % </w:t>
      </w:r>
      <w:r w:rsidRPr="00186992">
        <w:t>a</w:t>
      </w:r>
      <w:r w:rsidRPr="00DF6D1D">
        <w:rPr>
          <w:color w:val="FF0000"/>
        </w:rPr>
        <w:t xml:space="preserve"> </w:t>
      </w:r>
      <w:r w:rsidRPr="006C1601">
        <w:t>tvorba fixního kapitálu</w:t>
      </w:r>
      <w:r w:rsidRPr="001A16EA">
        <w:t xml:space="preserve"> </w:t>
      </w:r>
      <w:r>
        <w:t>dokonce o 3,7 % poklesla</w:t>
      </w:r>
      <w:r w:rsidRPr="001A16EA">
        <w:t>. Na nabídkové straně byl v roce 2016 důležitý svým celkovým objemem i meziročním růstem hlavně zpracovatelský průmysl (+5,1 %).</w:t>
      </w:r>
      <w:r w:rsidRPr="00DF6D1D">
        <w:rPr>
          <w:color w:val="FF0000"/>
        </w:rPr>
        <w:t xml:space="preserve"> </w:t>
      </w:r>
      <w:r w:rsidRPr="001A16EA">
        <w:t>Názorný pohled na vývoj vybraných ukazatelů české ekonomiky v</w:t>
      </w:r>
      <w:r>
        <w:t> </w:t>
      </w:r>
      <w:r w:rsidRPr="001A16EA">
        <w:t xml:space="preserve">letech </w:t>
      </w:r>
      <w:r w:rsidRPr="00E74478">
        <w:t>2008</w:t>
      </w:r>
      <w:r w:rsidRPr="001A16EA">
        <w:rPr>
          <w:color w:val="FF0000"/>
        </w:rPr>
        <w:t xml:space="preserve"> </w:t>
      </w:r>
      <w:r w:rsidRPr="001A16EA">
        <w:t xml:space="preserve">až 2016 podává následující </w:t>
      </w:r>
      <w:r w:rsidRPr="004E2B0E">
        <w:t>graf:</w:t>
      </w:r>
    </w:p>
    <w:p w:rsidR="004E2B0E" w:rsidRPr="00B577DD" w:rsidRDefault="004E2B0E" w:rsidP="004E2B0E">
      <w:pPr>
        <w:jc w:val="both"/>
        <w:rPr>
          <w:b/>
        </w:rPr>
      </w:pPr>
      <w:r>
        <w:rPr>
          <w:b/>
          <w:noProof/>
        </w:rPr>
        <w:drawing>
          <wp:inline distT="0" distB="0" distL="0" distR="0" wp14:anchorId="78FEF23E" wp14:editId="67A039AB">
            <wp:extent cx="5819775" cy="3338243"/>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2973" cy="3340077"/>
                    </a:xfrm>
                    <a:prstGeom prst="rect">
                      <a:avLst/>
                    </a:prstGeom>
                    <a:noFill/>
                  </pic:spPr>
                </pic:pic>
              </a:graphicData>
            </a:graphic>
          </wp:inline>
        </w:drawing>
      </w:r>
    </w:p>
    <w:p w:rsidR="004E2B0E" w:rsidRPr="00B577DD" w:rsidRDefault="004E2B0E" w:rsidP="004E2B0E">
      <w:pPr>
        <w:jc w:val="both"/>
        <w:rPr>
          <w:rFonts w:cs="Arial"/>
          <w:sz w:val="18"/>
          <w:szCs w:val="18"/>
        </w:rPr>
      </w:pPr>
      <w:r w:rsidRPr="00B577DD">
        <w:rPr>
          <w:rFonts w:cs="Arial"/>
          <w:sz w:val="18"/>
          <w:szCs w:val="22"/>
        </w:rPr>
        <w:t xml:space="preserve">*Vypočteno z běžných </w:t>
      </w:r>
      <w:r w:rsidRPr="00B577DD">
        <w:rPr>
          <w:rFonts w:cs="Arial"/>
          <w:sz w:val="18"/>
          <w:szCs w:val="18"/>
        </w:rPr>
        <w:t xml:space="preserve">cen </w:t>
      </w:r>
    </w:p>
    <w:p w:rsidR="004E2B0E" w:rsidRDefault="004E2B0E" w:rsidP="004E2B0E">
      <w:pPr>
        <w:jc w:val="both"/>
        <w:rPr>
          <w:rFonts w:cs="Arial"/>
          <w:color w:val="000000" w:themeColor="text1"/>
          <w:sz w:val="18"/>
          <w:szCs w:val="22"/>
        </w:rPr>
      </w:pPr>
      <w:r>
        <w:rPr>
          <w:rFonts w:cs="Arial"/>
          <w:color w:val="000000" w:themeColor="text1"/>
          <w:sz w:val="18"/>
          <w:szCs w:val="22"/>
        </w:rPr>
        <w:t xml:space="preserve">  </w:t>
      </w:r>
      <w:r w:rsidRPr="003723C2">
        <w:rPr>
          <w:rFonts w:cs="Arial"/>
          <w:color w:val="000000" w:themeColor="text1"/>
          <w:sz w:val="18"/>
          <w:szCs w:val="22"/>
        </w:rPr>
        <w:t>Zpracováno z dat ČSÚ</w:t>
      </w:r>
    </w:p>
    <w:p w:rsidR="004E2B0E" w:rsidRPr="00A227E4" w:rsidRDefault="004E2B0E" w:rsidP="004E2B0E">
      <w:pPr>
        <w:numPr>
          <w:ilvl w:val="0"/>
          <w:numId w:val="19"/>
        </w:numPr>
        <w:tabs>
          <w:tab w:val="num" w:pos="502"/>
        </w:tabs>
        <w:spacing w:line="360" w:lineRule="auto"/>
        <w:jc w:val="both"/>
        <w:rPr>
          <w:rFonts w:cs="Arial"/>
          <w:b/>
          <w:bCs/>
        </w:rPr>
      </w:pPr>
      <w:r w:rsidRPr="00A227E4">
        <w:rPr>
          <w:rFonts w:cs="Arial"/>
          <w:b/>
          <w:bCs/>
        </w:rPr>
        <w:lastRenderedPageBreak/>
        <w:t xml:space="preserve">disponibilní </w:t>
      </w:r>
      <w:r w:rsidRPr="00A227E4">
        <w:rPr>
          <w:rFonts w:cs="Arial"/>
          <w:bCs/>
        </w:rPr>
        <w:t>(čistý)</w:t>
      </w:r>
      <w:r w:rsidRPr="00A227E4">
        <w:rPr>
          <w:rFonts w:cs="Arial"/>
          <w:b/>
          <w:bCs/>
        </w:rPr>
        <w:t xml:space="preserve"> příjem </w:t>
      </w:r>
      <w:r w:rsidRPr="00A227E4">
        <w:rPr>
          <w:rFonts w:cs="Arial"/>
        </w:rPr>
        <w:t>sektoru</w:t>
      </w:r>
      <w:r w:rsidRPr="00A227E4">
        <w:rPr>
          <w:rFonts w:cs="Arial"/>
          <w:b/>
          <w:bCs/>
        </w:rPr>
        <w:t xml:space="preserve"> domácností </w:t>
      </w:r>
      <w:r w:rsidRPr="00A227E4">
        <w:rPr>
          <w:rFonts w:cs="Arial"/>
        </w:rPr>
        <w:t>(podle národních účtů)</w:t>
      </w:r>
      <w:r w:rsidRPr="00A227E4">
        <w:rPr>
          <w:rFonts w:cs="Arial"/>
          <w:b/>
          <w:bCs/>
        </w:rPr>
        <w:t xml:space="preserve"> v roce 2016 </w:t>
      </w:r>
      <w:r w:rsidRPr="00A227E4">
        <w:rPr>
          <w:rFonts w:cs="Arial"/>
          <w:bCs/>
        </w:rPr>
        <w:t>nominálně</w:t>
      </w:r>
      <w:r w:rsidRPr="00A227E4">
        <w:rPr>
          <w:rFonts w:cs="Arial"/>
          <w:b/>
          <w:bCs/>
        </w:rPr>
        <w:t xml:space="preserve"> vzrostl </w:t>
      </w:r>
      <w:r w:rsidRPr="00A227E4">
        <w:rPr>
          <w:rFonts w:cs="Arial"/>
          <w:bCs/>
        </w:rPr>
        <w:t>oproti předcházejícímu roku</w:t>
      </w:r>
      <w:r w:rsidRPr="00A227E4">
        <w:rPr>
          <w:rFonts w:cs="Arial"/>
          <w:b/>
          <w:bCs/>
        </w:rPr>
        <w:t xml:space="preserve"> </w:t>
      </w:r>
      <w:r w:rsidRPr="00A227E4">
        <w:rPr>
          <w:rFonts w:cs="Arial"/>
          <w:b/>
        </w:rPr>
        <w:t xml:space="preserve">o 4,0 % </w:t>
      </w:r>
      <w:r w:rsidRPr="00A227E4">
        <w:rPr>
          <w:rFonts w:cs="Arial"/>
        </w:rPr>
        <w:t>a</w:t>
      </w:r>
      <w:r w:rsidRPr="00A227E4">
        <w:rPr>
          <w:rFonts w:cs="Arial"/>
          <w:b/>
        </w:rPr>
        <w:t xml:space="preserve"> průměrný měsíční příjem na obyvatele </w:t>
      </w:r>
      <w:r w:rsidRPr="00A227E4">
        <w:rPr>
          <w:rFonts w:cs="Arial"/>
        </w:rPr>
        <w:t>v nominálním vyjádření</w:t>
      </w:r>
      <w:r w:rsidRPr="00A227E4">
        <w:rPr>
          <w:rFonts w:cs="Arial"/>
          <w:b/>
        </w:rPr>
        <w:t xml:space="preserve"> dosáhl hodnoty 23 436 Kč </w:t>
      </w:r>
      <w:r w:rsidRPr="00A227E4">
        <w:rPr>
          <w:rFonts w:cs="Arial"/>
        </w:rPr>
        <w:t xml:space="preserve">(reálný meziroční růst 3,1 %), </w:t>
      </w:r>
    </w:p>
    <w:p w:rsidR="004E2B0E" w:rsidRPr="00A227E4" w:rsidRDefault="004E2B0E" w:rsidP="004E2B0E">
      <w:pPr>
        <w:spacing w:line="360" w:lineRule="auto"/>
        <w:ind w:left="142"/>
        <w:jc w:val="both"/>
        <w:rPr>
          <w:rFonts w:cs="Arial"/>
          <w:b/>
          <w:bCs/>
        </w:rPr>
      </w:pPr>
    </w:p>
    <w:p w:rsidR="004E2B0E" w:rsidRPr="00A227E4" w:rsidRDefault="004E2B0E" w:rsidP="004E2B0E">
      <w:pPr>
        <w:numPr>
          <w:ilvl w:val="0"/>
          <w:numId w:val="19"/>
        </w:numPr>
        <w:tabs>
          <w:tab w:val="num" w:pos="502"/>
        </w:tabs>
        <w:spacing w:line="360" w:lineRule="auto"/>
        <w:jc w:val="both"/>
        <w:rPr>
          <w:rFonts w:cs="Arial"/>
          <w:b/>
          <w:bCs/>
        </w:rPr>
      </w:pPr>
      <w:r w:rsidRPr="00A227E4">
        <w:rPr>
          <w:rFonts w:cs="Arial"/>
          <w:b/>
          <w:bCs/>
        </w:rPr>
        <w:t>největším zdrojem peněžních příjmů</w:t>
      </w:r>
      <w:r w:rsidRPr="00A227E4">
        <w:rPr>
          <w:rFonts w:cs="Arial"/>
          <w:bCs/>
        </w:rPr>
        <w:t xml:space="preserve"> domácností byly </w:t>
      </w:r>
      <w:r w:rsidRPr="00A227E4">
        <w:rPr>
          <w:rFonts w:cs="Arial"/>
          <w:b/>
          <w:bCs/>
        </w:rPr>
        <w:t>mzdy;</w:t>
      </w:r>
      <w:r w:rsidRPr="00A227E4">
        <w:rPr>
          <w:rFonts w:cs="Arial"/>
          <w:bCs/>
        </w:rPr>
        <w:t xml:space="preserve"> </w:t>
      </w:r>
      <w:r w:rsidRPr="00A227E4">
        <w:rPr>
          <w:rFonts w:cs="Arial"/>
          <w:b/>
          <w:bCs/>
        </w:rPr>
        <w:t>průměrná nominální měsíční mzda v národním hospodářství</w:t>
      </w:r>
      <w:r w:rsidRPr="00A227E4">
        <w:rPr>
          <w:rFonts w:cs="Arial"/>
          <w:bCs/>
        </w:rPr>
        <w:t xml:space="preserve"> (na přepočtené počty zaměstnanců) činila </w:t>
      </w:r>
      <w:r w:rsidRPr="00A227E4">
        <w:rPr>
          <w:rFonts w:cs="Arial"/>
          <w:b/>
          <w:bCs/>
        </w:rPr>
        <w:t>27 589 Kč a její meziroční dynamika růstu</w:t>
      </w:r>
      <w:r w:rsidRPr="00A227E4">
        <w:rPr>
          <w:rFonts w:cs="Arial"/>
          <w:bCs/>
        </w:rPr>
        <w:t xml:space="preserve"> </w:t>
      </w:r>
      <w:r w:rsidRPr="00A227E4">
        <w:rPr>
          <w:rFonts w:cs="Arial"/>
          <w:b/>
          <w:bCs/>
        </w:rPr>
        <w:t>se</w:t>
      </w:r>
      <w:r w:rsidRPr="00A227E4">
        <w:rPr>
          <w:rFonts w:cs="Arial"/>
          <w:bCs/>
        </w:rPr>
        <w:t xml:space="preserve"> z 2,7 % v roce 2015 </w:t>
      </w:r>
      <w:r w:rsidRPr="00A227E4">
        <w:rPr>
          <w:rFonts w:cs="Arial"/>
          <w:b/>
          <w:bCs/>
        </w:rPr>
        <w:t>zvýšila na 4,2 %</w:t>
      </w:r>
      <w:r w:rsidRPr="00A227E4">
        <w:rPr>
          <w:rFonts w:cs="Arial"/>
          <w:bCs/>
        </w:rPr>
        <w:t>, tj. nejvíce od roku 2008,</w:t>
      </w:r>
    </w:p>
    <w:p w:rsidR="004E2B0E" w:rsidRPr="00A227E4" w:rsidRDefault="004E2B0E" w:rsidP="004E2B0E">
      <w:pPr>
        <w:spacing w:line="360" w:lineRule="auto"/>
        <w:ind w:left="720"/>
        <w:jc w:val="both"/>
        <w:rPr>
          <w:rFonts w:cs="Arial"/>
          <w:b/>
          <w:bCs/>
        </w:rPr>
      </w:pPr>
    </w:p>
    <w:p w:rsidR="004E2B0E" w:rsidRPr="00A227E4" w:rsidRDefault="004E2B0E" w:rsidP="004E2B0E">
      <w:pPr>
        <w:numPr>
          <w:ilvl w:val="0"/>
          <w:numId w:val="19"/>
        </w:numPr>
        <w:tabs>
          <w:tab w:val="num" w:pos="502"/>
        </w:tabs>
        <w:spacing w:line="360" w:lineRule="auto"/>
        <w:jc w:val="both"/>
        <w:rPr>
          <w:rFonts w:cs="Arial"/>
          <w:b/>
          <w:bCs/>
        </w:rPr>
      </w:pPr>
      <w:r w:rsidRPr="00A227E4">
        <w:rPr>
          <w:rFonts w:cs="Arial"/>
          <w:b/>
          <w:bCs/>
        </w:rPr>
        <w:t xml:space="preserve">relativně </w:t>
      </w:r>
      <w:r w:rsidRPr="00A227E4">
        <w:rPr>
          <w:rFonts w:cs="Arial"/>
          <w:bCs/>
          <w:iCs/>
        </w:rPr>
        <w:t xml:space="preserve">vysoká dynamika nominální mzdy společně s doznívající nízkou mírou cenové inflace vedly </w:t>
      </w:r>
      <w:r w:rsidRPr="00A227E4">
        <w:rPr>
          <w:rFonts w:cs="Arial"/>
          <w:b/>
          <w:bCs/>
          <w:iCs/>
        </w:rPr>
        <w:t>k největšímu posílení reálné úrovně průměrné mzdy</w:t>
      </w:r>
      <w:r w:rsidR="00687F21">
        <w:rPr>
          <w:rFonts w:cs="Arial"/>
          <w:b/>
          <w:bCs/>
          <w:iCs/>
        </w:rPr>
        <w:t xml:space="preserve"> –  </w:t>
      </w:r>
      <w:r w:rsidRPr="00A227E4">
        <w:rPr>
          <w:rFonts w:cs="Arial"/>
          <w:b/>
          <w:bCs/>
          <w:iCs/>
        </w:rPr>
        <w:t xml:space="preserve">o 3,5 % </w:t>
      </w:r>
      <w:r w:rsidR="00687F21">
        <w:rPr>
          <w:rFonts w:cs="Arial"/>
          <w:b/>
          <w:bCs/>
          <w:iCs/>
        </w:rPr>
        <w:t>–</w:t>
      </w:r>
      <w:r w:rsidRPr="00A227E4">
        <w:rPr>
          <w:rFonts w:cs="Arial"/>
          <w:b/>
          <w:bCs/>
          <w:iCs/>
        </w:rPr>
        <w:t xml:space="preserve"> </w:t>
      </w:r>
      <w:r w:rsidRPr="00A227E4">
        <w:rPr>
          <w:rFonts w:cs="Arial"/>
          <w:b/>
          <w:bCs/>
        </w:rPr>
        <w:t>od roku 2007,</w:t>
      </w:r>
    </w:p>
    <w:p w:rsidR="004E2B0E" w:rsidRPr="00A227E4" w:rsidRDefault="004E2B0E" w:rsidP="004E2B0E">
      <w:pPr>
        <w:spacing w:line="360" w:lineRule="auto"/>
        <w:ind w:left="720"/>
        <w:jc w:val="both"/>
        <w:rPr>
          <w:rFonts w:cs="Arial"/>
          <w:b/>
          <w:bCs/>
        </w:rPr>
      </w:pPr>
    </w:p>
    <w:p w:rsidR="004E2B0E" w:rsidRPr="006C1601" w:rsidRDefault="004E2B0E" w:rsidP="004E2B0E">
      <w:pPr>
        <w:numPr>
          <w:ilvl w:val="0"/>
          <w:numId w:val="19"/>
        </w:numPr>
        <w:tabs>
          <w:tab w:val="num" w:pos="502"/>
        </w:tabs>
        <w:spacing w:line="360" w:lineRule="auto"/>
        <w:jc w:val="both"/>
        <w:rPr>
          <w:rFonts w:cs="Arial"/>
          <w:b/>
          <w:bCs/>
        </w:rPr>
      </w:pPr>
      <w:r w:rsidRPr="00A227E4">
        <w:rPr>
          <w:rFonts w:cs="Arial"/>
          <w:b/>
          <w:bCs/>
        </w:rPr>
        <w:t xml:space="preserve">příjmy </w:t>
      </w:r>
      <w:r w:rsidRPr="00A227E4">
        <w:rPr>
          <w:b/>
          <w:bCs/>
        </w:rPr>
        <w:t xml:space="preserve">domácností sociálního charakteru </w:t>
      </w:r>
      <w:r w:rsidRPr="00A227E4">
        <w:t xml:space="preserve">– druhé nejvýznamnější složky úhrnných příjmů domácností – </w:t>
      </w:r>
      <w:r w:rsidRPr="00A227E4">
        <w:rPr>
          <w:b/>
          <w:bCs/>
        </w:rPr>
        <w:t xml:space="preserve">vzrostly </w:t>
      </w:r>
      <w:r w:rsidRPr="00A227E4">
        <w:t xml:space="preserve">jak nominálně (o 1,3 %), tak i reálně (o 0,6 %); </w:t>
      </w:r>
      <w:r w:rsidRPr="00A227E4">
        <w:rPr>
          <w:b/>
          <w:bCs/>
        </w:rPr>
        <w:t>pokles</w:t>
      </w:r>
      <w:r w:rsidRPr="00A227E4">
        <w:t xml:space="preserve"> byl zaznamenán </w:t>
      </w:r>
      <w:r w:rsidRPr="00A227E4">
        <w:rPr>
          <w:b/>
          <w:bCs/>
        </w:rPr>
        <w:t xml:space="preserve">u dávek pomoci v hmotné nouzi </w:t>
      </w:r>
      <w:r w:rsidRPr="00A227E4">
        <w:t>a </w:t>
      </w:r>
      <w:r w:rsidRPr="00A227E4">
        <w:rPr>
          <w:b/>
          <w:bCs/>
        </w:rPr>
        <w:t>podpory v nezaměstnanosti,</w:t>
      </w:r>
      <w:r w:rsidRPr="00A227E4">
        <w:t xml:space="preserve"> příjmy občanů ze </w:t>
      </w:r>
      <w:r w:rsidRPr="00A227E4">
        <w:rPr>
          <w:b/>
          <w:bCs/>
        </w:rPr>
        <w:t xml:space="preserve">všech ostatních sociálních dávek se zvýšily, </w:t>
      </w:r>
      <w:r w:rsidRPr="00A227E4">
        <w:t>nejvýrazněji u dávek nemocenského pojištění a příspěvku na péči,</w:t>
      </w:r>
    </w:p>
    <w:p w:rsidR="004E2B0E" w:rsidRPr="00A227E4" w:rsidRDefault="004E2B0E" w:rsidP="004E2B0E">
      <w:pPr>
        <w:spacing w:line="360" w:lineRule="auto"/>
        <w:ind w:left="720"/>
        <w:jc w:val="both"/>
        <w:rPr>
          <w:rFonts w:cs="Arial"/>
          <w:b/>
          <w:bCs/>
        </w:rPr>
      </w:pPr>
    </w:p>
    <w:p w:rsidR="004E2B0E" w:rsidRPr="00A227E4" w:rsidRDefault="004E2B0E" w:rsidP="004E2B0E">
      <w:pPr>
        <w:numPr>
          <w:ilvl w:val="0"/>
          <w:numId w:val="19"/>
        </w:numPr>
        <w:tabs>
          <w:tab w:val="num" w:pos="502"/>
        </w:tabs>
        <w:spacing w:line="360" w:lineRule="auto"/>
        <w:jc w:val="both"/>
        <w:rPr>
          <w:rFonts w:cs="Arial"/>
          <w:b/>
          <w:bCs/>
        </w:rPr>
      </w:pPr>
      <w:r w:rsidRPr="00A227E4">
        <w:rPr>
          <w:rFonts w:cs="Arial"/>
          <w:b/>
          <w:bCs/>
        </w:rPr>
        <w:t xml:space="preserve">průměrná </w:t>
      </w:r>
      <w:r w:rsidRPr="00A227E4">
        <w:rPr>
          <w:b/>
          <w:bCs/>
        </w:rPr>
        <w:t>výše</w:t>
      </w:r>
      <w:r w:rsidRPr="00A227E4">
        <w:t xml:space="preserve"> (samostatně vypláceného) </w:t>
      </w:r>
      <w:r w:rsidRPr="00A227E4">
        <w:rPr>
          <w:b/>
          <w:bCs/>
        </w:rPr>
        <w:t>starobního</w:t>
      </w:r>
      <w:r w:rsidRPr="00A227E4">
        <w:t xml:space="preserve"> </w:t>
      </w:r>
      <w:r w:rsidRPr="00A227E4">
        <w:rPr>
          <w:b/>
          <w:bCs/>
        </w:rPr>
        <w:t>důchodu</w:t>
      </w:r>
      <w:r w:rsidRPr="00A227E4">
        <w:t xml:space="preserve"> dosáhla úrovně </w:t>
      </w:r>
      <w:r w:rsidRPr="00A227E4">
        <w:rPr>
          <w:b/>
          <w:bCs/>
        </w:rPr>
        <w:t xml:space="preserve">11 439 Kč </w:t>
      </w:r>
      <w:r w:rsidRPr="00A227E4">
        <w:t>a srovnatelnou skutečnost za rok 2015 překročila o 1,0 %; celkový počet důchodců se v prosinci 2016 meziročně zvýšil o 18,5 tis. (o 0,6 %),</w:t>
      </w:r>
    </w:p>
    <w:p w:rsidR="004E2B0E" w:rsidRPr="00A227E4" w:rsidRDefault="004E2B0E" w:rsidP="004E2B0E">
      <w:pPr>
        <w:spacing w:line="360" w:lineRule="auto"/>
        <w:ind w:left="-218"/>
        <w:jc w:val="both"/>
        <w:rPr>
          <w:rFonts w:cs="Arial"/>
          <w:b/>
          <w:bCs/>
        </w:rPr>
      </w:pPr>
    </w:p>
    <w:p w:rsidR="004E2B0E" w:rsidRPr="00A227E4" w:rsidRDefault="004E2B0E" w:rsidP="004E2B0E">
      <w:pPr>
        <w:numPr>
          <w:ilvl w:val="0"/>
          <w:numId w:val="19"/>
        </w:numPr>
        <w:tabs>
          <w:tab w:val="num" w:pos="502"/>
        </w:tabs>
        <w:spacing w:line="360" w:lineRule="auto"/>
        <w:jc w:val="both"/>
        <w:rPr>
          <w:rFonts w:cs="Arial"/>
          <w:b/>
          <w:bCs/>
        </w:rPr>
      </w:pPr>
      <w:r w:rsidRPr="00A227E4">
        <w:rPr>
          <w:rFonts w:cs="Arial"/>
          <w:b/>
        </w:rPr>
        <w:t xml:space="preserve">na </w:t>
      </w:r>
      <w:r w:rsidRPr="00A227E4">
        <w:rPr>
          <w:b/>
          <w:bCs/>
        </w:rPr>
        <w:t xml:space="preserve">dávkách nemocenského pojištění </w:t>
      </w:r>
      <w:r w:rsidRPr="00A227E4">
        <w:t xml:space="preserve">bylo vyplaceno </w:t>
      </w:r>
      <w:r w:rsidRPr="00A227E4">
        <w:rPr>
          <w:b/>
          <w:bCs/>
        </w:rPr>
        <w:t>o 9,0 %</w:t>
      </w:r>
      <w:r w:rsidRPr="00A227E4">
        <w:t xml:space="preserve"> finančních prostředků </w:t>
      </w:r>
      <w:r w:rsidRPr="00A227E4">
        <w:rPr>
          <w:b/>
          <w:bCs/>
        </w:rPr>
        <w:t>více</w:t>
      </w:r>
      <w:r w:rsidRPr="00A227E4">
        <w:t xml:space="preserve"> než ve stejném období předchozího roku, zvýšily se zejména výdaje na nemocenské  (o 10,1 %) a ošetřovné (o 11,1 %),</w:t>
      </w:r>
    </w:p>
    <w:p w:rsidR="004E2B0E" w:rsidRPr="00A227E4" w:rsidRDefault="004E2B0E" w:rsidP="004E2B0E">
      <w:pPr>
        <w:spacing w:line="360" w:lineRule="auto"/>
        <w:ind w:left="-218"/>
        <w:jc w:val="both"/>
        <w:rPr>
          <w:rFonts w:cs="Arial"/>
          <w:b/>
          <w:bCs/>
        </w:rPr>
      </w:pPr>
    </w:p>
    <w:p w:rsidR="004E2B0E" w:rsidRPr="00A227E4" w:rsidRDefault="004E2B0E" w:rsidP="004E2B0E">
      <w:pPr>
        <w:numPr>
          <w:ilvl w:val="0"/>
          <w:numId w:val="19"/>
        </w:numPr>
        <w:tabs>
          <w:tab w:val="num" w:pos="502"/>
        </w:tabs>
        <w:spacing w:line="360" w:lineRule="auto"/>
        <w:jc w:val="both"/>
        <w:rPr>
          <w:rFonts w:cs="Arial"/>
        </w:rPr>
      </w:pPr>
      <w:r w:rsidRPr="00A227E4">
        <w:rPr>
          <w:rFonts w:cs="Arial"/>
          <w:bCs/>
        </w:rPr>
        <w:t xml:space="preserve">na </w:t>
      </w:r>
      <w:r w:rsidRPr="00A227E4">
        <w:t xml:space="preserve">podporu v nezaměstnanosti bylo vyčerpáno o 0,1 mld. Kč (0,7 %) méně než v roce 2015, </w:t>
      </w:r>
      <w:r w:rsidRPr="00A227E4">
        <w:rPr>
          <w:b/>
          <w:bCs/>
        </w:rPr>
        <w:t>průměrný</w:t>
      </w:r>
      <w:r w:rsidRPr="00A227E4">
        <w:t xml:space="preserve"> </w:t>
      </w:r>
      <w:r w:rsidRPr="00A227E4">
        <w:rPr>
          <w:b/>
          <w:bCs/>
        </w:rPr>
        <w:t xml:space="preserve">podíl nezaměstnaných osob </w:t>
      </w:r>
      <w:r w:rsidRPr="00A227E4">
        <w:t xml:space="preserve">klesl o 1,0 p. b. </w:t>
      </w:r>
      <w:proofErr w:type="gramStart"/>
      <w:r w:rsidRPr="00A227E4">
        <w:t>na</w:t>
      </w:r>
      <w:proofErr w:type="gramEnd"/>
      <w:r w:rsidRPr="00A227E4">
        <w:t xml:space="preserve"> </w:t>
      </w:r>
      <w:r w:rsidRPr="00A227E4">
        <w:rPr>
          <w:b/>
          <w:bCs/>
        </w:rPr>
        <w:t>5,6 %;</w:t>
      </w:r>
      <w:r w:rsidRPr="00A227E4">
        <w:t xml:space="preserve"> </w:t>
      </w:r>
      <w:r w:rsidRPr="00A227E4">
        <w:rPr>
          <w:b/>
          <w:bCs/>
        </w:rPr>
        <w:t>průměrná výše podpory v nezaměstnanosti</w:t>
      </w:r>
      <w:r w:rsidRPr="00A227E4">
        <w:t xml:space="preserve"> činila </w:t>
      </w:r>
      <w:r w:rsidRPr="00A227E4">
        <w:rPr>
          <w:b/>
          <w:bCs/>
        </w:rPr>
        <w:t xml:space="preserve">6 376 Kč </w:t>
      </w:r>
      <w:r w:rsidRPr="00A227E4">
        <w:t xml:space="preserve">a byla o 205 Kč </w:t>
      </w:r>
      <w:r w:rsidRPr="00A227E4">
        <w:rPr>
          <w:b/>
          <w:bCs/>
        </w:rPr>
        <w:t>vyšší</w:t>
      </w:r>
      <w:r w:rsidRPr="00A227E4">
        <w:t xml:space="preserve"> než v roce 2015,</w:t>
      </w:r>
    </w:p>
    <w:p w:rsidR="004E2B0E" w:rsidRPr="00A227E4" w:rsidRDefault="004E2B0E" w:rsidP="004E2B0E">
      <w:pPr>
        <w:numPr>
          <w:ilvl w:val="0"/>
          <w:numId w:val="19"/>
        </w:numPr>
        <w:tabs>
          <w:tab w:val="num" w:pos="502"/>
        </w:tabs>
        <w:spacing w:line="360" w:lineRule="auto"/>
        <w:jc w:val="both"/>
        <w:rPr>
          <w:rFonts w:cs="Arial"/>
        </w:rPr>
      </w:pPr>
      <w:r w:rsidRPr="00A227E4">
        <w:rPr>
          <w:rFonts w:cs="Arial"/>
        </w:rPr>
        <w:lastRenderedPageBreak/>
        <w:t>průměrná meziroční</w:t>
      </w:r>
      <w:r w:rsidRPr="00A227E4">
        <w:rPr>
          <w:rFonts w:cs="Arial"/>
          <w:b/>
          <w:bCs/>
        </w:rPr>
        <w:t xml:space="preserve"> míra cenové inflace činila 0</w:t>
      </w:r>
      <w:r w:rsidRPr="00A227E4">
        <w:rPr>
          <w:rFonts w:cs="Arial"/>
          <w:b/>
        </w:rPr>
        <w:t xml:space="preserve">,7 % </w:t>
      </w:r>
      <w:r w:rsidRPr="00A227E4">
        <w:rPr>
          <w:rFonts w:cs="Arial"/>
        </w:rPr>
        <w:t xml:space="preserve">– </w:t>
      </w:r>
      <w:r w:rsidRPr="00A227E4">
        <w:rPr>
          <w:rFonts w:cs="Arial"/>
          <w:szCs w:val="28"/>
        </w:rPr>
        <w:t>největší vliv na růst cenové hladiny v roce 2016 měly ceny alkoholických nápojů, tabáku, elektřiny, čistého nájemného, vodného, stočného a tepla a teplé vody. V opačném směru vyrovnávaly cenový vývoj levnější potraviny, nealkoholické nápoje a zejména doprava,</w:t>
      </w:r>
      <w:r w:rsidRPr="00A227E4">
        <w:rPr>
          <w:rFonts w:cs="Arial"/>
          <w:b/>
          <w:szCs w:val="28"/>
        </w:rPr>
        <w:t xml:space="preserve"> </w:t>
      </w:r>
    </w:p>
    <w:p w:rsidR="004E2B0E" w:rsidRPr="00A10E5D" w:rsidRDefault="004E2B0E" w:rsidP="004E2B0E">
      <w:pPr>
        <w:pStyle w:val="Odstavecseseznamem"/>
        <w:rPr>
          <w:rFonts w:ascii="Arial" w:hAnsi="Arial" w:cs="Arial"/>
        </w:rPr>
      </w:pPr>
    </w:p>
    <w:p w:rsidR="004E2B0E" w:rsidRPr="00A10E5D" w:rsidRDefault="004E2B0E" w:rsidP="004E2B0E">
      <w:pPr>
        <w:numPr>
          <w:ilvl w:val="0"/>
          <w:numId w:val="19"/>
        </w:numPr>
        <w:tabs>
          <w:tab w:val="num" w:pos="502"/>
        </w:tabs>
        <w:spacing w:line="360" w:lineRule="auto"/>
        <w:jc w:val="both"/>
        <w:rPr>
          <w:rFonts w:cs="Arial"/>
        </w:rPr>
      </w:pPr>
      <w:r w:rsidRPr="00A10E5D">
        <w:rPr>
          <w:rFonts w:cs="Arial"/>
          <w:b/>
          <w:szCs w:val="28"/>
        </w:rPr>
        <w:t xml:space="preserve">index spotřebitelských cen domácností důchodců se zvýšil o 0,6 % </w:t>
      </w:r>
      <w:r w:rsidRPr="00A10E5D">
        <w:rPr>
          <w:rFonts w:cs="Arial"/>
          <w:szCs w:val="28"/>
        </w:rPr>
        <w:t>–</w:t>
      </w:r>
      <w:r w:rsidRPr="00A10E5D">
        <w:rPr>
          <w:rFonts w:cs="Arial"/>
          <w:b/>
          <w:szCs w:val="28"/>
        </w:rPr>
        <w:t xml:space="preserve"> </w:t>
      </w:r>
      <w:r w:rsidRPr="00A10E5D">
        <w:rPr>
          <w:rFonts w:cs="Arial"/>
          <w:szCs w:val="28"/>
        </w:rPr>
        <w:t>při srovnání s celkovým indexem domácností se důchodcům více zvýšily náklady např. v oblastech „zdraví“, „odívaní a obuv“ a „alkoholické nápoje, tabák“</w:t>
      </w:r>
      <w:r w:rsidRPr="00A10E5D">
        <w:rPr>
          <w:rFonts w:cs="Arial"/>
          <w:bCs/>
        </w:rPr>
        <w:t xml:space="preserve">,  </w:t>
      </w:r>
    </w:p>
    <w:p w:rsidR="004E2B0E" w:rsidRPr="00A10E5D" w:rsidRDefault="004E2B0E" w:rsidP="004E2B0E">
      <w:pPr>
        <w:pStyle w:val="Odstavecseseznamem"/>
        <w:rPr>
          <w:rFonts w:ascii="Arial" w:hAnsi="Arial" w:cs="Arial"/>
        </w:rPr>
      </w:pPr>
    </w:p>
    <w:p w:rsidR="004E2B0E" w:rsidRPr="00A10E5D" w:rsidRDefault="004E2B0E" w:rsidP="004E2B0E">
      <w:pPr>
        <w:numPr>
          <w:ilvl w:val="0"/>
          <w:numId w:val="19"/>
        </w:numPr>
        <w:tabs>
          <w:tab w:val="num" w:pos="502"/>
        </w:tabs>
        <w:spacing w:line="360" w:lineRule="auto"/>
        <w:jc w:val="both"/>
        <w:rPr>
          <w:rFonts w:cs="Arial"/>
        </w:rPr>
      </w:pPr>
      <w:r w:rsidRPr="00A10E5D">
        <w:rPr>
          <w:rFonts w:cs="Arial"/>
          <w:b/>
        </w:rPr>
        <w:t>harmonizovaný index spotřebitelských cen</w:t>
      </w:r>
      <w:r w:rsidRPr="00A10E5D">
        <w:rPr>
          <w:rFonts w:cs="Arial"/>
        </w:rPr>
        <w:t xml:space="preserve"> (podle metodiky EU) činil v ČR v ročním průměru </w:t>
      </w:r>
      <w:r w:rsidRPr="00A10E5D">
        <w:rPr>
          <w:rFonts w:cs="Arial"/>
          <w:b/>
        </w:rPr>
        <w:t>100,6 %,</w:t>
      </w:r>
      <w:r w:rsidRPr="00A10E5D">
        <w:rPr>
          <w:rFonts w:cs="Arial"/>
        </w:rPr>
        <w:t xml:space="preserve"> což bylo </w:t>
      </w:r>
      <w:r w:rsidRPr="00A10E5D">
        <w:rPr>
          <w:rFonts w:cs="Arial"/>
          <w:b/>
        </w:rPr>
        <w:t xml:space="preserve">o 0,3 p. b. </w:t>
      </w:r>
      <w:proofErr w:type="gramStart"/>
      <w:r w:rsidRPr="00A10E5D">
        <w:rPr>
          <w:rFonts w:cs="Arial"/>
          <w:b/>
        </w:rPr>
        <w:t>více</w:t>
      </w:r>
      <w:proofErr w:type="gramEnd"/>
      <w:r w:rsidRPr="00A10E5D">
        <w:rPr>
          <w:rFonts w:cs="Arial"/>
          <w:b/>
        </w:rPr>
        <w:t xml:space="preserve"> než průměr</w:t>
      </w:r>
      <w:r w:rsidRPr="00A10E5D">
        <w:rPr>
          <w:rFonts w:cs="Arial"/>
        </w:rPr>
        <w:t xml:space="preserve"> 28 členských zemí </w:t>
      </w:r>
      <w:r w:rsidRPr="00A10E5D">
        <w:rPr>
          <w:rFonts w:cs="Arial"/>
          <w:b/>
        </w:rPr>
        <w:t xml:space="preserve">EU a o 0,3 p. b. více </w:t>
      </w:r>
      <w:r w:rsidRPr="00A10E5D">
        <w:rPr>
          <w:rFonts w:cs="Arial"/>
        </w:rPr>
        <w:t>než v roce 2015,</w:t>
      </w:r>
    </w:p>
    <w:p w:rsidR="004E2B0E" w:rsidRPr="00A10E5D" w:rsidRDefault="004E2B0E" w:rsidP="004E2B0E">
      <w:pPr>
        <w:pStyle w:val="Odstavecseseznamem"/>
        <w:rPr>
          <w:rFonts w:ascii="Arial" w:hAnsi="Arial" w:cs="Arial"/>
        </w:rPr>
      </w:pPr>
    </w:p>
    <w:p w:rsidR="004E2B0E" w:rsidRPr="00A10E5D" w:rsidRDefault="004E2B0E" w:rsidP="004E2B0E">
      <w:pPr>
        <w:numPr>
          <w:ilvl w:val="0"/>
          <w:numId w:val="19"/>
        </w:numPr>
        <w:tabs>
          <w:tab w:val="num" w:pos="502"/>
        </w:tabs>
        <w:spacing w:line="360" w:lineRule="auto"/>
        <w:jc w:val="both"/>
        <w:rPr>
          <w:rFonts w:cs="Arial"/>
        </w:rPr>
      </w:pPr>
      <w:r w:rsidRPr="00A10E5D">
        <w:rPr>
          <w:rFonts w:cs="Arial"/>
          <w:b/>
        </w:rPr>
        <w:t>tempo výdajů na individuální spotřebu na makroúrovni se zvýšilo</w:t>
      </w:r>
      <w:r w:rsidRPr="00A10E5D">
        <w:rPr>
          <w:rFonts w:cs="Arial"/>
        </w:rPr>
        <w:t xml:space="preserve"> v nominálním i reálném vyjádření (o 3,5 %, resp. o 2,8 %); uvedený trend svědčí o tom, že české domácností v minulém roce ve velké míře </w:t>
      </w:r>
      <w:r w:rsidRPr="00A10E5D">
        <w:rPr>
          <w:rFonts w:cs="Arial"/>
          <w:b/>
        </w:rPr>
        <w:t>realizovaly nejen nákupy zboží a služeb,</w:t>
      </w:r>
      <w:r w:rsidRPr="00A10E5D">
        <w:rPr>
          <w:rFonts w:cs="Arial"/>
        </w:rPr>
        <w:t xml:space="preserve"> ale i vydání investičního charakteru,</w:t>
      </w:r>
    </w:p>
    <w:p w:rsidR="004E2B0E" w:rsidRPr="00A10E5D" w:rsidRDefault="004E2B0E" w:rsidP="004E2B0E">
      <w:pPr>
        <w:pStyle w:val="Odstavecseseznamem"/>
        <w:rPr>
          <w:rFonts w:ascii="Arial" w:hAnsi="Arial" w:cs="Arial"/>
        </w:rPr>
      </w:pPr>
    </w:p>
    <w:p w:rsidR="004E2B0E" w:rsidRPr="00A10E5D" w:rsidRDefault="004E2B0E" w:rsidP="004E2B0E">
      <w:pPr>
        <w:numPr>
          <w:ilvl w:val="0"/>
          <w:numId w:val="19"/>
        </w:numPr>
        <w:tabs>
          <w:tab w:val="num" w:pos="502"/>
        </w:tabs>
        <w:spacing w:line="360" w:lineRule="auto"/>
        <w:jc w:val="both"/>
        <w:rPr>
          <w:rFonts w:cs="Arial"/>
        </w:rPr>
      </w:pPr>
      <w:r w:rsidRPr="00A10E5D">
        <w:t xml:space="preserve">celkový </w:t>
      </w:r>
      <w:r w:rsidRPr="00A10E5D">
        <w:rPr>
          <w:b/>
          <w:bCs/>
        </w:rPr>
        <w:t xml:space="preserve">objem úvěrů domácností </w:t>
      </w:r>
      <w:r w:rsidRPr="00A10E5D">
        <w:t xml:space="preserve">evidovaných u peněžních ústavů </w:t>
      </w:r>
      <w:r w:rsidRPr="00A10E5D">
        <w:rPr>
          <w:b/>
          <w:bCs/>
        </w:rPr>
        <w:t>vzrostl</w:t>
      </w:r>
      <w:r w:rsidRPr="00A10E5D">
        <w:t xml:space="preserve"> meziročně oproti roku 2015 </w:t>
      </w:r>
      <w:r w:rsidRPr="00A10E5D">
        <w:rPr>
          <w:b/>
          <w:bCs/>
        </w:rPr>
        <w:t>o 95,7 mld. Kč</w:t>
      </w:r>
      <w:r w:rsidRPr="00A10E5D">
        <w:t xml:space="preserve"> (+7,2 %) a </w:t>
      </w:r>
      <w:r w:rsidRPr="00A10E5D">
        <w:rPr>
          <w:b/>
          <w:bCs/>
        </w:rPr>
        <w:t>dosáhl tak</w:t>
      </w:r>
      <w:r w:rsidRPr="00A10E5D">
        <w:t xml:space="preserve"> ke konci minulého roku </w:t>
      </w:r>
      <w:r w:rsidRPr="00A10E5D">
        <w:rPr>
          <w:b/>
          <w:bCs/>
        </w:rPr>
        <w:t>1 419,4 mld. Kč</w:t>
      </w:r>
      <w:r>
        <w:rPr>
          <w:b/>
          <w:bCs/>
        </w:rPr>
        <w:t>;</w:t>
      </w:r>
      <w:r w:rsidRPr="00A10E5D">
        <w:t xml:space="preserve"> </w:t>
      </w:r>
      <w:r w:rsidRPr="00A10E5D">
        <w:rPr>
          <w:b/>
          <w:bCs/>
        </w:rPr>
        <w:t>rozhodující část</w:t>
      </w:r>
      <w:r w:rsidRPr="00A10E5D">
        <w:t xml:space="preserve"> meziročního </w:t>
      </w:r>
      <w:r w:rsidRPr="00A10E5D">
        <w:rPr>
          <w:b/>
          <w:bCs/>
        </w:rPr>
        <w:t xml:space="preserve">vzestupu objemu </w:t>
      </w:r>
      <w:r w:rsidRPr="00A10E5D">
        <w:t xml:space="preserve">bankovních peněžních </w:t>
      </w:r>
      <w:r w:rsidRPr="00A10E5D">
        <w:rPr>
          <w:b/>
          <w:bCs/>
        </w:rPr>
        <w:t>půjček</w:t>
      </w:r>
      <w:r w:rsidRPr="00A10E5D">
        <w:t xml:space="preserve"> </w:t>
      </w:r>
      <w:r>
        <w:rPr>
          <w:b/>
          <w:bCs/>
        </w:rPr>
        <w:t>představovaly</w:t>
      </w:r>
      <w:r w:rsidRPr="00A10E5D">
        <w:rPr>
          <w:b/>
          <w:bCs/>
        </w:rPr>
        <w:t xml:space="preserve"> </w:t>
      </w:r>
      <w:r w:rsidRPr="00A10E5D">
        <w:t>hypoteční a jiné</w:t>
      </w:r>
      <w:r w:rsidRPr="00A10E5D">
        <w:rPr>
          <w:b/>
          <w:bCs/>
        </w:rPr>
        <w:t xml:space="preserve"> úvěry na bydlení </w:t>
      </w:r>
      <w:r w:rsidRPr="00A10E5D">
        <w:t xml:space="preserve">(1 053,3 mld. Kč), z toho se celkový </w:t>
      </w:r>
      <w:r w:rsidRPr="00A10E5D">
        <w:rPr>
          <w:b/>
          <w:bCs/>
        </w:rPr>
        <w:t xml:space="preserve">objem hypotečních úvěrů zvýšil o 77,1 mld. Kč </w:t>
      </w:r>
      <w:r w:rsidRPr="00A10E5D">
        <w:t>(na 944,1 mld. Kč),</w:t>
      </w:r>
    </w:p>
    <w:p w:rsidR="004E2B0E" w:rsidRPr="00A10E5D" w:rsidRDefault="004E2B0E" w:rsidP="004E2B0E">
      <w:pPr>
        <w:spacing w:line="360" w:lineRule="auto"/>
        <w:ind w:left="720"/>
        <w:jc w:val="both"/>
        <w:rPr>
          <w:rFonts w:cs="Arial"/>
        </w:rPr>
      </w:pPr>
    </w:p>
    <w:p w:rsidR="004E2B0E" w:rsidRPr="00A10E5D" w:rsidRDefault="004E2B0E" w:rsidP="004E2B0E">
      <w:pPr>
        <w:numPr>
          <w:ilvl w:val="0"/>
          <w:numId w:val="19"/>
        </w:numPr>
        <w:tabs>
          <w:tab w:val="num" w:pos="502"/>
        </w:tabs>
        <w:spacing w:line="360" w:lineRule="auto"/>
        <w:jc w:val="both"/>
        <w:rPr>
          <w:rFonts w:cs="Arial"/>
        </w:rPr>
      </w:pPr>
      <w:r w:rsidRPr="00A10E5D">
        <w:rPr>
          <w:rFonts w:cs="Arial"/>
          <w:b/>
          <w:bCs/>
        </w:rPr>
        <w:t xml:space="preserve">domácnosti </w:t>
      </w:r>
      <w:r w:rsidRPr="00A10E5D">
        <w:rPr>
          <w:rFonts w:cs="Arial"/>
          <w:bCs/>
        </w:rPr>
        <w:t>díky rostoucím peněžním příjmům</w:t>
      </w:r>
      <w:r w:rsidRPr="00A10E5D">
        <w:rPr>
          <w:rFonts w:cs="Arial"/>
          <w:b/>
          <w:bCs/>
        </w:rPr>
        <w:t xml:space="preserve"> navýšily stav svých úspor, </w:t>
      </w:r>
      <w:r w:rsidRPr="00A10E5D">
        <w:rPr>
          <w:rFonts w:cs="Arial"/>
          <w:bCs/>
        </w:rPr>
        <w:t xml:space="preserve">kdy se jejich celkový </w:t>
      </w:r>
      <w:r w:rsidRPr="00A10E5D">
        <w:rPr>
          <w:rFonts w:cs="Arial"/>
          <w:b/>
          <w:bCs/>
        </w:rPr>
        <w:t>objem</w:t>
      </w:r>
      <w:r w:rsidRPr="00A10E5D">
        <w:rPr>
          <w:rFonts w:cs="Arial"/>
        </w:rPr>
        <w:t xml:space="preserve"> </w:t>
      </w:r>
      <w:r w:rsidRPr="00A10E5D">
        <w:rPr>
          <w:rFonts w:cs="Arial"/>
          <w:bCs/>
        </w:rPr>
        <w:t>v roce</w:t>
      </w:r>
      <w:r w:rsidRPr="00A10E5D">
        <w:rPr>
          <w:rFonts w:cs="Arial"/>
        </w:rPr>
        <w:t xml:space="preserve"> 2016 meziročně </w:t>
      </w:r>
      <w:r w:rsidRPr="00A10E5D">
        <w:rPr>
          <w:rFonts w:cs="Arial"/>
          <w:b/>
          <w:bCs/>
        </w:rPr>
        <w:t>zvýšil</w:t>
      </w:r>
      <w:r w:rsidRPr="00A10E5D">
        <w:rPr>
          <w:rFonts w:cs="Arial"/>
          <w:bCs/>
        </w:rPr>
        <w:t xml:space="preserve"> </w:t>
      </w:r>
      <w:r w:rsidRPr="00A10E5D">
        <w:rPr>
          <w:rFonts w:cs="Arial"/>
          <w:b/>
          <w:bCs/>
        </w:rPr>
        <w:t xml:space="preserve">o 8,4 % </w:t>
      </w:r>
      <w:r w:rsidRPr="00A10E5D">
        <w:rPr>
          <w:rFonts w:cs="Arial"/>
          <w:bCs/>
        </w:rPr>
        <w:t xml:space="preserve">(+171,6 mld. Kč) </w:t>
      </w:r>
      <w:r w:rsidRPr="00A10E5D">
        <w:rPr>
          <w:rFonts w:cs="Arial"/>
          <w:b/>
          <w:bCs/>
        </w:rPr>
        <w:t>na 2 206,3 mld. Kč;</w:t>
      </w:r>
      <w:r w:rsidRPr="00A10E5D">
        <w:rPr>
          <w:rFonts w:cs="Arial"/>
          <w:bCs/>
        </w:rPr>
        <w:t xml:space="preserve"> domácnosti </w:t>
      </w:r>
      <w:r w:rsidRPr="00A10E5D">
        <w:t xml:space="preserve">dávaly výhradně přednost spoření v </w:t>
      </w:r>
      <w:r w:rsidRPr="00A10E5D">
        <w:rPr>
          <w:b/>
          <w:bCs/>
        </w:rPr>
        <w:t xml:space="preserve">netermínované formě </w:t>
      </w:r>
      <w:r>
        <w:rPr>
          <w:bCs/>
        </w:rPr>
        <w:t>(+</w:t>
      </w:r>
      <w:r w:rsidRPr="00A10E5D">
        <w:rPr>
          <w:bCs/>
        </w:rPr>
        <w:t>212,5 mld. Kč), zatímco</w:t>
      </w:r>
      <w:r w:rsidRPr="00A10E5D">
        <w:rPr>
          <w:b/>
          <w:bCs/>
        </w:rPr>
        <w:t xml:space="preserve"> termínované</w:t>
      </w:r>
      <w:r w:rsidRPr="00A10E5D">
        <w:rPr>
          <w:bCs/>
        </w:rPr>
        <w:t xml:space="preserve"> korunové</w:t>
      </w:r>
      <w:r w:rsidRPr="00A10E5D">
        <w:rPr>
          <w:b/>
          <w:bCs/>
        </w:rPr>
        <w:t xml:space="preserve"> vklady</w:t>
      </w:r>
      <w:r w:rsidRPr="00A10E5D">
        <w:rPr>
          <w:bCs/>
        </w:rPr>
        <w:t xml:space="preserve"> </w:t>
      </w:r>
      <w:r w:rsidRPr="00A10E5D">
        <w:rPr>
          <w:b/>
          <w:bCs/>
        </w:rPr>
        <w:t xml:space="preserve">se </w:t>
      </w:r>
      <w:r w:rsidRPr="00A10E5D">
        <w:rPr>
          <w:bCs/>
        </w:rPr>
        <w:t xml:space="preserve">o 40,9 mld. Kč </w:t>
      </w:r>
      <w:r w:rsidRPr="00A10E5D">
        <w:rPr>
          <w:b/>
          <w:bCs/>
        </w:rPr>
        <w:t>snížily;</w:t>
      </w:r>
      <w:r w:rsidRPr="00A10E5D">
        <w:rPr>
          <w:rFonts w:cs="Arial"/>
          <w:b/>
          <w:bCs/>
        </w:rPr>
        <w:t xml:space="preserve"> v roce 2016 </w:t>
      </w:r>
      <w:r w:rsidRPr="00A10E5D">
        <w:rPr>
          <w:rFonts w:cs="Arial"/>
          <w:bCs/>
        </w:rPr>
        <w:t xml:space="preserve">pokračoval </w:t>
      </w:r>
      <w:r w:rsidRPr="00A10E5D">
        <w:rPr>
          <w:rFonts w:cs="Arial"/>
          <w:b/>
          <w:bCs/>
        </w:rPr>
        <w:t>růst investic</w:t>
      </w:r>
      <w:r w:rsidRPr="00A10E5D">
        <w:rPr>
          <w:rFonts w:cs="Arial"/>
          <w:bCs/>
        </w:rPr>
        <w:t xml:space="preserve"> </w:t>
      </w:r>
      <w:r w:rsidRPr="00A10E5D">
        <w:rPr>
          <w:rFonts w:cs="Arial"/>
          <w:b/>
          <w:bCs/>
        </w:rPr>
        <w:t xml:space="preserve">do podílových fondů, </w:t>
      </w:r>
      <w:r w:rsidRPr="00A10E5D">
        <w:rPr>
          <w:rFonts w:cs="Arial"/>
          <w:bCs/>
        </w:rPr>
        <w:t>které dosáhly celkového objemu 432,0 mld. Kč (+50,0 mld. Kč).</w:t>
      </w:r>
    </w:p>
    <w:p w:rsidR="00D64754" w:rsidRDefault="00D64754" w:rsidP="00D64754">
      <w:pPr>
        <w:spacing w:line="360" w:lineRule="auto"/>
        <w:jc w:val="both"/>
        <w:rPr>
          <w:b/>
          <w:i/>
          <w:sz w:val="36"/>
          <w:szCs w:val="36"/>
        </w:rPr>
      </w:pPr>
      <w:r w:rsidRPr="006F0B0D">
        <w:rPr>
          <w:rFonts w:cs="Arial"/>
          <w:b/>
          <w:i/>
          <w:sz w:val="36"/>
          <w:szCs w:val="36"/>
        </w:rPr>
        <w:lastRenderedPageBreak/>
        <w:t>B.</w:t>
      </w:r>
      <w:r>
        <w:rPr>
          <w:rFonts w:cs="Arial"/>
          <w:b/>
          <w:i/>
          <w:sz w:val="36"/>
          <w:szCs w:val="36"/>
        </w:rPr>
        <w:t xml:space="preserve"> </w:t>
      </w:r>
      <w:r w:rsidRPr="006F0B0D">
        <w:rPr>
          <w:rFonts w:cs="Arial"/>
          <w:b/>
          <w:i/>
          <w:sz w:val="36"/>
          <w:szCs w:val="36"/>
        </w:rPr>
        <w:t>Vý</w:t>
      </w:r>
      <w:r w:rsidRPr="00005A60">
        <w:rPr>
          <w:b/>
          <w:i/>
          <w:sz w:val="36"/>
          <w:szCs w:val="36"/>
        </w:rPr>
        <w:t>voj rozhodujících skupin příjmů, životních</w:t>
      </w:r>
    </w:p>
    <w:p w:rsidR="00D64754" w:rsidRDefault="00D64754" w:rsidP="00D64754">
      <w:pPr>
        <w:spacing w:line="360" w:lineRule="auto"/>
        <w:ind w:left="170" w:firstLine="332"/>
        <w:jc w:val="both"/>
        <w:rPr>
          <w:b/>
          <w:i/>
          <w:sz w:val="36"/>
          <w:szCs w:val="36"/>
        </w:rPr>
      </w:pPr>
      <w:r w:rsidRPr="00005A60">
        <w:rPr>
          <w:b/>
          <w:i/>
          <w:sz w:val="36"/>
          <w:szCs w:val="36"/>
        </w:rPr>
        <w:t>nákladů, výdajů, úvěrů a úspor domácností</w:t>
      </w:r>
    </w:p>
    <w:p w:rsidR="00D64754" w:rsidRPr="006F0B0D" w:rsidRDefault="00D64754" w:rsidP="00D64754">
      <w:pPr>
        <w:spacing w:line="360" w:lineRule="auto"/>
        <w:ind w:left="170" w:firstLine="332"/>
        <w:jc w:val="both"/>
        <w:rPr>
          <w:rFonts w:cs="Arial"/>
          <w:i/>
          <w:sz w:val="36"/>
          <w:szCs w:val="36"/>
        </w:rPr>
      </w:pPr>
      <w:r>
        <w:rPr>
          <w:i/>
          <w:sz w:val="36"/>
          <w:szCs w:val="36"/>
        </w:rPr>
        <w:t>(podrobnější zhodnocení)</w:t>
      </w:r>
    </w:p>
    <w:p w:rsidR="00D64754" w:rsidRDefault="00D64754" w:rsidP="00D64754">
      <w:pPr>
        <w:spacing w:line="360" w:lineRule="auto"/>
        <w:jc w:val="both"/>
        <w:rPr>
          <w:rFonts w:cs="Arial"/>
        </w:rPr>
      </w:pPr>
    </w:p>
    <w:p w:rsidR="00D64754" w:rsidRDefault="00D64754" w:rsidP="00D64754">
      <w:pPr>
        <w:spacing w:line="360" w:lineRule="auto"/>
        <w:jc w:val="both"/>
        <w:rPr>
          <w:rFonts w:cs="Arial"/>
        </w:rPr>
      </w:pPr>
    </w:p>
    <w:p w:rsidR="00D64754" w:rsidRPr="006F0B0D" w:rsidRDefault="00D64754" w:rsidP="00D64754">
      <w:pPr>
        <w:spacing w:line="360" w:lineRule="auto"/>
        <w:jc w:val="both"/>
        <w:rPr>
          <w:rFonts w:cs="Arial"/>
          <w:b/>
          <w:sz w:val="36"/>
          <w:szCs w:val="36"/>
        </w:rPr>
      </w:pPr>
      <w:r w:rsidRPr="006F0B0D">
        <w:rPr>
          <w:rFonts w:cs="Arial"/>
          <w:b/>
          <w:sz w:val="36"/>
          <w:szCs w:val="36"/>
        </w:rPr>
        <w:t>1. Příjmy domácností</w:t>
      </w:r>
    </w:p>
    <w:p w:rsidR="00D64754" w:rsidRDefault="00D64754" w:rsidP="00D64754">
      <w:pPr>
        <w:spacing w:line="360" w:lineRule="auto"/>
        <w:jc w:val="both"/>
        <w:rPr>
          <w:b/>
          <w:bCs/>
          <w:i/>
          <w:iCs/>
          <w:sz w:val="32"/>
          <w:szCs w:val="32"/>
        </w:rPr>
      </w:pPr>
    </w:p>
    <w:p w:rsidR="00D64754" w:rsidRDefault="00D64754" w:rsidP="00D64754">
      <w:pPr>
        <w:spacing w:line="360" w:lineRule="auto"/>
        <w:jc w:val="both"/>
        <w:rPr>
          <w:rFonts w:cs="Arial"/>
        </w:rPr>
      </w:pPr>
      <w:r>
        <w:rPr>
          <w:b/>
          <w:bCs/>
          <w:i/>
          <w:iCs/>
          <w:sz w:val="32"/>
          <w:szCs w:val="32"/>
        </w:rPr>
        <w:t xml:space="preserve">1. 1 </w:t>
      </w:r>
      <w:r w:rsidRPr="00005A60">
        <w:rPr>
          <w:b/>
          <w:bCs/>
          <w:i/>
          <w:iCs/>
          <w:sz w:val="32"/>
          <w:szCs w:val="32"/>
        </w:rPr>
        <w:t>Základní charakteristika</w:t>
      </w:r>
    </w:p>
    <w:p w:rsidR="00D64754" w:rsidRDefault="00D64754" w:rsidP="00D64754">
      <w:pPr>
        <w:spacing w:line="360" w:lineRule="auto"/>
        <w:jc w:val="both"/>
        <w:rPr>
          <w:rFonts w:cs="Arial"/>
        </w:rPr>
      </w:pPr>
    </w:p>
    <w:p w:rsidR="00D64754" w:rsidRDefault="00D64754" w:rsidP="00D64754">
      <w:pPr>
        <w:spacing w:line="360" w:lineRule="auto"/>
        <w:jc w:val="both"/>
        <w:rPr>
          <w:rFonts w:cs="Arial"/>
        </w:rPr>
      </w:pPr>
      <w:r>
        <w:rPr>
          <w:rFonts w:cs="Arial"/>
        </w:rPr>
        <w:tab/>
      </w:r>
      <w:r>
        <w:rPr>
          <w:rFonts w:cs="Arial"/>
          <w:b/>
          <w:bCs/>
        </w:rPr>
        <w:t xml:space="preserve">Běžné příjmy </w:t>
      </w:r>
      <w:r w:rsidRPr="003327BB">
        <w:rPr>
          <w:rFonts w:cs="Arial"/>
          <w:b/>
        </w:rPr>
        <w:t>sektoru domácností</w:t>
      </w:r>
      <w:r>
        <w:rPr>
          <w:rFonts w:cs="Arial"/>
          <w:b/>
        </w:rPr>
        <w:t xml:space="preserve"> na makroúrovni</w:t>
      </w:r>
      <w:r>
        <w:rPr>
          <w:rFonts w:cs="Arial"/>
          <w:b/>
          <w:bCs/>
        </w:rPr>
        <w:t xml:space="preserve"> </w:t>
      </w:r>
      <w:r>
        <w:rPr>
          <w:rFonts w:cs="Arial"/>
        </w:rPr>
        <w:t>(podle statistiky národních účtů)</w:t>
      </w:r>
      <w:r>
        <w:rPr>
          <w:rFonts w:cs="Arial"/>
          <w:b/>
          <w:bCs/>
        </w:rPr>
        <w:t xml:space="preserve"> dosáhly </w:t>
      </w:r>
      <w:r>
        <w:rPr>
          <w:rFonts w:cs="Arial"/>
        </w:rPr>
        <w:t xml:space="preserve">celkové </w:t>
      </w:r>
      <w:r>
        <w:rPr>
          <w:rFonts w:cs="Arial"/>
          <w:b/>
          <w:bCs/>
        </w:rPr>
        <w:t>výše</w:t>
      </w:r>
      <w:r>
        <w:rPr>
          <w:rFonts w:cs="Arial"/>
        </w:rPr>
        <w:t xml:space="preserve"> </w:t>
      </w:r>
      <w:r>
        <w:rPr>
          <w:rFonts w:cs="Arial"/>
          <w:b/>
          <w:bCs/>
        </w:rPr>
        <w:t>3 570,9 mld. Kč.</w:t>
      </w:r>
      <w:r>
        <w:rPr>
          <w:rFonts w:cs="Arial"/>
        </w:rPr>
        <w:t xml:space="preserve"> Meziročně tak </w:t>
      </w:r>
      <w:r>
        <w:rPr>
          <w:rFonts w:cs="Arial"/>
          <w:b/>
        </w:rPr>
        <w:t>vzrostly</w:t>
      </w:r>
      <w:r>
        <w:rPr>
          <w:rFonts w:cs="Arial"/>
        </w:rPr>
        <w:t xml:space="preserve"> </w:t>
      </w:r>
      <w:r>
        <w:rPr>
          <w:rFonts w:cs="Arial"/>
          <w:b/>
          <w:bCs/>
        </w:rPr>
        <w:t xml:space="preserve">nominálně o 3,1 % </w:t>
      </w:r>
      <w:r>
        <w:rPr>
          <w:rFonts w:cs="Arial"/>
        </w:rPr>
        <w:t>(+106,2 mld. Kč) a</w:t>
      </w:r>
      <w:r>
        <w:rPr>
          <w:rFonts w:cs="Arial"/>
          <w:b/>
          <w:bCs/>
        </w:rPr>
        <w:t xml:space="preserve"> reálně o 2,4 % </w:t>
      </w:r>
      <w:r>
        <w:rPr>
          <w:rFonts w:cs="Arial"/>
        </w:rPr>
        <w:t>(při růstu hrubého domácího produktu ve stálých cenách o 2,4 %). Strukturu běžných příjmů ukazuje graf č. 1 v příloze.</w:t>
      </w:r>
    </w:p>
    <w:p w:rsidR="00D64754" w:rsidRPr="00F3458C" w:rsidRDefault="00D64754" w:rsidP="00D64754">
      <w:pPr>
        <w:rPr>
          <w:rFonts w:cs="Arial"/>
        </w:rPr>
      </w:pPr>
    </w:p>
    <w:p w:rsidR="00D64754" w:rsidRPr="000563FA" w:rsidRDefault="00D64754" w:rsidP="00D64754">
      <w:pPr>
        <w:ind w:left="708"/>
        <w:jc w:val="both"/>
        <w:rPr>
          <w:rFonts w:cs="Arial"/>
        </w:rPr>
      </w:pPr>
      <w:r>
        <w:rPr>
          <w:rFonts w:cs="Arial"/>
          <w:b/>
          <w:bCs/>
        </w:rPr>
        <w:t>Na</w:t>
      </w:r>
      <w:r>
        <w:rPr>
          <w:rFonts w:cs="Arial"/>
        </w:rPr>
        <w:t xml:space="preserve"> </w:t>
      </w:r>
      <w:r>
        <w:rPr>
          <w:rFonts w:cs="Arial"/>
          <w:b/>
          <w:bCs/>
        </w:rPr>
        <w:t xml:space="preserve">reálném růstu </w:t>
      </w:r>
      <w:r>
        <w:rPr>
          <w:rFonts w:cs="Arial"/>
        </w:rPr>
        <w:t>úhrnného objemu</w:t>
      </w:r>
      <w:r>
        <w:rPr>
          <w:rFonts w:cs="Arial"/>
          <w:b/>
          <w:bCs/>
        </w:rPr>
        <w:t xml:space="preserve"> běžných příjmů </w:t>
      </w:r>
      <w:r>
        <w:rPr>
          <w:rFonts w:cs="Arial"/>
          <w:b/>
        </w:rPr>
        <w:t>se</w:t>
      </w:r>
      <w:r>
        <w:rPr>
          <w:rFonts w:cs="Arial"/>
        </w:rPr>
        <w:t xml:space="preserve"> přibližně 85 % </w:t>
      </w:r>
      <w:r>
        <w:rPr>
          <w:rFonts w:cs="Arial"/>
          <w:b/>
          <w:bCs/>
        </w:rPr>
        <w:t xml:space="preserve">podílely </w:t>
      </w:r>
      <w:r w:rsidRPr="00FE5F48">
        <w:rPr>
          <w:rFonts w:cs="Arial"/>
          <w:b/>
        </w:rPr>
        <w:t>náhrady zaměstnancům</w:t>
      </w:r>
      <w:r>
        <w:rPr>
          <w:rFonts w:cs="Arial"/>
          <w:b/>
        </w:rPr>
        <w:t xml:space="preserve"> </w:t>
      </w:r>
      <w:r>
        <w:rPr>
          <w:rFonts w:cs="Arial"/>
        </w:rPr>
        <w:t xml:space="preserve">(+5,3 %) a téměř jednou desetinou </w:t>
      </w:r>
      <w:r>
        <w:rPr>
          <w:rFonts w:cs="Arial"/>
          <w:b/>
        </w:rPr>
        <w:t xml:space="preserve">sociální </w:t>
      </w:r>
      <w:r w:rsidRPr="00894D6A">
        <w:rPr>
          <w:rFonts w:cs="Arial"/>
          <w:b/>
        </w:rPr>
        <w:t xml:space="preserve">dávky </w:t>
      </w:r>
      <w:r>
        <w:rPr>
          <w:rFonts w:cs="Arial"/>
        </w:rPr>
        <w:t>(+1</w:t>
      </w:r>
      <w:r w:rsidRPr="00894D6A">
        <w:rPr>
          <w:rFonts w:cs="Arial"/>
        </w:rPr>
        <w:t>,</w:t>
      </w:r>
      <w:r>
        <w:rPr>
          <w:rFonts w:cs="Arial"/>
        </w:rPr>
        <w:t>9</w:t>
      </w:r>
      <w:r w:rsidRPr="00894D6A">
        <w:rPr>
          <w:rFonts w:cs="Arial"/>
        </w:rPr>
        <w:t> %)</w:t>
      </w:r>
      <w:r>
        <w:rPr>
          <w:rFonts w:cs="Arial"/>
        </w:rPr>
        <w:t>.</w:t>
      </w:r>
      <w:r w:rsidRPr="00894D6A">
        <w:rPr>
          <w:rFonts w:cs="Arial"/>
        </w:rPr>
        <w:t xml:space="preserve"> V</w:t>
      </w:r>
      <w:r>
        <w:rPr>
          <w:rFonts w:cs="Arial"/>
        </w:rPr>
        <w:t xml:space="preserve"> </w:t>
      </w:r>
      <w:r w:rsidRPr="00894D6A">
        <w:rPr>
          <w:rFonts w:cs="Arial"/>
        </w:rPr>
        <w:t>men</w:t>
      </w:r>
      <w:r>
        <w:rPr>
          <w:rFonts w:cs="Arial"/>
        </w:rPr>
        <w:t xml:space="preserve">ší míře pak na něm participoval </w:t>
      </w:r>
      <w:r>
        <w:rPr>
          <w:rFonts w:cs="Arial"/>
          <w:b/>
          <w:bCs/>
        </w:rPr>
        <w:t>smíšený</w:t>
      </w:r>
      <w:r w:rsidRPr="00894D6A">
        <w:rPr>
          <w:rFonts w:cs="Arial"/>
          <w:b/>
          <w:bCs/>
        </w:rPr>
        <w:t xml:space="preserve"> důchod</w:t>
      </w:r>
      <w:r w:rsidRPr="00894D6A">
        <w:rPr>
          <w:rFonts w:cs="Arial"/>
        </w:rPr>
        <w:t xml:space="preserve"> (zahrnující zejména pří</w:t>
      </w:r>
      <w:r>
        <w:rPr>
          <w:rFonts w:cs="Arial"/>
        </w:rPr>
        <w:t xml:space="preserve">jmy z podnikatelských aktivit) a </w:t>
      </w:r>
      <w:r>
        <w:rPr>
          <w:rFonts w:cs="Arial"/>
          <w:b/>
        </w:rPr>
        <w:t>důchody</w:t>
      </w:r>
      <w:r w:rsidRPr="000563FA">
        <w:rPr>
          <w:rFonts w:cs="Arial"/>
          <w:b/>
        </w:rPr>
        <w:t xml:space="preserve"> z</w:t>
      </w:r>
      <w:r>
        <w:rPr>
          <w:rFonts w:cs="Arial"/>
          <w:b/>
        </w:rPr>
        <w:t> </w:t>
      </w:r>
      <w:r w:rsidRPr="000563FA">
        <w:rPr>
          <w:rFonts w:cs="Arial"/>
          <w:b/>
        </w:rPr>
        <w:t>vlastnictví</w:t>
      </w:r>
      <w:r>
        <w:rPr>
          <w:rFonts w:cs="Arial"/>
          <w:b/>
        </w:rPr>
        <w:t xml:space="preserve"> </w:t>
      </w:r>
      <w:r w:rsidRPr="00114392">
        <w:rPr>
          <w:rFonts w:cs="Arial"/>
        </w:rPr>
        <w:t>(</w:t>
      </w:r>
      <w:r>
        <w:rPr>
          <w:rFonts w:cs="Arial"/>
        </w:rPr>
        <w:t xml:space="preserve">+0,7 %, resp. +0,2 %). </w:t>
      </w:r>
      <w:r w:rsidRPr="000563FA">
        <w:rPr>
          <w:rFonts w:cs="Arial"/>
        </w:rPr>
        <w:t xml:space="preserve">Naopak </w:t>
      </w:r>
      <w:r w:rsidRPr="000563FA">
        <w:rPr>
          <w:rFonts w:cs="Arial"/>
          <w:b/>
        </w:rPr>
        <w:t>poklesla kupní síla</w:t>
      </w:r>
      <w:r w:rsidRPr="000563FA">
        <w:rPr>
          <w:rFonts w:cs="Arial"/>
        </w:rPr>
        <w:t xml:space="preserve"> (objemu)</w:t>
      </w:r>
      <w:r>
        <w:rPr>
          <w:rFonts w:cs="Arial"/>
        </w:rPr>
        <w:t xml:space="preserve"> </w:t>
      </w:r>
      <w:r w:rsidRPr="00894D6A">
        <w:rPr>
          <w:rFonts w:cs="Arial"/>
          <w:b/>
        </w:rPr>
        <w:t>ostatní</w:t>
      </w:r>
      <w:r>
        <w:rPr>
          <w:rFonts w:cs="Arial"/>
          <w:b/>
        </w:rPr>
        <w:t>ch běžných transferů</w:t>
      </w:r>
      <w:r w:rsidRPr="00894D6A">
        <w:rPr>
          <w:rFonts w:cs="Arial"/>
          <w:b/>
        </w:rPr>
        <w:t xml:space="preserve"> </w:t>
      </w:r>
      <w:r w:rsidRPr="00894D6A">
        <w:rPr>
          <w:rFonts w:cs="Arial"/>
        </w:rPr>
        <w:t xml:space="preserve">– jedná se o náhrady z neživotního </w:t>
      </w:r>
      <w:r>
        <w:rPr>
          <w:rFonts w:cs="Arial"/>
        </w:rPr>
        <w:t xml:space="preserve">pojištění, výhry ze </w:t>
      </w:r>
      <w:r w:rsidRPr="000563FA">
        <w:rPr>
          <w:rFonts w:cs="Arial"/>
        </w:rPr>
        <w:t>sázek a loterií apod</w:t>
      </w:r>
      <w:r>
        <w:rPr>
          <w:rFonts w:cs="Arial"/>
        </w:rPr>
        <w:t xml:space="preserve">. </w:t>
      </w:r>
      <w:r w:rsidR="00742B40">
        <w:rPr>
          <w:rFonts w:cs="Arial"/>
        </w:rPr>
        <w:t xml:space="preserve">– </w:t>
      </w:r>
      <w:r>
        <w:rPr>
          <w:rFonts w:cs="Arial"/>
        </w:rPr>
        <w:t>pokles o</w:t>
      </w:r>
      <w:r w:rsidRPr="000563FA">
        <w:rPr>
          <w:rFonts w:cs="Arial"/>
        </w:rPr>
        <w:t xml:space="preserve"> </w:t>
      </w:r>
      <w:r>
        <w:rPr>
          <w:rFonts w:cs="Arial"/>
        </w:rPr>
        <w:t>18</w:t>
      </w:r>
      <w:r w:rsidRPr="000563FA">
        <w:rPr>
          <w:rFonts w:cs="Arial"/>
        </w:rPr>
        <w:t>,</w:t>
      </w:r>
      <w:r>
        <w:rPr>
          <w:rFonts w:cs="Arial"/>
        </w:rPr>
        <w:t>2</w:t>
      </w:r>
      <w:r w:rsidRPr="000563FA">
        <w:rPr>
          <w:rFonts w:cs="Arial"/>
        </w:rPr>
        <w:t> %.</w:t>
      </w:r>
    </w:p>
    <w:p w:rsidR="00D64754" w:rsidRPr="000563FA" w:rsidRDefault="00D64754" w:rsidP="00D64754">
      <w:pPr>
        <w:spacing w:line="360" w:lineRule="auto"/>
        <w:jc w:val="both"/>
        <w:rPr>
          <w:rFonts w:cs="Arial"/>
        </w:rPr>
      </w:pPr>
    </w:p>
    <w:p w:rsidR="00D64754" w:rsidRDefault="00D64754" w:rsidP="00D64754">
      <w:pPr>
        <w:spacing w:line="360" w:lineRule="auto"/>
        <w:jc w:val="both"/>
        <w:rPr>
          <w:rFonts w:cs="Arial"/>
        </w:rPr>
      </w:pPr>
      <w:r w:rsidRPr="000563FA">
        <w:rPr>
          <w:rFonts w:cs="Arial"/>
        </w:rPr>
        <w:tab/>
        <w:t>Po odpočtu běžných výdajů (zejména daní z</w:t>
      </w:r>
      <w:r>
        <w:rPr>
          <w:rFonts w:cs="Arial"/>
        </w:rPr>
        <w:t xml:space="preserve"> </w:t>
      </w:r>
      <w:r w:rsidRPr="000563FA">
        <w:rPr>
          <w:rFonts w:cs="Arial"/>
        </w:rPr>
        <w:t xml:space="preserve">příjmů a příspěvků na sociální a zdravotní pojištění) zůstal sektoru domácností </w:t>
      </w:r>
      <w:r w:rsidRPr="000563FA">
        <w:rPr>
          <w:rFonts w:cs="Arial"/>
          <w:b/>
          <w:bCs/>
        </w:rPr>
        <w:t xml:space="preserve">úhrnný disponibilní důchod </w:t>
      </w:r>
      <w:r w:rsidRPr="000563FA">
        <w:rPr>
          <w:rFonts w:cs="Arial"/>
        </w:rPr>
        <w:t xml:space="preserve">v částce </w:t>
      </w:r>
      <w:r>
        <w:rPr>
          <w:rFonts w:cs="Arial"/>
          <w:b/>
          <w:bCs/>
        </w:rPr>
        <w:t>2 455</w:t>
      </w:r>
      <w:r w:rsidRPr="000563FA">
        <w:rPr>
          <w:rFonts w:cs="Arial"/>
          <w:b/>
          <w:bCs/>
        </w:rPr>
        <w:t>,</w:t>
      </w:r>
      <w:r>
        <w:rPr>
          <w:rFonts w:cs="Arial"/>
          <w:b/>
          <w:bCs/>
        </w:rPr>
        <w:t>4</w:t>
      </w:r>
      <w:r w:rsidRPr="000563FA">
        <w:rPr>
          <w:rFonts w:cs="Arial"/>
          <w:b/>
          <w:bCs/>
        </w:rPr>
        <w:t> mld. Kč,</w:t>
      </w:r>
      <w:r w:rsidRPr="000563FA">
        <w:rPr>
          <w:rFonts w:cs="Arial"/>
        </w:rPr>
        <w:t xml:space="preserve"> což bylo </w:t>
      </w:r>
      <w:r>
        <w:rPr>
          <w:rFonts w:cs="Arial"/>
          <w:b/>
          <w:bCs/>
        </w:rPr>
        <w:t>nominálně o 4</w:t>
      </w:r>
      <w:r w:rsidRPr="000563FA">
        <w:rPr>
          <w:rFonts w:cs="Arial"/>
          <w:b/>
          <w:bCs/>
        </w:rPr>
        <w:t>,</w:t>
      </w:r>
      <w:r>
        <w:rPr>
          <w:rFonts w:cs="Arial"/>
          <w:b/>
          <w:bCs/>
        </w:rPr>
        <w:t>0</w:t>
      </w:r>
      <w:r w:rsidRPr="000563FA">
        <w:rPr>
          <w:rFonts w:cs="Arial"/>
          <w:b/>
          <w:bCs/>
        </w:rPr>
        <w:t> %</w:t>
      </w:r>
      <w:r w:rsidRPr="000563FA">
        <w:rPr>
          <w:rFonts w:cs="Arial"/>
          <w:bCs/>
        </w:rPr>
        <w:t xml:space="preserve"> a </w:t>
      </w:r>
      <w:r>
        <w:rPr>
          <w:rFonts w:cs="Arial"/>
          <w:b/>
          <w:bCs/>
        </w:rPr>
        <w:t>reálně o 3,3</w:t>
      </w:r>
      <w:r w:rsidRPr="000563FA">
        <w:rPr>
          <w:rFonts w:cs="Arial"/>
          <w:b/>
          <w:bCs/>
        </w:rPr>
        <w:t xml:space="preserve"> % více </w:t>
      </w:r>
      <w:r>
        <w:rPr>
          <w:rFonts w:cs="Arial"/>
          <w:b/>
        </w:rPr>
        <w:t>než v roce 2015</w:t>
      </w:r>
      <w:r w:rsidRPr="000563FA">
        <w:rPr>
          <w:rFonts w:cs="Arial"/>
        </w:rPr>
        <w:t xml:space="preserve"> (kdy se kupní síla jeho</w:t>
      </w:r>
      <w:r>
        <w:rPr>
          <w:rFonts w:cs="Arial"/>
        </w:rPr>
        <w:t xml:space="preserve"> objemu v porovnání s rokem 2014</w:t>
      </w:r>
      <w:r w:rsidRPr="000563FA">
        <w:rPr>
          <w:rFonts w:cs="Arial"/>
        </w:rPr>
        <w:t xml:space="preserve"> </w:t>
      </w:r>
      <w:r>
        <w:rPr>
          <w:rFonts w:cs="Arial"/>
        </w:rPr>
        <w:t>zvýšila o 3,1</w:t>
      </w:r>
      <w:r w:rsidRPr="00E867DD">
        <w:rPr>
          <w:rFonts w:cs="Arial"/>
        </w:rPr>
        <w:t> %)</w:t>
      </w:r>
      <w:r>
        <w:rPr>
          <w:rFonts w:cs="Arial"/>
        </w:rPr>
        <w:t>.</w:t>
      </w:r>
    </w:p>
    <w:p w:rsidR="00D64754" w:rsidRDefault="00D64754" w:rsidP="00D64754">
      <w:pPr>
        <w:spacing w:line="360" w:lineRule="auto"/>
        <w:jc w:val="both"/>
        <w:rPr>
          <w:rFonts w:cs="Arial"/>
        </w:rPr>
      </w:pPr>
    </w:p>
    <w:p w:rsidR="00D64754" w:rsidRDefault="00D64754" w:rsidP="00D64754">
      <w:pPr>
        <w:spacing w:line="360" w:lineRule="auto"/>
        <w:jc w:val="both"/>
        <w:rPr>
          <w:rFonts w:cs="Arial"/>
          <w:b/>
          <w:bCs/>
        </w:rPr>
      </w:pPr>
      <w:r>
        <w:rPr>
          <w:rFonts w:cs="Arial"/>
        </w:rPr>
        <w:tab/>
      </w:r>
      <w:r>
        <w:rPr>
          <w:rFonts w:cs="Arial"/>
          <w:b/>
          <w:bCs/>
        </w:rPr>
        <w:t xml:space="preserve">Relace disponibilního důchodu k objemu hrubého domácího produktu </w:t>
      </w:r>
      <w:r>
        <w:rPr>
          <w:rFonts w:cs="Arial"/>
        </w:rPr>
        <w:t xml:space="preserve">(v běžných cenách) meziročně </w:t>
      </w:r>
      <w:r>
        <w:rPr>
          <w:rFonts w:cs="Arial"/>
          <w:b/>
          <w:bCs/>
        </w:rPr>
        <w:t xml:space="preserve">vzrostla </w:t>
      </w:r>
      <w:r>
        <w:rPr>
          <w:rFonts w:cs="Arial"/>
        </w:rPr>
        <w:t xml:space="preserve">o 0,3 p. b. </w:t>
      </w:r>
      <w:proofErr w:type="gramStart"/>
      <w:r>
        <w:rPr>
          <w:rFonts w:cs="Arial"/>
          <w:b/>
          <w:bCs/>
        </w:rPr>
        <w:t>na</w:t>
      </w:r>
      <w:proofErr w:type="gramEnd"/>
      <w:r>
        <w:rPr>
          <w:rFonts w:cs="Arial"/>
          <w:b/>
          <w:bCs/>
        </w:rPr>
        <w:t xml:space="preserve"> 52,1 %.</w:t>
      </w:r>
    </w:p>
    <w:p w:rsidR="00D64754" w:rsidRDefault="00D64754" w:rsidP="00D64754">
      <w:pPr>
        <w:spacing w:line="360" w:lineRule="auto"/>
        <w:jc w:val="both"/>
        <w:rPr>
          <w:rFonts w:cs="Arial"/>
          <w:b/>
          <w:bCs/>
        </w:rPr>
      </w:pPr>
    </w:p>
    <w:p w:rsidR="00D64754" w:rsidRDefault="00D64754" w:rsidP="00D64754">
      <w:pPr>
        <w:spacing w:line="360" w:lineRule="auto"/>
        <w:jc w:val="both"/>
        <w:rPr>
          <w:rFonts w:cs="Arial"/>
          <w:b/>
          <w:bCs/>
        </w:rPr>
      </w:pPr>
    </w:p>
    <w:p w:rsidR="00D64754" w:rsidRDefault="00D64754" w:rsidP="00D64754">
      <w:pPr>
        <w:spacing w:after="200" w:line="276" w:lineRule="auto"/>
        <w:rPr>
          <w:rFonts w:cs="Arial"/>
          <w:b/>
          <w:bCs/>
        </w:rPr>
      </w:pPr>
      <w:r>
        <w:rPr>
          <w:rFonts w:cs="Arial"/>
          <w:b/>
          <w:bCs/>
        </w:rPr>
        <w:br w:type="page"/>
      </w:r>
    </w:p>
    <w:p w:rsidR="00D64754" w:rsidRPr="00AD77B5" w:rsidRDefault="00742B40" w:rsidP="00742B40">
      <w:pPr>
        <w:spacing w:line="360" w:lineRule="auto"/>
        <w:jc w:val="both"/>
        <w:rPr>
          <w:rFonts w:cs="Arial"/>
          <w:bCs/>
        </w:rPr>
      </w:pPr>
      <w:r>
        <w:rPr>
          <w:rFonts w:cs="Arial"/>
        </w:rPr>
        <w:lastRenderedPageBreak/>
        <w:tab/>
      </w:r>
      <w:r w:rsidR="00D64754" w:rsidRPr="00AD77B5">
        <w:rPr>
          <w:rFonts w:cs="Arial"/>
          <w:bCs/>
        </w:rPr>
        <w:t>Na základě údajů ČSÚ ze čtvrtletních sektorových účtů dosáhl v</w:t>
      </w:r>
      <w:r w:rsidR="00D64754">
        <w:rPr>
          <w:rFonts w:cs="Arial"/>
          <w:bCs/>
        </w:rPr>
        <w:t xml:space="preserve"> </w:t>
      </w:r>
      <w:r w:rsidR="00D64754" w:rsidRPr="00AD77B5">
        <w:rPr>
          <w:rFonts w:cs="Arial"/>
          <w:bCs/>
        </w:rPr>
        <w:t xml:space="preserve">roce 2016 </w:t>
      </w:r>
      <w:r w:rsidR="00D64754" w:rsidRPr="00AD77B5">
        <w:rPr>
          <w:rFonts w:cs="Arial"/>
          <w:b/>
          <w:bCs/>
        </w:rPr>
        <w:t>průměrný měsíční příjem na obyvatele</w:t>
      </w:r>
      <w:r w:rsidR="00D64754" w:rsidRPr="00AD77B5">
        <w:rPr>
          <w:rFonts w:cs="Arial"/>
          <w:bCs/>
        </w:rPr>
        <w:t xml:space="preserve"> v</w:t>
      </w:r>
      <w:r w:rsidR="00D64754">
        <w:rPr>
          <w:rFonts w:cs="Arial"/>
          <w:bCs/>
        </w:rPr>
        <w:t xml:space="preserve"> </w:t>
      </w:r>
      <w:r w:rsidR="00D64754" w:rsidRPr="00AD77B5">
        <w:rPr>
          <w:rFonts w:cs="Arial"/>
          <w:bCs/>
        </w:rPr>
        <w:t xml:space="preserve">nominálním vyjádření hodnoty </w:t>
      </w:r>
      <w:r w:rsidR="00D64754" w:rsidRPr="00AD77B5">
        <w:rPr>
          <w:rFonts w:cs="Arial"/>
          <w:b/>
          <w:bCs/>
        </w:rPr>
        <w:t>23</w:t>
      </w:r>
      <w:r w:rsidR="00D64754">
        <w:rPr>
          <w:rFonts w:cs="Arial"/>
          <w:b/>
          <w:bCs/>
        </w:rPr>
        <w:t> </w:t>
      </w:r>
      <w:r w:rsidR="00D64754" w:rsidRPr="00AD77B5">
        <w:rPr>
          <w:rFonts w:cs="Arial"/>
          <w:b/>
          <w:bCs/>
        </w:rPr>
        <w:t>436</w:t>
      </w:r>
      <w:r w:rsidR="00D64754">
        <w:rPr>
          <w:rFonts w:cs="Arial"/>
          <w:b/>
          <w:bCs/>
        </w:rPr>
        <w:t> </w:t>
      </w:r>
      <w:r w:rsidR="00D64754" w:rsidRPr="00AD77B5">
        <w:rPr>
          <w:rFonts w:cs="Arial"/>
          <w:b/>
          <w:bCs/>
        </w:rPr>
        <w:t>Kč</w:t>
      </w:r>
      <w:r w:rsidR="00D64754" w:rsidRPr="00AD77B5">
        <w:rPr>
          <w:rFonts w:cs="Arial"/>
          <w:bCs/>
        </w:rPr>
        <w:t xml:space="preserve"> (reálně vzrostly meziročně o 3,1 %), z toho 4</w:t>
      </w:r>
      <w:r w:rsidR="00D64754">
        <w:rPr>
          <w:rFonts w:cs="Arial"/>
          <w:bCs/>
        </w:rPr>
        <w:t> </w:t>
      </w:r>
      <w:r w:rsidR="00D64754" w:rsidRPr="00AD77B5">
        <w:rPr>
          <w:rFonts w:cs="Arial"/>
          <w:bCs/>
        </w:rPr>
        <w:t>069</w:t>
      </w:r>
      <w:r w:rsidR="00D64754">
        <w:rPr>
          <w:rFonts w:cs="Arial"/>
          <w:bCs/>
        </w:rPr>
        <w:t> </w:t>
      </w:r>
      <w:r w:rsidR="00D64754" w:rsidRPr="00AD77B5">
        <w:rPr>
          <w:rFonts w:cs="Arial"/>
          <w:bCs/>
        </w:rPr>
        <w:t>Kč tvořily individuální služby a</w:t>
      </w:r>
      <w:r w:rsidR="00D64754">
        <w:rPr>
          <w:rFonts w:cs="Arial"/>
          <w:bCs/>
        </w:rPr>
        <w:t> </w:t>
      </w:r>
      <w:r w:rsidR="00D64754" w:rsidRPr="00AD77B5">
        <w:rPr>
          <w:rFonts w:cs="Arial"/>
          <w:bCs/>
        </w:rPr>
        <w:t xml:space="preserve">zboží poskytnuté vládními institucemi a neziskovými institucemi sloužícími domácnostem. </w:t>
      </w:r>
      <w:r w:rsidR="00D64754" w:rsidRPr="00922E82">
        <w:rPr>
          <w:rFonts w:cs="Arial"/>
          <w:b/>
          <w:bCs/>
        </w:rPr>
        <w:t>Průměrný měsíční příjem ze zaměstnání dosáhl</w:t>
      </w:r>
      <w:r w:rsidR="00D64754" w:rsidRPr="00AD77B5">
        <w:rPr>
          <w:rFonts w:cs="Arial"/>
          <w:bCs/>
        </w:rPr>
        <w:t xml:space="preserve"> v</w:t>
      </w:r>
      <w:r w:rsidR="00D64754">
        <w:rPr>
          <w:rFonts w:cs="Arial"/>
          <w:bCs/>
        </w:rPr>
        <w:t xml:space="preserve"> </w:t>
      </w:r>
      <w:r w:rsidR="00D64754" w:rsidRPr="00AD77B5">
        <w:rPr>
          <w:rFonts w:cs="Arial"/>
          <w:bCs/>
        </w:rPr>
        <w:t xml:space="preserve">minulém roce částky </w:t>
      </w:r>
      <w:r w:rsidR="00D64754" w:rsidRPr="00922E82">
        <w:rPr>
          <w:rFonts w:cs="Arial"/>
          <w:b/>
          <w:bCs/>
        </w:rPr>
        <w:t>28 386 Kč</w:t>
      </w:r>
      <w:r w:rsidR="00D64754" w:rsidRPr="00AD77B5">
        <w:rPr>
          <w:rFonts w:cs="Arial"/>
          <w:bCs/>
        </w:rPr>
        <w:t xml:space="preserve"> a reálně se zvýšil o 3,4 %.</w:t>
      </w:r>
    </w:p>
    <w:p w:rsidR="00D64754" w:rsidRDefault="00D64754" w:rsidP="00D64754">
      <w:pPr>
        <w:spacing w:line="360" w:lineRule="auto"/>
        <w:ind w:firstLine="708"/>
        <w:jc w:val="both"/>
        <w:rPr>
          <w:rFonts w:cs="Arial"/>
          <w:b/>
          <w:bCs/>
        </w:rPr>
      </w:pPr>
    </w:p>
    <w:p w:rsidR="00D64754" w:rsidRDefault="00D64754" w:rsidP="00D64754">
      <w:pPr>
        <w:spacing w:after="240" w:line="360" w:lineRule="auto"/>
        <w:rPr>
          <w:rFonts w:cs="Arial"/>
        </w:rPr>
      </w:pPr>
      <w:r>
        <w:rPr>
          <w:rFonts w:cs="Arial"/>
        </w:rPr>
        <w:tab/>
        <w:t>Podrobnější číselné údaje o vývoji příjmů (výdajů a úspor) sektoru domácností jsou součástí tabulky č. 1 v příloze.</w:t>
      </w:r>
    </w:p>
    <w:p w:rsidR="00D64754" w:rsidRPr="00050D02" w:rsidRDefault="00D64754" w:rsidP="00D64754">
      <w:pPr>
        <w:pStyle w:val="Zkladntext"/>
        <w:ind w:firstLine="708"/>
        <w:rPr>
          <w:b/>
          <w:bCs/>
        </w:rPr>
      </w:pPr>
      <w:r w:rsidRPr="00050D02">
        <w:rPr>
          <w:b/>
        </w:rPr>
        <w:t>Některé</w:t>
      </w:r>
      <w:r w:rsidRPr="00050D02">
        <w:rPr>
          <w:b/>
          <w:bCs/>
        </w:rPr>
        <w:t xml:space="preserve"> </w:t>
      </w:r>
      <w:r w:rsidRPr="00050D02">
        <w:rPr>
          <w:bCs/>
        </w:rPr>
        <w:t>relevantní</w:t>
      </w:r>
      <w:r w:rsidRPr="00050D02">
        <w:rPr>
          <w:b/>
          <w:bCs/>
        </w:rPr>
        <w:t xml:space="preserve"> </w:t>
      </w:r>
      <w:r w:rsidRPr="00050D02">
        <w:rPr>
          <w:bCs/>
        </w:rPr>
        <w:t>a</w:t>
      </w:r>
      <w:r w:rsidRPr="00050D02">
        <w:rPr>
          <w:b/>
          <w:bCs/>
        </w:rPr>
        <w:t xml:space="preserve"> doplňující údaje odpovídající dlouhodobě platným trendům </w:t>
      </w:r>
      <w:r w:rsidRPr="00050D02">
        <w:t xml:space="preserve">poskytují výsledky šetření </w:t>
      </w:r>
      <w:proofErr w:type="spellStart"/>
      <w:r w:rsidRPr="00050D02">
        <w:t>Eurostatu</w:t>
      </w:r>
      <w:proofErr w:type="spellEnd"/>
      <w:r w:rsidRPr="00050D02">
        <w:t xml:space="preserve"> (EU – SILC) a ČSÚ </w:t>
      </w:r>
      <w:r w:rsidRPr="00050D02">
        <w:rPr>
          <w:b/>
        </w:rPr>
        <w:t>„</w:t>
      </w:r>
      <w:r>
        <w:rPr>
          <w:b/>
        </w:rPr>
        <w:t>Ž</w:t>
      </w:r>
      <w:r w:rsidRPr="00050D02">
        <w:rPr>
          <w:b/>
        </w:rPr>
        <w:t>ivotní podmínky“</w:t>
      </w:r>
      <w:r w:rsidRPr="00050D02">
        <w:t xml:space="preserve"> (obsahující více dat o příjmech, </w:t>
      </w:r>
      <w:r>
        <w:t>jedná se</w:t>
      </w:r>
      <w:r w:rsidRPr="00050D02">
        <w:t xml:space="preserve"> převážně </w:t>
      </w:r>
      <w:r>
        <w:t>o údaje</w:t>
      </w:r>
      <w:r w:rsidRPr="00050D02">
        <w:t xml:space="preserve"> z</w:t>
      </w:r>
      <w:r>
        <w:t xml:space="preserve"> </w:t>
      </w:r>
      <w:r w:rsidRPr="00050D02">
        <w:t>roku 201</w:t>
      </w:r>
      <w:r>
        <w:t>4</w:t>
      </w:r>
      <w:r w:rsidRPr="00050D02">
        <w:t xml:space="preserve"> zjištěná na počátku roku 201</w:t>
      </w:r>
      <w:r>
        <w:t>5</w:t>
      </w:r>
      <w:r w:rsidRPr="00050D02">
        <w:t>); v</w:t>
      </w:r>
      <w:r>
        <w:t xml:space="preserve"> </w:t>
      </w:r>
      <w:r w:rsidRPr="00050D02">
        <w:t xml:space="preserve">následující pasáži </w:t>
      </w:r>
      <w:r>
        <w:t>uvedená data jsou</w:t>
      </w:r>
      <w:r w:rsidRPr="00050D02">
        <w:rPr>
          <w:b/>
          <w:bCs/>
        </w:rPr>
        <w:t xml:space="preserve"> </w:t>
      </w:r>
      <w:r w:rsidRPr="00050D02">
        <w:rPr>
          <w:bCs/>
        </w:rPr>
        <w:t>získaná na</w:t>
      </w:r>
      <w:r w:rsidR="00742B40">
        <w:rPr>
          <w:bCs/>
        </w:rPr>
        <w:t> </w:t>
      </w:r>
      <w:r w:rsidRPr="00050D02">
        <w:rPr>
          <w:bCs/>
        </w:rPr>
        <w:t>reprezentativ</w:t>
      </w:r>
      <w:r>
        <w:rPr>
          <w:bCs/>
        </w:rPr>
        <w:t>ním</w:t>
      </w:r>
      <w:r w:rsidRPr="00050D02">
        <w:rPr>
          <w:bCs/>
        </w:rPr>
        <w:t xml:space="preserve"> vzorku domácností a</w:t>
      </w:r>
      <w:r>
        <w:rPr>
          <w:bCs/>
        </w:rPr>
        <w:t xml:space="preserve"> </w:t>
      </w:r>
      <w:r w:rsidRPr="00050D02">
        <w:rPr>
          <w:b/>
          <w:bCs/>
        </w:rPr>
        <w:t xml:space="preserve">týkají se </w:t>
      </w:r>
      <w:r w:rsidRPr="00050D02">
        <w:rPr>
          <w:bCs/>
        </w:rPr>
        <w:t xml:space="preserve">obecně </w:t>
      </w:r>
      <w:r>
        <w:rPr>
          <w:b/>
          <w:bCs/>
        </w:rPr>
        <w:t>podrobnějších</w:t>
      </w:r>
      <w:r w:rsidRPr="00050D02">
        <w:rPr>
          <w:b/>
          <w:bCs/>
        </w:rPr>
        <w:t xml:space="preserve"> charakteristik příjmové diferenciace domácností.</w:t>
      </w:r>
    </w:p>
    <w:p w:rsidR="00D64754" w:rsidRPr="00050D02" w:rsidRDefault="00D64754" w:rsidP="00D64754">
      <w:pPr>
        <w:pStyle w:val="Zkladntext"/>
        <w:rPr>
          <w:b/>
          <w:bCs/>
        </w:rPr>
      </w:pPr>
    </w:p>
    <w:p w:rsidR="00D64754" w:rsidRPr="00050D02" w:rsidRDefault="00D64754" w:rsidP="00D64754">
      <w:pPr>
        <w:pStyle w:val="Zkladntext"/>
        <w:rPr>
          <w:bCs/>
        </w:rPr>
      </w:pPr>
      <w:r w:rsidRPr="00050D02">
        <w:rPr>
          <w:b/>
          <w:bCs/>
        </w:rPr>
        <w:tab/>
      </w:r>
      <w:r w:rsidRPr="00050D02">
        <w:rPr>
          <w:bCs/>
        </w:rPr>
        <w:t xml:space="preserve">Uvádíme následující doplňující poznatky, na kterých je patrné </w:t>
      </w:r>
      <w:r>
        <w:rPr>
          <w:bCs/>
        </w:rPr>
        <w:t>pokračující</w:t>
      </w:r>
      <w:r w:rsidRPr="00050D02">
        <w:rPr>
          <w:bCs/>
        </w:rPr>
        <w:t xml:space="preserve"> oživení ekonomiky ČR z</w:t>
      </w:r>
      <w:r>
        <w:rPr>
          <w:bCs/>
        </w:rPr>
        <w:t xml:space="preserve"> konce roku 2014</w:t>
      </w:r>
      <w:r w:rsidRPr="00050D02">
        <w:rPr>
          <w:bCs/>
        </w:rPr>
        <w:t>:</w:t>
      </w:r>
    </w:p>
    <w:p w:rsidR="00D64754" w:rsidRPr="00A20FE7" w:rsidRDefault="00D64754" w:rsidP="00D64754">
      <w:pPr>
        <w:pStyle w:val="Zkladntext"/>
        <w:rPr>
          <w:bCs/>
        </w:rPr>
      </w:pPr>
    </w:p>
    <w:p w:rsidR="00D64754" w:rsidRPr="00474194" w:rsidRDefault="00D64754" w:rsidP="00D64754">
      <w:pPr>
        <w:pStyle w:val="Zkladntext"/>
        <w:numPr>
          <w:ilvl w:val="0"/>
          <w:numId w:val="10"/>
        </w:numPr>
        <w:ind w:left="714" w:hanging="357"/>
      </w:pPr>
      <w:r w:rsidRPr="00446F90">
        <w:rPr>
          <w:b/>
          <w:bCs/>
        </w:rPr>
        <w:t>v</w:t>
      </w:r>
      <w:r>
        <w:rPr>
          <w:b/>
          <w:bCs/>
        </w:rPr>
        <w:t xml:space="preserve"> </w:t>
      </w:r>
      <w:r w:rsidRPr="00446F90">
        <w:rPr>
          <w:b/>
          <w:bCs/>
        </w:rPr>
        <w:t>roce 201</w:t>
      </w:r>
      <w:r>
        <w:rPr>
          <w:b/>
          <w:bCs/>
        </w:rPr>
        <w:t>4</w:t>
      </w:r>
      <w:r w:rsidRPr="00446F90">
        <w:rPr>
          <w:bCs/>
        </w:rPr>
        <w:t xml:space="preserve"> </w:t>
      </w:r>
      <w:r w:rsidRPr="00683945">
        <w:rPr>
          <w:b/>
          <w:bCs/>
        </w:rPr>
        <w:t>dosáhl</w:t>
      </w:r>
      <w:r w:rsidRPr="00446F90">
        <w:rPr>
          <w:bCs/>
        </w:rPr>
        <w:t xml:space="preserve"> roční </w:t>
      </w:r>
      <w:r w:rsidRPr="00446F90">
        <w:rPr>
          <w:b/>
          <w:bCs/>
        </w:rPr>
        <w:t>čistý</w:t>
      </w:r>
      <w:r w:rsidRPr="00446F90">
        <w:rPr>
          <w:bCs/>
        </w:rPr>
        <w:t xml:space="preserve"> peněžní </w:t>
      </w:r>
      <w:r w:rsidRPr="00446F90">
        <w:rPr>
          <w:b/>
          <w:bCs/>
        </w:rPr>
        <w:t>příjem na osobu</w:t>
      </w:r>
      <w:r w:rsidRPr="00446F90">
        <w:rPr>
          <w:bCs/>
        </w:rPr>
        <w:t xml:space="preserve"> v</w:t>
      </w:r>
      <w:r>
        <w:rPr>
          <w:bCs/>
        </w:rPr>
        <w:t xml:space="preserve"> </w:t>
      </w:r>
      <w:r w:rsidRPr="00446F90">
        <w:rPr>
          <w:bCs/>
        </w:rPr>
        <w:t xml:space="preserve">průměrné domácnosti (podle výše uvedeného zjišťování) </w:t>
      </w:r>
      <w:r w:rsidRPr="00683945">
        <w:rPr>
          <w:b/>
          <w:bCs/>
        </w:rPr>
        <w:t>15</w:t>
      </w:r>
      <w:r>
        <w:rPr>
          <w:b/>
          <w:bCs/>
        </w:rPr>
        <w:t>7</w:t>
      </w:r>
      <w:r w:rsidRPr="00683945">
        <w:rPr>
          <w:b/>
          <w:bCs/>
        </w:rPr>
        <w:t>,</w:t>
      </w:r>
      <w:r>
        <w:rPr>
          <w:b/>
          <w:bCs/>
        </w:rPr>
        <w:t>6</w:t>
      </w:r>
      <w:r w:rsidRPr="00683945">
        <w:rPr>
          <w:b/>
          <w:bCs/>
        </w:rPr>
        <w:t> tis. Kč</w:t>
      </w:r>
      <w:r w:rsidRPr="00446F90">
        <w:rPr>
          <w:bCs/>
        </w:rPr>
        <w:t xml:space="preserve"> (cca </w:t>
      </w:r>
      <w:r w:rsidRPr="00683945">
        <w:rPr>
          <w:bCs/>
        </w:rPr>
        <w:t>1</w:t>
      </w:r>
      <w:r>
        <w:rPr>
          <w:bCs/>
        </w:rPr>
        <w:t>3 135 </w:t>
      </w:r>
      <w:r w:rsidRPr="00683945">
        <w:rPr>
          <w:bCs/>
        </w:rPr>
        <w:t>Kč</w:t>
      </w:r>
      <w:r w:rsidRPr="00446F90">
        <w:rPr>
          <w:bCs/>
        </w:rPr>
        <w:t xml:space="preserve"> měsíčně), tj. o </w:t>
      </w:r>
      <w:r>
        <w:rPr>
          <w:bCs/>
        </w:rPr>
        <w:t>4</w:t>
      </w:r>
      <w:r w:rsidRPr="00446F90">
        <w:rPr>
          <w:bCs/>
        </w:rPr>
        <w:t>,</w:t>
      </w:r>
      <w:r>
        <w:rPr>
          <w:bCs/>
        </w:rPr>
        <w:t>3</w:t>
      </w:r>
      <w:r w:rsidRPr="00446F90">
        <w:rPr>
          <w:bCs/>
        </w:rPr>
        <w:t> tis. Kč více než o</w:t>
      </w:r>
      <w:r>
        <w:rPr>
          <w:bCs/>
        </w:rPr>
        <w:t xml:space="preserve"> </w:t>
      </w:r>
      <w:r w:rsidRPr="00446F90">
        <w:rPr>
          <w:bCs/>
        </w:rPr>
        <w:t>rok dříve</w:t>
      </w:r>
      <w:r>
        <w:rPr>
          <w:bCs/>
        </w:rPr>
        <w:t xml:space="preserve">. </w:t>
      </w:r>
      <w:r w:rsidRPr="00B31556">
        <w:t>Z</w:t>
      </w:r>
      <w:r>
        <w:t xml:space="preserve"> </w:t>
      </w:r>
      <w:r w:rsidRPr="00B31556">
        <w:t>hlediska postavení osoby</w:t>
      </w:r>
      <w:r w:rsidR="00C51A7B">
        <w:t> </w:t>
      </w:r>
      <w:r w:rsidRPr="00B31556">
        <w:t xml:space="preserve">v čele domácnosti se zvýšily příjmy všem </w:t>
      </w:r>
      <w:r w:rsidRPr="00667A1F">
        <w:t>skupinám</w:t>
      </w:r>
      <w:r>
        <w:t xml:space="preserve"> domácností</w:t>
      </w:r>
      <w:r w:rsidRPr="00667A1F">
        <w:t>.</w:t>
      </w:r>
      <w:r w:rsidRPr="00491DBF">
        <w:t xml:space="preserve"> </w:t>
      </w:r>
      <w:r>
        <w:t>Ze</w:t>
      </w:r>
      <w:r w:rsidR="00C51A7B">
        <w:t> </w:t>
      </w:r>
      <w:r>
        <w:t xml:space="preserve">sledovaných typů domácností </w:t>
      </w:r>
      <w:r>
        <w:rPr>
          <w:b/>
        </w:rPr>
        <w:t>nejméně</w:t>
      </w:r>
      <w:r w:rsidRPr="00491DBF">
        <w:rPr>
          <w:b/>
        </w:rPr>
        <w:t xml:space="preserve"> vzrostly příjmy</w:t>
      </w:r>
      <w:r w:rsidR="009A2147">
        <w:rPr>
          <w:b/>
        </w:rPr>
        <w:t xml:space="preserve"> osob</w:t>
      </w:r>
      <w:r w:rsidRPr="00491DBF">
        <w:rPr>
          <w:b/>
        </w:rPr>
        <w:t xml:space="preserve"> samostatně </w:t>
      </w:r>
      <w:r w:rsidR="009A2147">
        <w:rPr>
          <w:b/>
        </w:rPr>
        <w:t xml:space="preserve">výdělečně </w:t>
      </w:r>
      <w:r w:rsidRPr="00491DBF">
        <w:rPr>
          <w:b/>
        </w:rPr>
        <w:t>činných</w:t>
      </w:r>
      <w:r>
        <w:t xml:space="preserve"> (o 1,2 </w:t>
      </w:r>
      <w:r>
        <w:rPr>
          <w:lang w:val="en-US"/>
        </w:rPr>
        <w:t>%)</w:t>
      </w:r>
      <w:r>
        <w:t xml:space="preserve"> na 172,5 </w:t>
      </w:r>
      <w:r w:rsidRPr="00667A1F">
        <w:t>tis.</w:t>
      </w:r>
      <w:r>
        <w:t> </w:t>
      </w:r>
      <w:r w:rsidRPr="00667A1F">
        <w:t>Kč</w:t>
      </w:r>
      <w:r>
        <w:t xml:space="preserve"> ročně. Naopak </w:t>
      </w:r>
      <w:r>
        <w:rPr>
          <w:b/>
        </w:rPr>
        <w:t>nejrychleji</w:t>
      </w:r>
      <w:r w:rsidRPr="00491DBF">
        <w:rPr>
          <w:b/>
        </w:rPr>
        <w:t xml:space="preserve"> rostly</w:t>
      </w:r>
      <w:r>
        <w:t xml:space="preserve"> průměrné čisté </w:t>
      </w:r>
      <w:r w:rsidRPr="00491DBF">
        <w:rPr>
          <w:b/>
        </w:rPr>
        <w:t>příjmy</w:t>
      </w:r>
      <w:r>
        <w:t xml:space="preserve"> domácností </w:t>
      </w:r>
      <w:r w:rsidRPr="008E4F1B">
        <w:rPr>
          <w:b/>
        </w:rPr>
        <w:t xml:space="preserve">zaměstnanců s nižším vzděláním </w:t>
      </w:r>
      <w:r>
        <w:t>(o</w:t>
      </w:r>
      <w:r w:rsidR="00C51A7B">
        <w:t> </w:t>
      </w:r>
      <w:r>
        <w:t>3,0 % na 140,0 tis. Kč ročně)</w:t>
      </w:r>
      <w:r w:rsidRPr="00446F90">
        <w:rPr>
          <w:bCs/>
        </w:rPr>
        <w:t>,</w:t>
      </w:r>
    </w:p>
    <w:p w:rsidR="00D64754" w:rsidRPr="00446F90" w:rsidRDefault="00D64754" w:rsidP="00D64754">
      <w:pPr>
        <w:pStyle w:val="Zkladntext"/>
        <w:ind w:left="714"/>
      </w:pPr>
    </w:p>
    <w:p w:rsidR="00D64754" w:rsidRDefault="00D64754" w:rsidP="00D64754">
      <w:pPr>
        <w:pStyle w:val="Zkladntext"/>
        <w:numPr>
          <w:ilvl w:val="0"/>
          <w:numId w:val="10"/>
        </w:numPr>
        <w:ind w:left="714" w:hanging="357"/>
      </w:pPr>
      <w:r w:rsidRPr="003B4ACE">
        <w:rPr>
          <w:b/>
        </w:rPr>
        <w:t>podíl domácností</w:t>
      </w:r>
      <w:r w:rsidRPr="003B4ACE">
        <w:t xml:space="preserve"> s příjmem </w:t>
      </w:r>
      <w:r w:rsidRPr="003B4ACE">
        <w:rPr>
          <w:b/>
        </w:rPr>
        <w:t>pod hranicí chudoby dosáhl v roce 201</w:t>
      </w:r>
      <w:r>
        <w:rPr>
          <w:b/>
        </w:rPr>
        <w:t>5</w:t>
      </w:r>
      <w:r w:rsidRPr="003B4ACE">
        <w:t xml:space="preserve"> </w:t>
      </w:r>
      <w:r w:rsidRPr="003B4ACE">
        <w:rPr>
          <w:b/>
        </w:rPr>
        <w:t>úrovně 9,7 %.</w:t>
      </w:r>
      <w:r w:rsidRPr="003B4ACE">
        <w:t xml:space="preserve"> Tato hranice je </w:t>
      </w:r>
      <w:r w:rsidRPr="00190220">
        <w:t xml:space="preserve">definována jako 60 % mediánu </w:t>
      </w:r>
      <w:proofErr w:type="spellStart"/>
      <w:r w:rsidRPr="00190220">
        <w:t>ekvivalizovaného</w:t>
      </w:r>
      <w:proofErr w:type="spellEnd"/>
      <w:r w:rsidRPr="00190220">
        <w:t xml:space="preserve"> disponibilního příjmu domácnosti</w:t>
      </w:r>
      <w:r w:rsidRPr="003B4ACE">
        <w:t xml:space="preserve"> a pro domácnost jednotlivce činila ve sledovaném roce </w:t>
      </w:r>
      <w:r>
        <w:t>10</w:t>
      </w:r>
      <w:r w:rsidRPr="003B4ACE">
        <w:t> </w:t>
      </w:r>
      <w:r>
        <w:t>220</w:t>
      </w:r>
      <w:r w:rsidRPr="003B4ACE">
        <w:t xml:space="preserve"> Kč. </w:t>
      </w:r>
      <w:r w:rsidRPr="003B4ACE">
        <w:rPr>
          <w:rFonts w:cs="Arial"/>
          <w:szCs w:val="24"/>
        </w:rPr>
        <w:t>U domácnosti dvou dospělých tato hranice vycházela 1</w:t>
      </w:r>
      <w:r>
        <w:rPr>
          <w:rFonts w:cs="Arial"/>
          <w:szCs w:val="24"/>
        </w:rPr>
        <w:t>5</w:t>
      </w:r>
      <w:r w:rsidRPr="003B4ACE">
        <w:rPr>
          <w:rFonts w:cs="Arial"/>
          <w:szCs w:val="24"/>
        </w:rPr>
        <w:t> </w:t>
      </w:r>
      <w:r>
        <w:rPr>
          <w:rFonts w:cs="Arial"/>
          <w:szCs w:val="24"/>
        </w:rPr>
        <w:t>330</w:t>
      </w:r>
      <w:r w:rsidRPr="003B4ACE">
        <w:rPr>
          <w:rFonts w:cs="Arial"/>
          <w:szCs w:val="24"/>
        </w:rPr>
        <w:t xml:space="preserve"> Kč měsíčně, u rodiče s dítětem do </w:t>
      </w:r>
      <w:r w:rsidRPr="003B4ACE">
        <w:rPr>
          <w:rFonts w:cs="Arial"/>
          <w:szCs w:val="24"/>
        </w:rPr>
        <w:lastRenderedPageBreak/>
        <w:t>13 let činila 1</w:t>
      </w:r>
      <w:r>
        <w:rPr>
          <w:rFonts w:cs="Arial"/>
          <w:szCs w:val="24"/>
        </w:rPr>
        <w:t>3</w:t>
      </w:r>
      <w:r w:rsidRPr="003B4ACE">
        <w:rPr>
          <w:rFonts w:cs="Arial"/>
          <w:szCs w:val="24"/>
        </w:rPr>
        <w:t> </w:t>
      </w:r>
      <w:r>
        <w:rPr>
          <w:rFonts w:cs="Arial"/>
          <w:szCs w:val="24"/>
        </w:rPr>
        <w:t>286</w:t>
      </w:r>
      <w:r w:rsidRPr="003B4ACE">
        <w:rPr>
          <w:rFonts w:cs="Arial"/>
          <w:szCs w:val="24"/>
        </w:rPr>
        <w:t> Kč měsíčně a pro partnerský pár se dvěma dětmi do 13 let byla 2</w:t>
      </w:r>
      <w:r>
        <w:rPr>
          <w:rFonts w:cs="Arial"/>
          <w:szCs w:val="24"/>
        </w:rPr>
        <w:t>1</w:t>
      </w:r>
      <w:r w:rsidRPr="003B4ACE">
        <w:rPr>
          <w:rFonts w:cs="Arial"/>
          <w:szCs w:val="24"/>
        </w:rPr>
        <w:t> </w:t>
      </w:r>
      <w:r>
        <w:rPr>
          <w:rFonts w:cs="Arial"/>
          <w:szCs w:val="24"/>
        </w:rPr>
        <w:t>461</w:t>
      </w:r>
      <w:r w:rsidRPr="003B4ACE">
        <w:rPr>
          <w:rFonts w:cs="Arial"/>
          <w:szCs w:val="24"/>
        </w:rPr>
        <w:t xml:space="preserve"> Kč měsíčně </w:t>
      </w:r>
      <w:r w:rsidRPr="003B4ACE">
        <w:t>(viz graf č. 2 v příloze),</w:t>
      </w:r>
    </w:p>
    <w:p w:rsidR="00D64754" w:rsidRDefault="00D64754" w:rsidP="00D64754">
      <w:pPr>
        <w:pStyle w:val="Zkladntext"/>
        <w:ind w:left="714"/>
      </w:pPr>
    </w:p>
    <w:p w:rsidR="00D64754" w:rsidRDefault="00D64754" w:rsidP="00D64754">
      <w:pPr>
        <w:pStyle w:val="Odstavecseseznamem"/>
        <w:numPr>
          <w:ilvl w:val="0"/>
          <w:numId w:val="10"/>
        </w:numPr>
        <w:spacing w:after="0" w:line="360" w:lineRule="auto"/>
        <w:ind w:left="714" w:hanging="357"/>
        <w:jc w:val="both"/>
        <w:rPr>
          <w:rFonts w:ascii="Arial" w:hAnsi="Arial" w:cs="Arial"/>
          <w:sz w:val="24"/>
          <w:szCs w:val="24"/>
        </w:rPr>
      </w:pPr>
      <w:r>
        <w:rPr>
          <w:rFonts w:ascii="Arial" w:hAnsi="Arial" w:cs="Arial"/>
          <w:sz w:val="24"/>
          <w:szCs w:val="24"/>
        </w:rPr>
        <w:t xml:space="preserve">z </w:t>
      </w:r>
      <w:r w:rsidRPr="00663122">
        <w:rPr>
          <w:rFonts w:ascii="Arial" w:hAnsi="Arial" w:cs="Arial"/>
          <w:sz w:val="24"/>
          <w:szCs w:val="24"/>
        </w:rPr>
        <w:t>dlouhodobého hlediska jsou příjmovou chudobou nejvíce zasaženými skupinami nezaměstnaní, kde bylo ohroženo 4</w:t>
      </w:r>
      <w:r>
        <w:rPr>
          <w:rFonts w:ascii="Arial" w:hAnsi="Arial" w:cs="Arial"/>
          <w:sz w:val="24"/>
          <w:szCs w:val="24"/>
        </w:rPr>
        <w:t>8</w:t>
      </w:r>
      <w:r w:rsidRPr="00663122">
        <w:rPr>
          <w:rFonts w:ascii="Arial" w:hAnsi="Arial" w:cs="Arial"/>
          <w:sz w:val="24"/>
          <w:szCs w:val="24"/>
        </w:rPr>
        <w:t>,</w:t>
      </w:r>
      <w:r>
        <w:rPr>
          <w:rFonts w:ascii="Arial" w:hAnsi="Arial" w:cs="Arial"/>
          <w:sz w:val="24"/>
          <w:szCs w:val="24"/>
        </w:rPr>
        <w:t>7</w:t>
      </w:r>
      <w:r w:rsidRPr="00663122">
        <w:rPr>
          <w:rFonts w:ascii="Arial" w:hAnsi="Arial" w:cs="Arial"/>
          <w:sz w:val="24"/>
          <w:szCs w:val="24"/>
        </w:rPr>
        <w:t xml:space="preserve"> % </w:t>
      </w:r>
      <w:r>
        <w:rPr>
          <w:rFonts w:ascii="Arial" w:hAnsi="Arial" w:cs="Arial"/>
          <w:sz w:val="24"/>
          <w:szCs w:val="24"/>
        </w:rPr>
        <w:t>osob</w:t>
      </w:r>
      <w:r w:rsidRPr="00663122">
        <w:rPr>
          <w:rFonts w:ascii="Arial" w:hAnsi="Arial" w:cs="Arial"/>
          <w:sz w:val="24"/>
          <w:szCs w:val="24"/>
        </w:rPr>
        <w:t>, neúplné rodiny s</w:t>
      </w:r>
      <w:r>
        <w:rPr>
          <w:rFonts w:ascii="Arial" w:hAnsi="Arial" w:cs="Arial"/>
          <w:sz w:val="24"/>
          <w:szCs w:val="24"/>
        </w:rPr>
        <w:t> </w:t>
      </w:r>
      <w:r w:rsidRPr="00663122">
        <w:rPr>
          <w:rFonts w:ascii="Arial" w:hAnsi="Arial" w:cs="Arial"/>
          <w:sz w:val="24"/>
          <w:szCs w:val="24"/>
        </w:rPr>
        <w:t>dětmi (3</w:t>
      </w:r>
      <w:r>
        <w:rPr>
          <w:rFonts w:ascii="Arial" w:hAnsi="Arial" w:cs="Arial"/>
          <w:sz w:val="24"/>
          <w:szCs w:val="24"/>
        </w:rPr>
        <w:t>4</w:t>
      </w:r>
      <w:r w:rsidRPr="00663122">
        <w:rPr>
          <w:rFonts w:ascii="Arial" w:hAnsi="Arial" w:cs="Arial"/>
          <w:sz w:val="24"/>
          <w:szCs w:val="24"/>
        </w:rPr>
        <w:t>,</w:t>
      </w:r>
      <w:r>
        <w:rPr>
          <w:rFonts w:ascii="Arial" w:hAnsi="Arial" w:cs="Arial"/>
          <w:sz w:val="24"/>
          <w:szCs w:val="24"/>
        </w:rPr>
        <w:t>4</w:t>
      </w:r>
      <w:r w:rsidRPr="00663122">
        <w:rPr>
          <w:rFonts w:ascii="Arial" w:hAnsi="Arial" w:cs="Arial"/>
          <w:sz w:val="24"/>
          <w:szCs w:val="24"/>
        </w:rPr>
        <w:t> %) a rodiny se třemi a více dětmi (2</w:t>
      </w:r>
      <w:r>
        <w:rPr>
          <w:rFonts w:ascii="Arial" w:hAnsi="Arial" w:cs="Arial"/>
          <w:sz w:val="24"/>
          <w:szCs w:val="24"/>
        </w:rPr>
        <w:t>5</w:t>
      </w:r>
      <w:r w:rsidRPr="00663122">
        <w:rPr>
          <w:rFonts w:ascii="Arial" w:hAnsi="Arial" w:cs="Arial"/>
          <w:sz w:val="24"/>
          <w:szCs w:val="24"/>
        </w:rPr>
        <w:t>,</w:t>
      </w:r>
      <w:r>
        <w:rPr>
          <w:rFonts w:ascii="Arial" w:hAnsi="Arial" w:cs="Arial"/>
          <w:sz w:val="24"/>
          <w:szCs w:val="24"/>
        </w:rPr>
        <w:t>1</w:t>
      </w:r>
      <w:r w:rsidRPr="00663122">
        <w:rPr>
          <w:rFonts w:ascii="Arial" w:hAnsi="Arial" w:cs="Arial"/>
          <w:sz w:val="24"/>
          <w:szCs w:val="24"/>
        </w:rPr>
        <w:t> %),</w:t>
      </w:r>
    </w:p>
    <w:p w:rsidR="00D64754" w:rsidRPr="00663122" w:rsidRDefault="00D64754" w:rsidP="00D64754">
      <w:pPr>
        <w:pStyle w:val="Odstavecseseznamem"/>
        <w:spacing w:after="0" w:line="360" w:lineRule="auto"/>
        <w:ind w:left="714"/>
        <w:jc w:val="both"/>
        <w:rPr>
          <w:rFonts w:ascii="Arial" w:hAnsi="Arial" w:cs="Arial"/>
          <w:sz w:val="24"/>
          <w:szCs w:val="24"/>
        </w:rPr>
      </w:pPr>
    </w:p>
    <w:p w:rsidR="00D64754" w:rsidRPr="00474194" w:rsidRDefault="00D64754" w:rsidP="00D64754">
      <w:pPr>
        <w:pStyle w:val="Zkladntext"/>
        <w:numPr>
          <w:ilvl w:val="0"/>
          <w:numId w:val="10"/>
        </w:numPr>
        <w:ind w:left="714" w:hanging="357"/>
      </w:pPr>
      <w:r w:rsidRPr="00B45A86">
        <w:rPr>
          <w:b/>
        </w:rPr>
        <w:t>míra materiální deprivace</w:t>
      </w:r>
      <w:r w:rsidRPr="00B45A86">
        <w:t xml:space="preserve"> (podíl osob, které trpí materiálním nedostatkem, </w:t>
      </w:r>
      <w:proofErr w:type="gramStart"/>
      <w:r w:rsidRPr="00B45A86">
        <w:t>tzn. nemohou</w:t>
      </w:r>
      <w:proofErr w:type="gramEnd"/>
      <w:r w:rsidRPr="00B45A86">
        <w:t xml:space="preserve"> si dovolit 4 z</w:t>
      </w:r>
      <w:r>
        <w:t xml:space="preserve"> </w:t>
      </w:r>
      <w:r w:rsidRPr="00B45A86">
        <w:t xml:space="preserve">9 sledovaných položek) </w:t>
      </w:r>
      <w:r w:rsidRPr="0020551E">
        <w:rPr>
          <w:b/>
        </w:rPr>
        <w:t>byla</w:t>
      </w:r>
      <w:r>
        <w:t xml:space="preserve"> </w:t>
      </w:r>
      <w:r w:rsidRPr="00B45A86">
        <w:t xml:space="preserve">podle dat </w:t>
      </w:r>
      <w:proofErr w:type="spellStart"/>
      <w:r w:rsidRPr="00B45A86">
        <w:t>Eurostatu</w:t>
      </w:r>
      <w:proofErr w:type="spellEnd"/>
      <w:r w:rsidRPr="00B45A86">
        <w:t xml:space="preserve"> a ČSÚ </w:t>
      </w:r>
      <w:r w:rsidRPr="00B45A86">
        <w:rPr>
          <w:b/>
        </w:rPr>
        <w:t>v</w:t>
      </w:r>
      <w:r>
        <w:rPr>
          <w:b/>
        </w:rPr>
        <w:t xml:space="preserve"> </w:t>
      </w:r>
      <w:r w:rsidRPr="00B45A86">
        <w:rPr>
          <w:b/>
        </w:rPr>
        <w:t>roce 201</w:t>
      </w:r>
      <w:r>
        <w:rPr>
          <w:b/>
        </w:rPr>
        <w:t>5</w:t>
      </w:r>
      <w:r w:rsidRPr="00B45A86">
        <w:t xml:space="preserve"> </w:t>
      </w:r>
      <w:r>
        <w:t>mírně nižší než v předchozím roce</w:t>
      </w:r>
      <w:r w:rsidRPr="00B45A86">
        <w:t xml:space="preserve"> a </w:t>
      </w:r>
      <w:r w:rsidRPr="00B45A86">
        <w:rPr>
          <w:b/>
        </w:rPr>
        <w:t>činila</w:t>
      </w:r>
      <w:r w:rsidRPr="00B45A86">
        <w:t xml:space="preserve"> </w:t>
      </w:r>
      <w:r>
        <w:rPr>
          <w:b/>
        </w:rPr>
        <w:t>5</w:t>
      </w:r>
      <w:r w:rsidRPr="00B45A86">
        <w:rPr>
          <w:b/>
        </w:rPr>
        <w:t>,</w:t>
      </w:r>
      <w:r>
        <w:rPr>
          <w:b/>
        </w:rPr>
        <w:t>6</w:t>
      </w:r>
      <w:r w:rsidRPr="00B45A86">
        <w:rPr>
          <w:b/>
        </w:rPr>
        <w:t> %</w:t>
      </w:r>
      <w:r>
        <w:rPr>
          <w:b/>
        </w:rPr>
        <w:t>,</w:t>
      </w:r>
    </w:p>
    <w:p w:rsidR="00D64754" w:rsidRPr="00B45A86" w:rsidRDefault="00D64754" w:rsidP="00D64754">
      <w:pPr>
        <w:pStyle w:val="Zkladntext"/>
        <w:ind w:left="714"/>
      </w:pPr>
    </w:p>
    <w:p w:rsidR="00D64754" w:rsidRPr="005A0447" w:rsidRDefault="00D64754" w:rsidP="00D64754">
      <w:pPr>
        <w:pStyle w:val="Odstavecseseznamem"/>
        <w:numPr>
          <w:ilvl w:val="0"/>
          <w:numId w:val="10"/>
        </w:numPr>
        <w:spacing w:after="0" w:line="360" w:lineRule="auto"/>
        <w:ind w:left="714" w:hanging="357"/>
        <w:jc w:val="both"/>
        <w:rPr>
          <w:rFonts w:ascii="Arial" w:hAnsi="Arial" w:cs="Arial"/>
          <w:sz w:val="24"/>
          <w:szCs w:val="24"/>
        </w:rPr>
      </w:pPr>
      <w:r w:rsidRPr="005A0447">
        <w:rPr>
          <w:rFonts w:ascii="Arial" w:hAnsi="Arial" w:cs="Arial"/>
          <w:sz w:val="24"/>
          <w:szCs w:val="24"/>
        </w:rPr>
        <w:t>podle výsledků šetření Životní podmínky 201</w:t>
      </w:r>
      <w:r>
        <w:rPr>
          <w:rFonts w:ascii="Arial" w:hAnsi="Arial" w:cs="Arial"/>
          <w:sz w:val="24"/>
          <w:szCs w:val="24"/>
        </w:rPr>
        <w:t>5</w:t>
      </w:r>
      <w:r w:rsidRPr="005A0447">
        <w:rPr>
          <w:rFonts w:ascii="Arial" w:hAnsi="Arial" w:cs="Arial"/>
          <w:sz w:val="24"/>
          <w:szCs w:val="24"/>
        </w:rPr>
        <w:t xml:space="preserve"> se </w:t>
      </w:r>
      <w:r w:rsidRPr="005A0447">
        <w:rPr>
          <w:rFonts w:ascii="Arial" w:hAnsi="Arial" w:cs="Arial"/>
          <w:b/>
          <w:sz w:val="24"/>
          <w:szCs w:val="24"/>
        </w:rPr>
        <w:t>domácnostem</w:t>
      </w:r>
      <w:r w:rsidRPr="005A0447">
        <w:rPr>
          <w:rFonts w:ascii="Arial" w:hAnsi="Arial" w:cs="Arial"/>
          <w:sz w:val="24"/>
          <w:szCs w:val="24"/>
        </w:rPr>
        <w:t xml:space="preserve"> v roce 201</w:t>
      </w:r>
      <w:r>
        <w:rPr>
          <w:rFonts w:ascii="Arial" w:hAnsi="Arial" w:cs="Arial"/>
          <w:sz w:val="24"/>
          <w:szCs w:val="24"/>
        </w:rPr>
        <w:t>4</w:t>
      </w:r>
      <w:r w:rsidRPr="005A0447">
        <w:rPr>
          <w:rFonts w:ascii="Arial" w:hAnsi="Arial" w:cs="Arial"/>
          <w:sz w:val="24"/>
          <w:szCs w:val="24"/>
        </w:rPr>
        <w:t xml:space="preserve"> zejména díky zlepšující finanční situaci </w:t>
      </w:r>
      <w:r w:rsidRPr="005A0447">
        <w:rPr>
          <w:rFonts w:ascii="Arial" w:hAnsi="Arial" w:cs="Arial"/>
          <w:b/>
          <w:sz w:val="24"/>
          <w:szCs w:val="24"/>
        </w:rPr>
        <w:t>meziročně snížily náklady na bydlení</w:t>
      </w:r>
      <w:r w:rsidRPr="005A0447">
        <w:rPr>
          <w:rFonts w:ascii="Arial" w:hAnsi="Arial" w:cs="Arial"/>
          <w:sz w:val="24"/>
          <w:szCs w:val="24"/>
        </w:rPr>
        <w:t xml:space="preserve"> (z 18,</w:t>
      </w:r>
      <w:r>
        <w:rPr>
          <w:rFonts w:ascii="Arial" w:hAnsi="Arial" w:cs="Arial"/>
          <w:sz w:val="24"/>
          <w:szCs w:val="24"/>
        </w:rPr>
        <w:t>3</w:t>
      </w:r>
      <w:r w:rsidRPr="005A0447">
        <w:rPr>
          <w:rFonts w:ascii="Arial" w:hAnsi="Arial" w:cs="Arial"/>
          <w:sz w:val="24"/>
          <w:szCs w:val="24"/>
        </w:rPr>
        <w:t> % na 1</w:t>
      </w:r>
      <w:r>
        <w:rPr>
          <w:rFonts w:ascii="Arial" w:hAnsi="Arial" w:cs="Arial"/>
          <w:sz w:val="24"/>
          <w:szCs w:val="24"/>
        </w:rPr>
        <w:t>7</w:t>
      </w:r>
      <w:r w:rsidRPr="005A0447">
        <w:rPr>
          <w:rFonts w:ascii="Arial" w:hAnsi="Arial" w:cs="Arial"/>
          <w:sz w:val="24"/>
          <w:szCs w:val="24"/>
        </w:rPr>
        <w:t>,</w:t>
      </w:r>
      <w:r>
        <w:rPr>
          <w:rFonts w:ascii="Arial" w:hAnsi="Arial" w:cs="Arial"/>
          <w:sz w:val="24"/>
          <w:szCs w:val="24"/>
        </w:rPr>
        <w:t>7</w:t>
      </w:r>
      <w:r w:rsidRPr="005A0447">
        <w:rPr>
          <w:rFonts w:ascii="Arial" w:hAnsi="Arial" w:cs="Arial"/>
          <w:sz w:val="24"/>
          <w:szCs w:val="24"/>
        </w:rPr>
        <w:t> %). V roce 201</w:t>
      </w:r>
      <w:r>
        <w:rPr>
          <w:rFonts w:ascii="Arial" w:hAnsi="Arial" w:cs="Arial"/>
          <w:sz w:val="24"/>
          <w:szCs w:val="24"/>
        </w:rPr>
        <w:t>5</w:t>
      </w:r>
      <w:r w:rsidRPr="005A0447">
        <w:rPr>
          <w:rFonts w:ascii="Arial" w:hAnsi="Arial" w:cs="Arial"/>
          <w:sz w:val="24"/>
          <w:szCs w:val="24"/>
        </w:rPr>
        <w:t xml:space="preserve"> vnímalo náklady na bydlení jako velkou zátěž 2</w:t>
      </w:r>
      <w:r>
        <w:rPr>
          <w:rFonts w:ascii="Arial" w:hAnsi="Arial" w:cs="Arial"/>
          <w:sz w:val="24"/>
          <w:szCs w:val="24"/>
        </w:rPr>
        <w:t>4</w:t>
      </w:r>
      <w:r w:rsidRPr="005A0447">
        <w:rPr>
          <w:rFonts w:ascii="Arial" w:hAnsi="Arial" w:cs="Arial"/>
          <w:sz w:val="24"/>
          <w:szCs w:val="24"/>
        </w:rPr>
        <w:t>,</w:t>
      </w:r>
      <w:r>
        <w:rPr>
          <w:rFonts w:ascii="Arial" w:hAnsi="Arial" w:cs="Arial"/>
          <w:sz w:val="24"/>
          <w:szCs w:val="24"/>
        </w:rPr>
        <w:t>3</w:t>
      </w:r>
      <w:r w:rsidRPr="005A0447">
        <w:rPr>
          <w:rFonts w:ascii="Arial" w:hAnsi="Arial" w:cs="Arial"/>
          <w:sz w:val="24"/>
          <w:szCs w:val="24"/>
        </w:rPr>
        <w:t xml:space="preserve"> % (meziročně o </w:t>
      </w:r>
      <w:r>
        <w:rPr>
          <w:rFonts w:ascii="Arial" w:hAnsi="Arial" w:cs="Arial"/>
          <w:sz w:val="24"/>
          <w:szCs w:val="24"/>
        </w:rPr>
        <w:t>2</w:t>
      </w:r>
      <w:r w:rsidRPr="005A0447">
        <w:rPr>
          <w:rFonts w:ascii="Arial" w:hAnsi="Arial" w:cs="Arial"/>
          <w:sz w:val="24"/>
          <w:szCs w:val="24"/>
        </w:rPr>
        <w:t>,</w:t>
      </w:r>
      <w:r>
        <w:rPr>
          <w:rFonts w:ascii="Arial" w:hAnsi="Arial" w:cs="Arial"/>
          <w:sz w:val="24"/>
          <w:szCs w:val="24"/>
        </w:rPr>
        <w:t>9</w:t>
      </w:r>
      <w:r w:rsidRPr="005A0447">
        <w:rPr>
          <w:rFonts w:ascii="Arial" w:hAnsi="Arial" w:cs="Arial"/>
          <w:sz w:val="24"/>
          <w:szCs w:val="24"/>
        </w:rPr>
        <w:t xml:space="preserve"> p. b. </w:t>
      </w:r>
      <w:proofErr w:type="gramStart"/>
      <w:r w:rsidRPr="005A0447">
        <w:rPr>
          <w:rFonts w:ascii="Arial" w:hAnsi="Arial" w:cs="Arial"/>
          <w:sz w:val="24"/>
          <w:szCs w:val="24"/>
        </w:rPr>
        <w:t>méně</w:t>
      </w:r>
      <w:proofErr w:type="gramEnd"/>
      <w:r w:rsidRPr="005A0447">
        <w:rPr>
          <w:rFonts w:ascii="Arial" w:hAnsi="Arial" w:cs="Arial"/>
          <w:sz w:val="24"/>
          <w:szCs w:val="24"/>
        </w:rPr>
        <w:t xml:space="preserve">). Nejvyšší podíl nákladů na bydlení na čistých příjmech domácnosti měly domácnosti nezaměstnaných, kde výdaje na bydlení tvoří </w:t>
      </w:r>
      <w:r>
        <w:rPr>
          <w:rFonts w:ascii="Arial" w:hAnsi="Arial" w:cs="Arial"/>
          <w:sz w:val="24"/>
          <w:szCs w:val="24"/>
        </w:rPr>
        <w:t>40</w:t>
      </w:r>
      <w:r w:rsidRPr="005A0447">
        <w:rPr>
          <w:rFonts w:ascii="Arial" w:hAnsi="Arial" w:cs="Arial"/>
          <w:sz w:val="24"/>
          <w:szCs w:val="24"/>
        </w:rPr>
        <w:t>,</w:t>
      </w:r>
      <w:r>
        <w:rPr>
          <w:rFonts w:ascii="Arial" w:hAnsi="Arial" w:cs="Arial"/>
          <w:sz w:val="24"/>
          <w:szCs w:val="24"/>
        </w:rPr>
        <w:t>5 % jejich příjmů.</w:t>
      </w:r>
    </w:p>
    <w:p w:rsidR="00D64754" w:rsidRDefault="00D64754" w:rsidP="00D64754">
      <w:pPr>
        <w:tabs>
          <w:tab w:val="left" w:pos="3315"/>
        </w:tabs>
        <w:spacing w:after="120" w:line="360" w:lineRule="auto"/>
      </w:pPr>
    </w:p>
    <w:p w:rsidR="00A07E15" w:rsidRDefault="00A07E15" w:rsidP="00D64754">
      <w:pPr>
        <w:tabs>
          <w:tab w:val="left" w:pos="3315"/>
        </w:tabs>
        <w:spacing w:after="120" w:line="360" w:lineRule="auto"/>
      </w:pPr>
    </w:p>
    <w:p w:rsidR="00D64754" w:rsidRDefault="00D64754" w:rsidP="00D64754">
      <w:pPr>
        <w:spacing w:after="120" w:line="360" w:lineRule="auto"/>
      </w:pPr>
    </w:p>
    <w:p w:rsidR="00D64754" w:rsidRPr="00497665" w:rsidRDefault="00D64754" w:rsidP="00D64754">
      <w:pPr>
        <w:spacing w:after="120" w:line="360" w:lineRule="auto"/>
        <w:jc w:val="center"/>
        <w:rPr>
          <w:sz w:val="48"/>
          <w:szCs w:val="48"/>
        </w:rPr>
      </w:pPr>
      <w:proofErr w:type="gramStart"/>
      <w:r w:rsidRPr="00497665">
        <w:rPr>
          <w:sz w:val="48"/>
          <w:szCs w:val="48"/>
        </w:rPr>
        <w:t>*                  *                  *</w:t>
      </w:r>
      <w:proofErr w:type="gramEnd"/>
    </w:p>
    <w:p w:rsidR="00D64754" w:rsidRDefault="00D64754" w:rsidP="00D64754">
      <w:pPr>
        <w:pStyle w:val="Zkladntext"/>
      </w:pPr>
    </w:p>
    <w:p w:rsidR="00A07E15" w:rsidRDefault="00A07E15" w:rsidP="00D64754">
      <w:pPr>
        <w:pStyle w:val="Zkladntext"/>
      </w:pPr>
    </w:p>
    <w:p w:rsidR="00D64754" w:rsidRDefault="00D64754" w:rsidP="00D64754">
      <w:pPr>
        <w:pStyle w:val="Zkladntext"/>
      </w:pPr>
    </w:p>
    <w:p w:rsidR="00D64754" w:rsidRDefault="00D64754" w:rsidP="00D64754">
      <w:pPr>
        <w:pStyle w:val="Zkladntext"/>
        <w:rPr>
          <w:rFonts w:cs="Arial"/>
        </w:rPr>
      </w:pPr>
      <w:r>
        <w:tab/>
        <w:t>V částech 1.2 až 1.4 Analýzy jsou dále popsány nejdůležitější poznatky z vývoje nejvýznamnějších kategorií peněžních příjmů domácností, tj. mezd, příjmů sociálního charakteru a tzv. ostatních příjmů.</w:t>
      </w:r>
    </w:p>
    <w:p w:rsidR="00D64754" w:rsidRDefault="00D64754" w:rsidP="00D64754">
      <w:pPr>
        <w:spacing w:after="240" w:line="360" w:lineRule="auto"/>
        <w:rPr>
          <w:rFonts w:cs="Arial"/>
        </w:rPr>
      </w:pPr>
    </w:p>
    <w:p w:rsidR="00D64754" w:rsidRDefault="00D64754" w:rsidP="00D64754">
      <w:pPr>
        <w:spacing w:after="240" w:line="360" w:lineRule="auto"/>
        <w:rPr>
          <w:rFonts w:cs="Arial"/>
        </w:rPr>
      </w:pPr>
    </w:p>
    <w:p w:rsidR="00D64754" w:rsidRPr="005010B5" w:rsidRDefault="00D64754" w:rsidP="00D64754">
      <w:pPr>
        <w:spacing w:after="240" w:line="360" w:lineRule="auto"/>
        <w:rPr>
          <w:rFonts w:cs="Arial"/>
        </w:rPr>
      </w:pPr>
    </w:p>
    <w:p w:rsidR="00186D70" w:rsidRPr="005F4E1F" w:rsidRDefault="00186D70" w:rsidP="00186D70">
      <w:pPr>
        <w:spacing w:line="360" w:lineRule="auto"/>
        <w:rPr>
          <w:rFonts w:cs="Arial"/>
          <w:b/>
          <w:sz w:val="28"/>
          <w:szCs w:val="28"/>
        </w:rPr>
      </w:pPr>
      <w:r w:rsidRPr="00D92971">
        <w:rPr>
          <w:rFonts w:cs="Arial"/>
          <w:b/>
          <w:sz w:val="28"/>
          <w:szCs w:val="28"/>
        </w:rPr>
        <w:lastRenderedPageBreak/>
        <w:t>1. 2 Mzdy</w:t>
      </w:r>
    </w:p>
    <w:p w:rsidR="008D4509" w:rsidRDefault="008D4509" w:rsidP="00186D70">
      <w:pPr>
        <w:spacing w:line="360" w:lineRule="auto"/>
        <w:jc w:val="both"/>
      </w:pPr>
    </w:p>
    <w:p w:rsidR="00186D70" w:rsidRPr="005E6895" w:rsidRDefault="007C0B49" w:rsidP="007C0B49">
      <w:pPr>
        <w:spacing w:line="360" w:lineRule="auto"/>
        <w:jc w:val="both"/>
        <w:rPr>
          <w:rFonts w:cs="Arial"/>
          <w:szCs w:val="24"/>
        </w:rPr>
      </w:pPr>
      <w:r>
        <w:tab/>
      </w:r>
      <w:r w:rsidR="00186D70" w:rsidRPr="005F4E1F">
        <w:rPr>
          <w:rFonts w:cs="Arial"/>
          <w:b/>
          <w:szCs w:val="24"/>
        </w:rPr>
        <w:t>Rozhodující část</w:t>
      </w:r>
      <w:r w:rsidR="00186D70" w:rsidRPr="005F4E1F">
        <w:rPr>
          <w:rFonts w:cs="Arial"/>
          <w:szCs w:val="24"/>
        </w:rPr>
        <w:t xml:space="preserve"> peněžních </w:t>
      </w:r>
      <w:r w:rsidR="00186D70" w:rsidRPr="005F4E1F">
        <w:rPr>
          <w:rFonts w:cs="Arial"/>
          <w:b/>
          <w:szCs w:val="24"/>
        </w:rPr>
        <w:t>příjmů domácností tvořily mzdy.</w:t>
      </w:r>
      <w:r w:rsidR="00186D70" w:rsidRPr="005F4E1F">
        <w:rPr>
          <w:rFonts w:cs="Arial"/>
          <w:szCs w:val="24"/>
        </w:rPr>
        <w:t xml:space="preserve"> Na jejich celkových příjmech se podíle</w:t>
      </w:r>
      <w:r w:rsidR="00186D70" w:rsidRPr="009E679D">
        <w:rPr>
          <w:rFonts w:cs="Arial"/>
          <w:szCs w:val="24"/>
        </w:rPr>
        <w:t xml:space="preserve">ly </w:t>
      </w:r>
      <w:r w:rsidR="00186D70" w:rsidRPr="009E679D">
        <w:rPr>
          <w:rFonts w:cs="Arial"/>
          <w:b/>
          <w:szCs w:val="24"/>
        </w:rPr>
        <w:t>44,9 %</w:t>
      </w:r>
      <w:r w:rsidR="00186D70" w:rsidRPr="009E679D">
        <w:rPr>
          <w:rFonts w:cs="Arial"/>
          <w:szCs w:val="24"/>
        </w:rPr>
        <w:t xml:space="preserve"> (v předchozím roce 44,1 %).</w:t>
      </w:r>
      <w:r w:rsidR="00186D70" w:rsidRPr="005F4E1F">
        <w:rPr>
          <w:rFonts w:cs="Arial"/>
          <w:szCs w:val="24"/>
        </w:rPr>
        <w:t xml:space="preserve"> </w:t>
      </w:r>
    </w:p>
    <w:p w:rsidR="00186D70" w:rsidRPr="00FA1DFB" w:rsidRDefault="00186D70" w:rsidP="00186D70">
      <w:pPr>
        <w:spacing w:line="360" w:lineRule="auto"/>
        <w:jc w:val="both"/>
        <w:rPr>
          <w:rFonts w:cs="Arial"/>
          <w:szCs w:val="24"/>
        </w:rPr>
      </w:pPr>
    </w:p>
    <w:p w:rsidR="00186D70" w:rsidRPr="00D92971" w:rsidRDefault="007C0B49" w:rsidP="007C0B49">
      <w:pPr>
        <w:spacing w:line="360" w:lineRule="auto"/>
        <w:jc w:val="both"/>
        <w:rPr>
          <w:rFonts w:cs="Arial"/>
          <w:szCs w:val="24"/>
        </w:rPr>
      </w:pPr>
      <w:r>
        <w:tab/>
      </w:r>
      <w:r w:rsidR="00186D70" w:rsidRPr="00D92971">
        <w:rPr>
          <w:rFonts w:cs="Arial"/>
          <w:szCs w:val="24"/>
        </w:rPr>
        <w:t xml:space="preserve">Celkový </w:t>
      </w:r>
      <w:r w:rsidR="00186D70" w:rsidRPr="00D92971">
        <w:rPr>
          <w:rFonts w:cs="Arial"/>
          <w:b/>
          <w:szCs w:val="24"/>
        </w:rPr>
        <w:t>objem mzdových prostředků</w:t>
      </w:r>
      <w:r w:rsidR="00186D70" w:rsidRPr="00D92971">
        <w:rPr>
          <w:rFonts w:cs="Arial"/>
          <w:szCs w:val="24"/>
        </w:rPr>
        <w:t xml:space="preserve"> (bez ostatních osobních nákladů) zúčtovaný všem zaměstnancům k výplatě za celé národní hospodářství v roce 201</w:t>
      </w:r>
      <w:r w:rsidR="00186D70">
        <w:rPr>
          <w:rFonts w:cs="Arial"/>
          <w:szCs w:val="24"/>
        </w:rPr>
        <w:t>6</w:t>
      </w:r>
      <w:r w:rsidR="00186D70" w:rsidRPr="00D92971">
        <w:rPr>
          <w:rFonts w:cs="Arial"/>
          <w:szCs w:val="24"/>
        </w:rPr>
        <w:t xml:space="preserve"> dosáhl </w:t>
      </w:r>
      <w:r w:rsidR="00186D70" w:rsidRPr="00D92971">
        <w:rPr>
          <w:rFonts w:cs="Arial"/>
          <w:b/>
          <w:szCs w:val="24"/>
        </w:rPr>
        <w:t>1 </w:t>
      </w:r>
      <w:r w:rsidR="00186D70">
        <w:rPr>
          <w:rFonts w:cs="Arial"/>
          <w:b/>
          <w:szCs w:val="24"/>
        </w:rPr>
        <w:t>299</w:t>
      </w:r>
      <w:r w:rsidR="00186D70" w:rsidRPr="00D92971">
        <w:rPr>
          <w:rFonts w:cs="Arial"/>
          <w:b/>
          <w:szCs w:val="24"/>
        </w:rPr>
        <w:t>,</w:t>
      </w:r>
      <w:r w:rsidR="00186D70">
        <w:rPr>
          <w:rFonts w:cs="Arial"/>
          <w:b/>
          <w:szCs w:val="24"/>
        </w:rPr>
        <w:t>1</w:t>
      </w:r>
      <w:r w:rsidR="00186D70" w:rsidRPr="00D92971">
        <w:rPr>
          <w:rFonts w:cs="Arial"/>
          <w:b/>
          <w:szCs w:val="24"/>
        </w:rPr>
        <w:t> mld. Kč</w:t>
      </w:r>
      <w:r w:rsidR="00186D70" w:rsidRPr="00D92971">
        <w:rPr>
          <w:rFonts w:cs="Arial"/>
          <w:szCs w:val="24"/>
        </w:rPr>
        <w:t xml:space="preserve"> a byl tak nominálně o </w:t>
      </w:r>
      <w:r w:rsidR="00186D70">
        <w:rPr>
          <w:rFonts w:cs="Arial"/>
          <w:szCs w:val="24"/>
        </w:rPr>
        <w:t>6</w:t>
      </w:r>
      <w:r w:rsidR="00186D70" w:rsidRPr="00D92971">
        <w:rPr>
          <w:rFonts w:cs="Arial"/>
          <w:szCs w:val="24"/>
        </w:rPr>
        <w:t>,</w:t>
      </w:r>
      <w:r w:rsidR="00186D70">
        <w:rPr>
          <w:rFonts w:cs="Arial"/>
          <w:szCs w:val="24"/>
        </w:rPr>
        <w:t>1</w:t>
      </w:r>
      <w:r w:rsidR="00186D70" w:rsidRPr="00D92971">
        <w:rPr>
          <w:rFonts w:cs="Arial"/>
          <w:szCs w:val="24"/>
        </w:rPr>
        <w:t> % vyšší než v roce 201</w:t>
      </w:r>
      <w:r w:rsidR="00186D70">
        <w:rPr>
          <w:rFonts w:cs="Arial"/>
          <w:szCs w:val="24"/>
        </w:rPr>
        <w:t>5</w:t>
      </w:r>
      <w:r w:rsidR="00186D70" w:rsidRPr="00D92971">
        <w:rPr>
          <w:rFonts w:cs="Arial"/>
          <w:szCs w:val="24"/>
        </w:rPr>
        <w:t>.</w:t>
      </w:r>
    </w:p>
    <w:p w:rsidR="00186D70" w:rsidRDefault="00186D70" w:rsidP="00186D70">
      <w:pPr>
        <w:spacing w:line="360" w:lineRule="auto"/>
        <w:jc w:val="both"/>
        <w:rPr>
          <w:rFonts w:cs="Arial"/>
          <w:szCs w:val="24"/>
        </w:rPr>
      </w:pPr>
    </w:p>
    <w:p w:rsidR="00186D70" w:rsidRPr="006B5605" w:rsidRDefault="007C0B49" w:rsidP="007C0B49">
      <w:pPr>
        <w:spacing w:line="360" w:lineRule="auto"/>
        <w:jc w:val="both"/>
        <w:rPr>
          <w:rFonts w:cs="Arial"/>
          <w:bCs/>
          <w:iCs/>
          <w:szCs w:val="24"/>
        </w:rPr>
      </w:pPr>
      <w:r>
        <w:tab/>
      </w:r>
      <w:r w:rsidR="00186D70" w:rsidRPr="006B5605">
        <w:rPr>
          <w:rFonts w:cs="Arial"/>
          <w:b/>
          <w:iCs/>
          <w:szCs w:val="24"/>
        </w:rPr>
        <w:t>Průměrná hrubá měsíční nominální mzda</w:t>
      </w:r>
      <w:r w:rsidR="00186D70" w:rsidRPr="006B5605">
        <w:rPr>
          <w:rFonts w:cs="Arial"/>
          <w:bCs/>
          <w:iCs/>
          <w:szCs w:val="24"/>
        </w:rPr>
        <w:t xml:space="preserve"> na přepočtené počty zaměstnanců </w:t>
      </w:r>
      <w:r w:rsidR="00186D70" w:rsidRPr="006B5605">
        <w:rPr>
          <w:rFonts w:cs="Arial"/>
          <w:b/>
          <w:iCs/>
          <w:szCs w:val="24"/>
        </w:rPr>
        <w:t xml:space="preserve">v národním hospodářství dosáhla </w:t>
      </w:r>
      <w:r w:rsidR="00186D70" w:rsidRPr="006B5605">
        <w:rPr>
          <w:rFonts w:cs="Arial"/>
          <w:b/>
          <w:bCs/>
          <w:iCs/>
          <w:szCs w:val="24"/>
        </w:rPr>
        <w:t xml:space="preserve">za celý rok 2016 </w:t>
      </w:r>
      <w:r w:rsidR="00186D70" w:rsidRPr="006B5605">
        <w:rPr>
          <w:rFonts w:cs="Arial"/>
          <w:b/>
          <w:iCs/>
          <w:szCs w:val="24"/>
        </w:rPr>
        <w:t>výše</w:t>
      </w:r>
      <w:r w:rsidR="00186D70" w:rsidRPr="006B5605">
        <w:rPr>
          <w:rFonts w:cs="Arial"/>
          <w:bCs/>
          <w:iCs/>
          <w:szCs w:val="24"/>
        </w:rPr>
        <w:t xml:space="preserve"> </w:t>
      </w:r>
      <w:r w:rsidR="00186D70" w:rsidRPr="006B5605">
        <w:rPr>
          <w:rFonts w:cs="Arial"/>
          <w:b/>
          <w:iCs/>
          <w:szCs w:val="24"/>
        </w:rPr>
        <w:t>27 589 Kč</w:t>
      </w:r>
      <w:r w:rsidR="008D4509">
        <w:rPr>
          <w:rFonts w:cs="Arial"/>
          <w:b/>
          <w:iCs/>
          <w:szCs w:val="24"/>
        </w:rPr>
        <w:t>,</w:t>
      </w:r>
      <w:r w:rsidR="00186D70" w:rsidRPr="006B5605">
        <w:rPr>
          <w:rFonts w:cs="Arial"/>
          <w:iCs/>
          <w:szCs w:val="24"/>
        </w:rPr>
        <w:t xml:space="preserve"> což představovalo </w:t>
      </w:r>
      <w:r w:rsidR="00186D70" w:rsidRPr="006B5605">
        <w:rPr>
          <w:rFonts w:cs="Arial"/>
          <w:b/>
          <w:iCs/>
          <w:szCs w:val="24"/>
        </w:rPr>
        <w:t>meziroční nominální</w:t>
      </w:r>
      <w:r w:rsidR="00186D70" w:rsidRPr="006B5605">
        <w:rPr>
          <w:rFonts w:cs="Arial"/>
          <w:iCs/>
          <w:szCs w:val="24"/>
        </w:rPr>
        <w:t xml:space="preserve"> </w:t>
      </w:r>
      <w:r w:rsidR="00186D70" w:rsidRPr="006B5605">
        <w:rPr>
          <w:rFonts w:cs="Arial"/>
          <w:b/>
          <w:iCs/>
          <w:szCs w:val="24"/>
        </w:rPr>
        <w:t>nárůst o 4,2 %</w:t>
      </w:r>
      <w:r w:rsidR="008D4509">
        <w:rPr>
          <w:rFonts w:cs="Arial"/>
          <w:b/>
          <w:iCs/>
          <w:szCs w:val="24"/>
        </w:rPr>
        <w:t>,</w:t>
      </w:r>
      <w:r w:rsidR="00186D70" w:rsidRPr="006B5605">
        <w:rPr>
          <w:rFonts w:cs="Arial"/>
          <w:bCs/>
          <w:iCs/>
          <w:szCs w:val="24"/>
        </w:rPr>
        <w:t xml:space="preserve"> tj. o 1 122 Kč. Relativně vysoká dynamika nominální mzdy společně se stále ještě přetrvávající, resp. doznívající nízkou mírou cenové inflace vedly </w:t>
      </w:r>
      <w:r w:rsidR="00186D70" w:rsidRPr="006B5605">
        <w:rPr>
          <w:rFonts w:cs="Arial"/>
          <w:b/>
          <w:bCs/>
          <w:iCs/>
          <w:szCs w:val="24"/>
        </w:rPr>
        <w:t>k největšímu posílení reálné mzdy za posledních devět let.</w:t>
      </w:r>
      <w:r w:rsidR="00186D70" w:rsidRPr="006B5605">
        <w:rPr>
          <w:rFonts w:cs="Arial"/>
          <w:bCs/>
          <w:iCs/>
          <w:szCs w:val="24"/>
        </w:rPr>
        <w:t xml:space="preserve"> Spotřebitelské ceny v roce 2016 se v porovnání se stejným obdobím předchozího roku zvýšily o 0,7 % (ve stejném období roku 2015 vzrostly o 0,3 %), </w:t>
      </w:r>
      <w:proofErr w:type="gramStart"/>
      <w:r w:rsidR="00186D70" w:rsidRPr="006B5605">
        <w:rPr>
          <w:rFonts w:cs="Arial"/>
          <w:bCs/>
          <w:iCs/>
          <w:szCs w:val="24"/>
        </w:rPr>
        <w:t>tzn.</w:t>
      </w:r>
      <w:r w:rsidR="008D4509">
        <w:rPr>
          <w:rFonts w:cs="Arial"/>
          <w:bCs/>
          <w:iCs/>
          <w:szCs w:val="24"/>
        </w:rPr>
        <w:t> </w:t>
      </w:r>
      <w:r w:rsidR="00186D70" w:rsidRPr="006B5605">
        <w:rPr>
          <w:rFonts w:cs="Arial"/>
          <w:bCs/>
          <w:iCs/>
          <w:szCs w:val="24"/>
        </w:rPr>
        <w:t>že</w:t>
      </w:r>
      <w:proofErr w:type="gramEnd"/>
      <w:r w:rsidR="00186D70" w:rsidRPr="006B5605">
        <w:rPr>
          <w:rFonts w:cs="Arial"/>
          <w:bCs/>
          <w:iCs/>
          <w:szCs w:val="24"/>
        </w:rPr>
        <w:t xml:space="preserve"> </w:t>
      </w:r>
      <w:r w:rsidR="00186D70" w:rsidRPr="006B5605">
        <w:rPr>
          <w:rFonts w:cs="Arial"/>
          <w:b/>
          <w:bCs/>
          <w:iCs/>
          <w:szCs w:val="24"/>
        </w:rPr>
        <w:t>průměrná reálná mzda</w:t>
      </w:r>
      <w:r w:rsidR="00186D70" w:rsidRPr="006B5605">
        <w:rPr>
          <w:rFonts w:cs="Arial"/>
          <w:bCs/>
          <w:iCs/>
          <w:szCs w:val="24"/>
        </w:rPr>
        <w:t xml:space="preserve"> </w:t>
      </w:r>
      <w:r w:rsidR="00186D70" w:rsidRPr="006B5605">
        <w:rPr>
          <w:rFonts w:cs="Arial"/>
          <w:b/>
          <w:bCs/>
          <w:iCs/>
          <w:szCs w:val="24"/>
        </w:rPr>
        <w:t>vzrostla o 3,5 %.</w:t>
      </w:r>
      <w:r w:rsidR="00186D70" w:rsidRPr="006B5605">
        <w:rPr>
          <w:rFonts w:cs="Arial"/>
          <w:bCs/>
          <w:iCs/>
          <w:szCs w:val="24"/>
        </w:rPr>
        <w:t xml:space="preserve"> Na </w:t>
      </w:r>
      <w:r w:rsidR="00186D70" w:rsidRPr="006B5605">
        <w:rPr>
          <w:rFonts w:cs="Arial"/>
          <w:b/>
          <w:bCs/>
          <w:iCs/>
          <w:szCs w:val="24"/>
        </w:rPr>
        <w:t>zvyšující se nominální dynamiku růstu průměrné mzdy působila vysoká poptávka po pracovní síle</w:t>
      </w:r>
      <w:r w:rsidR="008D4509">
        <w:rPr>
          <w:rFonts w:cs="Arial"/>
          <w:b/>
          <w:bCs/>
          <w:iCs/>
          <w:szCs w:val="24"/>
        </w:rPr>
        <w:t>,</w:t>
      </w:r>
      <w:r w:rsidR="00186D70" w:rsidRPr="006B5605">
        <w:rPr>
          <w:rFonts w:cs="Arial"/>
          <w:bCs/>
          <w:iCs/>
          <w:szCs w:val="24"/>
        </w:rPr>
        <w:t xml:space="preserve"> zejména její nedostatek v řadě průmyslových oborů a profesí, </w:t>
      </w:r>
      <w:r w:rsidR="00186D70" w:rsidRPr="006B5605">
        <w:rPr>
          <w:rFonts w:cs="Arial"/>
          <w:b/>
          <w:bCs/>
          <w:iCs/>
          <w:szCs w:val="24"/>
        </w:rPr>
        <w:t>a mzdová konkurence mezi zaměstnavateli.</w:t>
      </w:r>
      <w:r w:rsidR="00186D70" w:rsidRPr="006B5605">
        <w:rPr>
          <w:rFonts w:cs="Arial"/>
          <w:bCs/>
          <w:iCs/>
          <w:szCs w:val="24"/>
        </w:rPr>
        <w:t xml:space="preserve"> Trh práce těžil z příznivého vývoje ekonomiky, který se promítnul do růstu zaměstnanosti a poklesu nezaměstnanosti. Zvýšení průměrného výdělku bylo zaznamenáno jak v podnikatelské, tak i v nepodnikatelské sféře. </w:t>
      </w:r>
      <w:r w:rsidR="00186D70" w:rsidRPr="006B5605">
        <w:rPr>
          <w:rFonts w:cs="Arial"/>
          <w:b/>
          <w:bCs/>
          <w:iCs/>
          <w:szCs w:val="24"/>
        </w:rPr>
        <w:t>Průměrná mzda v podnikatelské sféře</w:t>
      </w:r>
      <w:r w:rsidR="00186D70" w:rsidRPr="006B5605">
        <w:rPr>
          <w:rFonts w:cs="Arial"/>
          <w:bCs/>
          <w:iCs/>
          <w:szCs w:val="24"/>
        </w:rPr>
        <w:t xml:space="preserve"> vzrostla proti stejnému období předchozího roku nominálně o 4,2 %, reálně o 3,5 % a </w:t>
      </w:r>
      <w:r w:rsidR="00186D70" w:rsidRPr="006B5605">
        <w:rPr>
          <w:rFonts w:cs="Arial"/>
          <w:b/>
          <w:bCs/>
          <w:iCs/>
          <w:szCs w:val="24"/>
        </w:rPr>
        <w:t>dosáhla úrovně 27 483 Kč.</w:t>
      </w:r>
      <w:r w:rsidR="00186D70" w:rsidRPr="006B5605">
        <w:rPr>
          <w:rFonts w:cs="Arial"/>
          <w:bCs/>
          <w:iCs/>
          <w:szCs w:val="24"/>
        </w:rPr>
        <w:t xml:space="preserve"> </w:t>
      </w:r>
      <w:r w:rsidR="00186D70" w:rsidRPr="006B5605">
        <w:rPr>
          <w:rFonts w:cs="Arial"/>
          <w:b/>
          <w:bCs/>
          <w:iCs/>
          <w:szCs w:val="24"/>
        </w:rPr>
        <w:t>V nepodnikatelské sféře se</w:t>
      </w:r>
      <w:r w:rsidR="00186D70" w:rsidRPr="006B5605">
        <w:rPr>
          <w:rFonts w:cs="Arial"/>
          <w:bCs/>
          <w:iCs/>
          <w:szCs w:val="24"/>
        </w:rPr>
        <w:t xml:space="preserve"> </w:t>
      </w:r>
      <w:r w:rsidR="00186D70" w:rsidRPr="006B5605">
        <w:rPr>
          <w:rFonts w:cs="Arial"/>
          <w:b/>
          <w:bCs/>
          <w:iCs/>
          <w:szCs w:val="24"/>
        </w:rPr>
        <w:t>průměrný plat zvýšil</w:t>
      </w:r>
      <w:r w:rsidR="00186D70" w:rsidRPr="006B5605">
        <w:rPr>
          <w:rFonts w:cs="Arial"/>
          <w:bCs/>
          <w:iCs/>
          <w:szCs w:val="24"/>
        </w:rPr>
        <w:t xml:space="preserve"> více než v podnikatelské sféře – nominálně o 4,6 %, reálně o 3,9 % </w:t>
      </w:r>
      <w:r w:rsidR="00186D70" w:rsidRPr="006B5605">
        <w:rPr>
          <w:rFonts w:cs="Arial"/>
          <w:b/>
          <w:bCs/>
          <w:iCs/>
          <w:szCs w:val="24"/>
        </w:rPr>
        <w:t>na 28 076 Kč</w:t>
      </w:r>
      <w:r w:rsidR="00186D70" w:rsidRPr="006B5605">
        <w:rPr>
          <w:rFonts w:cs="Arial"/>
          <w:bCs/>
          <w:iCs/>
          <w:szCs w:val="24"/>
        </w:rPr>
        <w:t xml:space="preserve"> – viz</w:t>
      </w:r>
      <w:r w:rsidR="008D4509">
        <w:rPr>
          <w:rFonts w:cs="Arial"/>
          <w:bCs/>
          <w:iCs/>
          <w:szCs w:val="24"/>
        </w:rPr>
        <w:t> </w:t>
      </w:r>
      <w:r w:rsidR="00186D70" w:rsidRPr="006B5605">
        <w:rPr>
          <w:rFonts w:cs="Arial"/>
          <w:bCs/>
          <w:iCs/>
          <w:szCs w:val="24"/>
        </w:rPr>
        <w:t>tabulku č. </w:t>
      </w:r>
      <w:r w:rsidR="00186D70">
        <w:rPr>
          <w:rFonts w:cs="Arial"/>
          <w:bCs/>
          <w:iCs/>
          <w:szCs w:val="24"/>
        </w:rPr>
        <w:t>2</w:t>
      </w:r>
      <w:r w:rsidR="00186D70" w:rsidRPr="006B5605">
        <w:rPr>
          <w:rFonts w:cs="Arial"/>
          <w:bCs/>
          <w:iCs/>
          <w:szCs w:val="24"/>
        </w:rPr>
        <w:t xml:space="preserve"> v příloze. Průměrný plat v nepodnikatelské sféře převýšil svojí úrovní průměrnou mzdu ve sféře podnikatelské o 593 Kč, tj. o 2,2 %.</w:t>
      </w:r>
    </w:p>
    <w:p w:rsidR="00186D70" w:rsidRPr="006B5605" w:rsidRDefault="00186D70" w:rsidP="00186D70">
      <w:pPr>
        <w:spacing w:line="360" w:lineRule="auto"/>
        <w:ind w:firstLine="851"/>
        <w:jc w:val="both"/>
        <w:rPr>
          <w:rFonts w:cs="Arial"/>
          <w:bCs/>
          <w:iCs/>
          <w:szCs w:val="24"/>
        </w:rPr>
      </w:pPr>
    </w:p>
    <w:p w:rsidR="00186D70" w:rsidRDefault="007C0B49" w:rsidP="007C0B49">
      <w:pPr>
        <w:spacing w:line="360" w:lineRule="auto"/>
        <w:jc w:val="both"/>
        <w:rPr>
          <w:rFonts w:cs="Arial"/>
          <w:b/>
          <w:bCs/>
          <w:iCs/>
          <w:szCs w:val="24"/>
        </w:rPr>
      </w:pPr>
      <w:r>
        <w:tab/>
      </w:r>
      <w:r w:rsidR="00186D70" w:rsidRPr="006B5605">
        <w:rPr>
          <w:rFonts w:cs="Arial"/>
          <w:bCs/>
          <w:iCs/>
          <w:szCs w:val="24"/>
        </w:rPr>
        <w:t xml:space="preserve">Vývoj dynamiky průměrné nominální mzdy byl v jednotlivých čtvrtletích roku 2016 proměnlivý (růst o 4,5 %, 3,8 % a 4,5 % v prvním, druhém a třetím čtvrtletí). </w:t>
      </w:r>
      <w:r w:rsidR="00186D70" w:rsidRPr="006B5605">
        <w:rPr>
          <w:rFonts w:cs="Arial"/>
          <w:b/>
          <w:bCs/>
          <w:iCs/>
          <w:szCs w:val="24"/>
        </w:rPr>
        <w:t>V samotném 4. čtvrtletí došlo k nárůstu průměrné mzdy ve výši 4,2 %.</w:t>
      </w:r>
      <w:r w:rsidR="00186D70" w:rsidRPr="006B5605">
        <w:rPr>
          <w:rFonts w:cs="Arial"/>
          <w:bCs/>
          <w:iCs/>
          <w:szCs w:val="24"/>
        </w:rPr>
        <w:t xml:space="preserve"> Na rozdíl od prvních dvou kalendářních čtvrtletí, kdy se na celkovém nárůstu průměrné mzdy </w:t>
      </w:r>
      <w:r w:rsidR="00186D70" w:rsidRPr="006B5605">
        <w:rPr>
          <w:rFonts w:cs="Arial"/>
          <w:bCs/>
          <w:iCs/>
          <w:szCs w:val="24"/>
        </w:rPr>
        <w:lastRenderedPageBreak/>
        <w:t xml:space="preserve">za národní hospodářství významnější mírou podílela podnikatelská sféra, tak zejména ve 4. čtvrtletí to byla naopak sféra nepodnikatelská, která zaznamenala o 2,4 p. b. </w:t>
      </w:r>
      <w:proofErr w:type="gramStart"/>
      <w:r w:rsidR="00186D70" w:rsidRPr="006B5605">
        <w:rPr>
          <w:rFonts w:cs="Arial"/>
          <w:bCs/>
          <w:iCs/>
          <w:szCs w:val="24"/>
        </w:rPr>
        <w:t>vyšší</w:t>
      </w:r>
      <w:proofErr w:type="gramEnd"/>
      <w:r w:rsidR="00186D70" w:rsidRPr="006B5605">
        <w:rPr>
          <w:rFonts w:cs="Arial"/>
          <w:bCs/>
          <w:iCs/>
          <w:szCs w:val="24"/>
        </w:rPr>
        <w:t xml:space="preserve"> nárůst průměrného platu než sféra podnikatelská. Významnou příčinou bylo zvýšení platových tarifů zaměstnanců ve veřejných službách a správě o 4,0 % od 1. listopadu loňského roku. </w:t>
      </w:r>
      <w:r w:rsidR="00186D70" w:rsidRPr="006B5605">
        <w:rPr>
          <w:rFonts w:cs="Arial"/>
          <w:b/>
          <w:bCs/>
          <w:iCs/>
          <w:szCs w:val="24"/>
        </w:rPr>
        <w:t xml:space="preserve">Průměrná mzda v podnikatelské sféře vzrostla nominálně o 3,7 % </w:t>
      </w:r>
      <w:r w:rsidR="00186D70" w:rsidRPr="006B5605">
        <w:rPr>
          <w:rFonts w:cs="Arial"/>
          <w:bCs/>
          <w:iCs/>
          <w:szCs w:val="24"/>
        </w:rPr>
        <w:t xml:space="preserve">(reálně o 2,3 %), </w:t>
      </w:r>
      <w:r w:rsidR="00186D70" w:rsidRPr="006B5605">
        <w:rPr>
          <w:rFonts w:cs="Arial"/>
          <w:b/>
          <w:bCs/>
          <w:iCs/>
          <w:szCs w:val="24"/>
        </w:rPr>
        <w:t>průměrný plat se v nepodnikatelské sféře zvýšil o 6,1 %</w:t>
      </w:r>
      <w:r w:rsidR="00186D70" w:rsidRPr="006B5605">
        <w:rPr>
          <w:rFonts w:cs="Arial"/>
          <w:bCs/>
          <w:iCs/>
          <w:szCs w:val="24"/>
        </w:rPr>
        <w:t xml:space="preserve"> (reálně o 4,6 %). </w:t>
      </w:r>
      <w:r w:rsidR="00186D70" w:rsidRPr="006B5605">
        <w:rPr>
          <w:rFonts w:cs="Arial"/>
          <w:b/>
          <w:bCs/>
          <w:iCs/>
          <w:szCs w:val="24"/>
        </w:rPr>
        <w:t>Ve 4. čtvrtletí činila průměrná hrubá měsíční nominální mzda</w:t>
      </w:r>
      <w:r w:rsidR="00186D70" w:rsidRPr="006B5605">
        <w:rPr>
          <w:rFonts w:cs="Arial"/>
          <w:bCs/>
          <w:iCs/>
          <w:szCs w:val="24"/>
        </w:rPr>
        <w:t xml:space="preserve"> </w:t>
      </w:r>
      <w:r w:rsidR="00186D70" w:rsidRPr="006B5605">
        <w:rPr>
          <w:rFonts w:cs="Arial"/>
          <w:b/>
          <w:bCs/>
          <w:iCs/>
          <w:szCs w:val="24"/>
        </w:rPr>
        <w:t>v národním hospodářství 29 320 Kč.</w:t>
      </w:r>
    </w:p>
    <w:p w:rsidR="00186D70" w:rsidRPr="006B5605" w:rsidRDefault="00186D70" w:rsidP="00186D70">
      <w:pPr>
        <w:spacing w:line="360" w:lineRule="auto"/>
        <w:ind w:firstLine="851"/>
        <w:jc w:val="both"/>
        <w:rPr>
          <w:rFonts w:cs="Arial"/>
          <w:bCs/>
          <w:iCs/>
          <w:szCs w:val="24"/>
        </w:rPr>
      </w:pPr>
    </w:p>
    <w:p w:rsidR="00186D70" w:rsidRPr="006B5605" w:rsidRDefault="007C0B49" w:rsidP="007C0B49">
      <w:pPr>
        <w:spacing w:line="360" w:lineRule="auto"/>
        <w:jc w:val="both"/>
        <w:rPr>
          <w:rFonts w:cs="Arial"/>
          <w:bCs/>
          <w:iCs/>
          <w:szCs w:val="24"/>
        </w:rPr>
      </w:pPr>
      <w:r>
        <w:tab/>
      </w:r>
      <w:r w:rsidR="00186D70" w:rsidRPr="006B5605">
        <w:rPr>
          <w:rFonts w:cs="Arial"/>
          <w:bCs/>
          <w:iCs/>
          <w:szCs w:val="24"/>
        </w:rPr>
        <w:t>Vývoj průměrné nominální mzdy (na přepočtené počty zaměstnanců) v národním hospodářství, v podnikatelské a nepodnikatelské sféře, příslušné meziroční indexy nominální mzdy a míra inflace v jednotlivých čtvrtletích roku 2016 jsou znázorněny v následujícím grafu:</w:t>
      </w:r>
    </w:p>
    <w:p w:rsidR="00186D70" w:rsidRPr="006B5605" w:rsidRDefault="00186D70" w:rsidP="00186D70">
      <w:pPr>
        <w:spacing w:line="360" w:lineRule="auto"/>
        <w:jc w:val="both"/>
        <w:rPr>
          <w:rFonts w:cs="Arial"/>
          <w:bCs/>
          <w:iCs/>
          <w:szCs w:val="24"/>
        </w:rPr>
      </w:pPr>
    </w:p>
    <w:p w:rsidR="00186D70" w:rsidRPr="006B5605" w:rsidRDefault="00186D70" w:rsidP="00186D70">
      <w:pPr>
        <w:spacing w:line="360" w:lineRule="auto"/>
        <w:jc w:val="both"/>
        <w:rPr>
          <w:rFonts w:cs="Arial"/>
          <w:bCs/>
          <w:iCs/>
          <w:szCs w:val="24"/>
        </w:rPr>
      </w:pPr>
      <w:r w:rsidRPr="006B5605">
        <w:rPr>
          <w:rFonts w:cs="Arial"/>
          <w:bCs/>
          <w:iCs/>
          <w:noProof/>
          <w:szCs w:val="24"/>
        </w:rPr>
        <w:drawing>
          <wp:inline distT="0" distB="0" distL="0" distR="0" wp14:anchorId="1338E7C7" wp14:editId="09207784">
            <wp:extent cx="5701332" cy="3714750"/>
            <wp:effectExtent l="19050" t="19050" r="13970" b="1905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3188" cy="3715960"/>
                    </a:xfrm>
                    <a:prstGeom prst="rect">
                      <a:avLst/>
                    </a:prstGeom>
                    <a:noFill/>
                    <a:ln w="19050">
                      <a:solidFill>
                        <a:sysClr val="windowText" lastClr="000000"/>
                      </a:solidFill>
                    </a:ln>
                  </pic:spPr>
                </pic:pic>
              </a:graphicData>
            </a:graphic>
          </wp:inline>
        </w:drawing>
      </w:r>
    </w:p>
    <w:p w:rsidR="00186D70" w:rsidRDefault="00186D70" w:rsidP="00186D70">
      <w:pPr>
        <w:spacing w:line="360" w:lineRule="auto"/>
        <w:jc w:val="both"/>
        <w:rPr>
          <w:rFonts w:cs="Arial"/>
          <w:bCs/>
          <w:sz w:val="20"/>
        </w:rPr>
      </w:pPr>
      <w:r w:rsidRPr="006B5605">
        <w:rPr>
          <w:rFonts w:cs="Arial"/>
          <w:bCs/>
          <w:sz w:val="20"/>
        </w:rPr>
        <w:t>Zdroj: Zpracováno z dat ČSÚ.</w:t>
      </w:r>
    </w:p>
    <w:p w:rsidR="00186D70" w:rsidRPr="006B5605" w:rsidRDefault="00186D70" w:rsidP="00186D70">
      <w:pPr>
        <w:spacing w:line="360" w:lineRule="auto"/>
        <w:jc w:val="both"/>
        <w:rPr>
          <w:rFonts w:cs="Arial"/>
          <w:bCs/>
          <w:sz w:val="20"/>
        </w:rPr>
      </w:pPr>
    </w:p>
    <w:p w:rsidR="00186D70" w:rsidRPr="006B5605" w:rsidRDefault="007C0B49" w:rsidP="007C0B49">
      <w:pPr>
        <w:spacing w:line="360" w:lineRule="auto"/>
        <w:jc w:val="both"/>
        <w:rPr>
          <w:rFonts w:cs="Arial"/>
          <w:bCs/>
          <w:iCs/>
          <w:szCs w:val="24"/>
        </w:rPr>
      </w:pPr>
      <w:r>
        <w:tab/>
      </w:r>
      <w:r w:rsidR="00186D70" w:rsidRPr="006B5605">
        <w:rPr>
          <w:rFonts w:cs="Arial"/>
          <w:bCs/>
          <w:iCs/>
          <w:szCs w:val="24"/>
        </w:rPr>
        <w:t>K pravidelně publikovaným čtvrtletním údajům Českého statistického úřadu o průměrných mzdách patří i medián.</w:t>
      </w:r>
      <w:r w:rsidR="00186D70" w:rsidRPr="006B5605">
        <w:rPr>
          <w:rFonts w:cs="Arial"/>
          <w:b/>
          <w:bCs/>
          <w:iCs/>
          <w:szCs w:val="24"/>
        </w:rPr>
        <w:t xml:space="preserve"> Medián mezd </w:t>
      </w:r>
      <w:r w:rsidR="00186D70" w:rsidRPr="006B5605">
        <w:rPr>
          <w:rFonts w:cs="Arial"/>
          <w:bCs/>
          <w:iCs/>
          <w:szCs w:val="24"/>
        </w:rPr>
        <w:t xml:space="preserve">(prostřední hodnota mzdového rozdělení; odvozen ze statisticko-matematického modelu vycházejícího z výběrového </w:t>
      </w:r>
      <w:r w:rsidR="00186D70" w:rsidRPr="006B5605">
        <w:rPr>
          <w:rFonts w:cs="Arial"/>
          <w:bCs/>
          <w:iCs/>
          <w:szCs w:val="24"/>
        </w:rPr>
        <w:lastRenderedPageBreak/>
        <w:t xml:space="preserve">šetření Informačního systému o průměrném výdělku MPSV) </w:t>
      </w:r>
      <w:r w:rsidR="00186D70" w:rsidRPr="006B5605">
        <w:rPr>
          <w:rFonts w:cs="Arial"/>
          <w:b/>
          <w:bCs/>
          <w:iCs/>
          <w:szCs w:val="24"/>
        </w:rPr>
        <w:t xml:space="preserve">dosáhl ve 4. čtvrtletí roku 2016 úrovně 25 061 Kč. </w:t>
      </w:r>
      <w:r w:rsidR="00186D70" w:rsidRPr="006B5605">
        <w:rPr>
          <w:rFonts w:cs="Arial"/>
          <w:bCs/>
          <w:iCs/>
          <w:szCs w:val="24"/>
        </w:rPr>
        <w:t xml:space="preserve">Jeho nárůst byl vyšší než u průměrné mzdy, </w:t>
      </w:r>
      <w:r w:rsidR="00186D70" w:rsidRPr="006B5605">
        <w:rPr>
          <w:rFonts w:cs="Arial"/>
          <w:b/>
          <w:bCs/>
          <w:iCs/>
          <w:szCs w:val="24"/>
        </w:rPr>
        <w:t>proti stejnému období předchozího roku vzrostl nominálně o 6,0 % a reálně o 4,5 %.</w:t>
      </w:r>
      <w:r w:rsidR="00186D70" w:rsidRPr="006B5605">
        <w:rPr>
          <w:rFonts w:cs="Arial"/>
          <w:bCs/>
          <w:iCs/>
          <w:szCs w:val="24"/>
        </w:rPr>
        <w:t xml:space="preserve"> Přesto</w:t>
      </w:r>
      <w:r w:rsidR="00186D70" w:rsidRPr="006B5605">
        <w:rPr>
          <w:rFonts w:cs="Arial"/>
          <w:b/>
          <w:bCs/>
          <w:iCs/>
          <w:szCs w:val="24"/>
        </w:rPr>
        <w:t xml:space="preserve"> byl medián mezd </w:t>
      </w:r>
      <w:r w:rsidR="00186D70" w:rsidRPr="006B5605">
        <w:rPr>
          <w:rFonts w:cs="Arial"/>
          <w:bCs/>
          <w:iCs/>
          <w:szCs w:val="24"/>
        </w:rPr>
        <w:t xml:space="preserve">ve sledovaném období </w:t>
      </w:r>
      <w:r w:rsidR="00186D70" w:rsidRPr="006B5605">
        <w:rPr>
          <w:rFonts w:cs="Arial"/>
          <w:b/>
          <w:bCs/>
          <w:iCs/>
          <w:szCs w:val="24"/>
        </w:rPr>
        <w:t>nižší o 4 259 Kč než průměrná mzda.</w:t>
      </w:r>
      <w:r w:rsidR="00186D70" w:rsidRPr="006B5605">
        <w:rPr>
          <w:rFonts w:cs="Arial"/>
          <w:bCs/>
          <w:iCs/>
          <w:szCs w:val="24"/>
        </w:rPr>
        <w:t xml:space="preserve"> Medián mezd žen činil 22 426 Kč, medián mezd mužů byl o 4 946 Kč vyšší a dosáhl úrovně 27 372 Kč.</w:t>
      </w:r>
    </w:p>
    <w:p w:rsidR="00186D70" w:rsidRDefault="00186D70" w:rsidP="00186D70">
      <w:pPr>
        <w:spacing w:line="360" w:lineRule="auto"/>
        <w:jc w:val="both"/>
        <w:rPr>
          <w:rFonts w:cs="Arial"/>
          <w:szCs w:val="24"/>
        </w:rPr>
      </w:pPr>
    </w:p>
    <w:p w:rsidR="00186D70" w:rsidRPr="00D92971" w:rsidRDefault="007C0B49" w:rsidP="007C0B49">
      <w:pPr>
        <w:spacing w:line="360" w:lineRule="auto"/>
        <w:jc w:val="both"/>
        <w:rPr>
          <w:rFonts w:cs="Arial"/>
          <w:szCs w:val="24"/>
        </w:rPr>
      </w:pPr>
      <w:r>
        <w:tab/>
      </w:r>
      <w:r w:rsidR="00186D70" w:rsidRPr="00D92971">
        <w:rPr>
          <w:rFonts w:cs="Arial"/>
          <w:b/>
          <w:bCs/>
          <w:szCs w:val="24"/>
        </w:rPr>
        <w:t>Výše průměrné</w:t>
      </w:r>
      <w:r w:rsidR="00186D70" w:rsidRPr="00D92971">
        <w:rPr>
          <w:rFonts w:cs="Arial"/>
          <w:bCs/>
          <w:szCs w:val="24"/>
        </w:rPr>
        <w:t xml:space="preserve"> </w:t>
      </w:r>
      <w:r w:rsidR="00186D70" w:rsidRPr="00D92971">
        <w:rPr>
          <w:rFonts w:cs="Arial"/>
          <w:szCs w:val="24"/>
        </w:rPr>
        <w:t>měsíční</w:t>
      </w:r>
      <w:r w:rsidR="00186D70" w:rsidRPr="00D92971">
        <w:rPr>
          <w:rFonts w:cs="Arial"/>
          <w:bCs/>
          <w:szCs w:val="24"/>
        </w:rPr>
        <w:t xml:space="preserve"> </w:t>
      </w:r>
      <w:r w:rsidR="00186D70" w:rsidRPr="00D92971">
        <w:rPr>
          <w:rFonts w:cs="Arial"/>
          <w:b/>
          <w:bCs/>
          <w:szCs w:val="24"/>
        </w:rPr>
        <w:t>mzdy zaměstnanců pracujících v malých firmách</w:t>
      </w:r>
      <w:r w:rsidR="00186D70" w:rsidRPr="00D92971">
        <w:rPr>
          <w:rFonts w:cs="Arial"/>
          <w:szCs w:val="24"/>
        </w:rPr>
        <w:t xml:space="preserve"> (</w:t>
      </w:r>
      <w:r w:rsidR="00186D70">
        <w:rPr>
          <w:rFonts w:cs="Arial"/>
          <w:szCs w:val="24"/>
        </w:rPr>
        <w:t>subjekty</w:t>
      </w:r>
      <w:r w:rsidR="00186D70" w:rsidRPr="00D92971">
        <w:rPr>
          <w:rFonts w:cs="Arial"/>
          <w:szCs w:val="24"/>
        </w:rPr>
        <w:t xml:space="preserve"> s méně než 20 zaměstnanci)</w:t>
      </w:r>
      <w:r w:rsidR="00186D70">
        <w:rPr>
          <w:rFonts w:cs="Arial"/>
          <w:szCs w:val="24"/>
        </w:rPr>
        <w:t xml:space="preserve"> </w:t>
      </w:r>
      <w:r w:rsidR="00186D70" w:rsidRPr="00D92971">
        <w:rPr>
          <w:rFonts w:cs="Arial"/>
          <w:szCs w:val="24"/>
        </w:rPr>
        <w:t>v roce 201</w:t>
      </w:r>
      <w:r w:rsidR="00186D70">
        <w:rPr>
          <w:rFonts w:cs="Arial"/>
          <w:szCs w:val="24"/>
        </w:rPr>
        <w:t>6</w:t>
      </w:r>
      <w:r w:rsidR="00186D70" w:rsidRPr="00D92971">
        <w:rPr>
          <w:rFonts w:cs="Arial"/>
          <w:szCs w:val="24"/>
        </w:rPr>
        <w:t xml:space="preserve"> </w:t>
      </w:r>
      <w:r w:rsidR="00186D70" w:rsidRPr="00D92971">
        <w:rPr>
          <w:rFonts w:cs="Arial"/>
          <w:b/>
          <w:bCs/>
          <w:szCs w:val="24"/>
        </w:rPr>
        <w:t>činila</w:t>
      </w:r>
      <w:r w:rsidR="00186D70" w:rsidRPr="00D92971">
        <w:rPr>
          <w:rFonts w:cs="Arial"/>
          <w:b/>
          <w:szCs w:val="24"/>
        </w:rPr>
        <w:t xml:space="preserve"> </w:t>
      </w:r>
      <w:r w:rsidR="00186D70">
        <w:rPr>
          <w:rFonts w:cs="Arial"/>
          <w:b/>
          <w:szCs w:val="24"/>
        </w:rPr>
        <w:t>20</w:t>
      </w:r>
      <w:r w:rsidR="00186D70" w:rsidRPr="00D92971">
        <w:rPr>
          <w:rFonts w:cs="Arial"/>
          <w:b/>
          <w:bCs/>
          <w:szCs w:val="24"/>
        </w:rPr>
        <w:t> </w:t>
      </w:r>
      <w:r w:rsidR="00186D70">
        <w:rPr>
          <w:rFonts w:cs="Arial"/>
          <w:b/>
          <w:bCs/>
          <w:szCs w:val="24"/>
        </w:rPr>
        <w:t>052</w:t>
      </w:r>
      <w:r w:rsidR="00186D70" w:rsidRPr="00D92971">
        <w:rPr>
          <w:rFonts w:cs="Arial"/>
          <w:b/>
          <w:bCs/>
          <w:szCs w:val="24"/>
        </w:rPr>
        <w:t> Kč, tj.</w:t>
      </w:r>
      <w:r w:rsidR="00186D70">
        <w:rPr>
          <w:rFonts w:cs="Arial"/>
          <w:b/>
          <w:bCs/>
          <w:szCs w:val="24"/>
        </w:rPr>
        <w:t> </w:t>
      </w:r>
      <w:r w:rsidR="00186D70" w:rsidRPr="00D92971">
        <w:rPr>
          <w:rFonts w:cs="Arial"/>
          <w:b/>
          <w:bCs/>
          <w:szCs w:val="24"/>
        </w:rPr>
        <w:t>7</w:t>
      </w:r>
      <w:r w:rsidR="00186D70">
        <w:rPr>
          <w:rFonts w:cs="Arial"/>
          <w:b/>
          <w:bCs/>
          <w:szCs w:val="24"/>
        </w:rPr>
        <w:t>2</w:t>
      </w:r>
      <w:r w:rsidR="00186D70" w:rsidRPr="00D92971">
        <w:rPr>
          <w:rFonts w:cs="Arial"/>
          <w:b/>
          <w:bCs/>
          <w:szCs w:val="24"/>
        </w:rPr>
        <w:t>,</w:t>
      </w:r>
      <w:r w:rsidR="00186D70">
        <w:rPr>
          <w:rFonts w:cs="Arial"/>
          <w:b/>
          <w:bCs/>
          <w:szCs w:val="24"/>
        </w:rPr>
        <w:t>7</w:t>
      </w:r>
      <w:r w:rsidR="00186D70" w:rsidRPr="00D92971">
        <w:rPr>
          <w:rFonts w:cs="Arial"/>
          <w:b/>
          <w:bCs/>
          <w:szCs w:val="24"/>
        </w:rPr>
        <w:t> %</w:t>
      </w:r>
      <w:r w:rsidR="00186D70" w:rsidRPr="00D92971">
        <w:rPr>
          <w:rFonts w:cs="Arial"/>
          <w:bCs/>
          <w:szCs w:val="24"/>
        </w:rPr>
        <w:t xml:space="preserve"> celospolečenského </w:t>
      </w:r>
      <w:r w:rsidR="00186D70" w:rsidRPr="00D92971">
        <w:rPr>
          <w:rFonts w:cs="Arial"/>
          <w:b/>
          <w:bCs/>
          <w:szCs w:val="24"/>
        </w:rPr>
        <w:t>výdělkového průměru</w:t>
      </w:r>
      <w:r w:rsidR="008D4509">
        <w:rPr>
          <w:rFonts w:cs="Arial"/>
          <w:b/>
          <w:bCs/>
          <w:szCs w:val="24"/>
        </w:rPr>
        <w:t>,</w:t>
      </w:r>
      <w:r w:rsidR="00186D70" w:rsidRPr="00D92971">
        <w:rPr>
          <w:rFonts w:cs="Arial"/>
          <w:bCs/>
          <w:szCs w:val="24"/>
        </w:rPr>
        <w:t xml:space="preserve"> v porovnání se stejným obdobím roku 201</w:t>
      </w:r>
      <w:r w:rsidR="00186D70">
        <w:rPr>
          <w:rFonts w:cs="Arial"/>
          <w:bCs/>
          <w:szCs w:val="24"/>
        </w:rPr>
        <w:t>5</w:t>
      </w:r>
      <w:r w:rsidR="00186D70" w:rsidRPr="00D92971">
        <w:rPr>
          <w:rFonts w:cs="Arial"/>
          <w:bCs/>
          <w:szCs w:val="24"/>
        </w:rPr>
        <w:t xml:space="preserve"> došlo v důsledku vyšší dynamiky mezd v malých firmách ke zvýšení tohoto podílu (o 0,</w:t>
      </w:r>
      <w:r w:rsidR="00186D70">
        <w:rPr>
          <w:rFonts w:cs="Arial"/>
          <w:bCs/>
          <w:szCs w:val="24"/>
        </w:rPr>
        <w:t>7</w:t>
      </w:r>
      <w:r w:rsidR="00186D70" w:rsidRPr="00D92971">
        <w:rPr>
          <w:rFonts w:cs="Arial"/>
          <w:bCs/>
          <w:szCs w:val="24"/>
        </w:rPr>
        <w:t xml:space="preserve"> p. b.) </w:t>
      </w:r>
      <w:r w:rsidR="00186D70" w:rsidRPr="00D92971">
        <w:rPr>
          <w:rFonts w:cs="Arial"/>
          <w:szCs w:val="24"/>
        </w:rPr>
        <w:t xml:space="preserve">– viz tabulku č. </w:t>
      </w:r>
      <w:r w:rsidR="00186D70">
        <w:rPr>
          <w:rFonts w:cs="Arial"/>
          <w:szCs w:val="24"/>
        </w:rPr>
        <w:t>3</w:t>
      </w:r>
      <w:r w:rsidR="00186D70" w:rsidRPr="00D92971">
        <w:rPr>
          <w:rFonts w:cs="Arial"/>
          <w:szCs w:val="24"/>
        </w:rPr>
        <w:t xml:space="preserve"> v příloze.</w:t>
      </w:r>
    </w:p>
    <w:p w:rsidR="00186D70" w:rsidRPr="00B6187E" w:rsidRDefault="00186D70" w:rsidP="00186D70">
      <w:pPr>
        <w:spacing w:line="360" w:lineRule="auto"/>
        <w:jc w:val="both"/>
        <w:rPr>
          <w:rFonts w:cs="Arial"/>
          <w:szCs w:val="24"/>
        </w:rPr>
      </w:pPr>
    </w:p>
    <w:p w:rsidR="00186D70" w:rsidRPr="00B6187E" w:rsidRDefault="007C0B49" w:rsidP="007C0B49">
      <w:pPr>
        <w:spacing w:line="360" w:lineRule="auto"/>
        <w:jc w:val="both"/>
        <w:rPr>
          <w:rFonts w:cs="Arial"/>
          <w:szCs w:val="24"/>
        </w:rPr>
      </w:pPr>
      <w:r>
        <w:tab/>
      </w:r>
      <w:r w:rsidR="00186D70" w:rsidRPr="00B6187E">
        <w:rPr>
          <w:rFonts w:cs="Arial"/>
          <w:b/>
          <w:szCs w:val="24"/>
        </w:rPr>
        <w:t xml:space="preserve">Čistá </w:t>
      </w:r>
      <w:r w:rsidR="00186D70" w:rsidRPr="00B6187E">
        <w:rPr>
          <w:rFonts w:cs="Arial"/>
          <w:szCs w:val="24"/>
        </w:rPr>
        <w:t xml:space="preserve">(nominální) </w:t>
      </w:r>
      <w:r w:rsidR="00186D70" w:rsidRPr="00B6187E">
        <w:rPr>
          <w:rFonts w:cs="Arial"/>
          <w:b/>
          <w:szCs w:val="24"/>
        </w:rPr>
        <w:t>průměrná mzda</w:t>
      </w:r>
      <w:r w:rsidR="00186D70" w:rsidRPr="00B6187E">
        <w:rPr>
          <w:rFonts w:cs="Arial"/>
          <w:szCs w:val="24"/>
        </w:rPr>
        <w:t xml:space="preserve"> (podle propočtů MPSV) </w:t>
      </w:r>
      <w:r w:rsidR="00186D70" w:rsidRPr="00B6187E">
        <w:rPr>
          <w:rFonts w:cs="Arial"/>
          <w:b/>
          <w:szCs w:val="24"/>
        </w:rPr>
        <w:t xml:space="preserve">zaznamenala nižší meziroční nárůst </w:t>
      </w:r>
      <w:r w:rsidR="00186D70" w:rsidRPr="00B6187E">
        <w:rPr>
          <w:rFonts w:cs="Arial"/>
          <w:szCs w:val="24"/>
        </w:rPr>
        <w:t xml:space="preserve">než průměrná nominální hrubá mzda v národním hospodářství (před zdaněním) </w:t>
      </w:r>
      <w:r w:rsidR="00186D70" w:rsidRPr="00B6187E">
        <w:rPr>
          <w:rFonts w:cs="Arial"/>
          <w:b/>
          <w:szCs w:val="24"/>
        </w:rPr>
        <w:t>u zaměstnanců bez dětí, zaměstnanců s 1 a 2 dětmi.</w:t>
      </w:r>
      <w:r w:rsidR="00186D70" w:rsidRPr="00B6187E">
        <w:rPr>
          <w:rFonts w:cs="Arial"/>
          <w:szCs w:val="24"/>
        </w:rPr>
        <w:t xml:space="preserve"> Zatímco zvýšení hrubé mzdy představovalo 1 122 Kč (4,2 %), čistá mzda se zvýšila o cca 772 Kč u bezdětného zaměstnance a u zaměstnance s jedním dítětem, resp. o 872 Kč u zaměstnance se dvěma dětmi. </w:t>
      </w:r>
      <w:r w:rsidR="00186D70" w:rsidRPr="00B6187E">
        <w:rPr>
          <w:rFonts w:cs="Arial"/>
          <w:b/>
          <w:szCs w:val="24"/>
        </w:rPr>
        <w:t>Vyšší nárůst čistých mezd byl vykázán u zaměstnanců se třemi a více dětmi</w:t>
      </w:r>
      <w:r w:rsidR="008D4509">
        <w:rPr>
          <w:rFonts w:cs="Arial"/>
          <w:b/>
          <w:szCs w:val="24"/>
        </w:rPr>
        <w:t>,</w:t>
      </w:r>
      <w:r w:rsidR="00186D70" w:rsidRPr="00B6187E">
        <w:rPr>
          <w:rFonts w:cs="Arial"/>
          <w:szCs w:val="24"/>
        </w:rPr>
        <w:t xml:space="preserve"> a to vzhledem ke zvýšení daňové slevy u třetího a dalšího vyživovaného dítěte o 300 Kč za měsíc (3 600 Kč za rok) v zákoně o daních z příjm</w:t>
      </w:r>
      <w:r w:rsidR="00B5424D">
        <w:rPr>
          <w:rFonts w:cs="Arial"/>
          <w:szCs w:val="24"/>
        </w:rPr>
        <w:t>ů</w:t>
      </w:r>
      <w:r w:rsidR="00186D70" w:rsidRPr="00B6187E">
        <w:rPr>
          <w:rFonts w:cs="Arial"/>
          <w:szCs w:val="24"/>
        </w:rPr>
        <w:t>. Čistá průměrná mzda se tedy zvýšila u těchto zaměstnanců o 1 172 Kč.</w:t>
      </w:r>
    </w:p>
    <w:p w:rsidR="00186D70" w:rsidRPr="00B6187E" w:rsidRDefault="00186D70" w:rsidP="00186D70">
      <w:pPr>
        <w:spacing w:line="360" w:lineRule="auto"/>
        <w:jc w:val="both"/>
        <w:rPr>
          <w:rFonts w:cs="Arial"/>
          <w:szCs w:val="24"/>
        </w:rPr>
      </w:pPr>
    </w:p>
    <w:p w:rsidR="00186D70" w:rsidRPr="00B6187E" w:rsidRDefault="00186D70" w:rsidP="008D4509">
      <w:pPr>
        <w:ind w:left="708"/>
        <w:jc w:val="both"/>
        <w:rPr>
          <w:rFonts w:cs="Arial"/>
          <w:b/>
          <w:szCs w:val="24"/>
        </w:rPr>
      </w:pPr>
      <w:r w:rsidRPr="00B6187E">
        <w:rPr>
          <w:rFonts w:cs="Arial"/>
          <w:b/>
          <w:szCs w:val="24"/>
        </w:rPr>
        <w:t xml:space="preserve">U všech sledovaných kategorií zaměstnanců (bezdětných i s dětmi) došlo </w:t>
      </w:r>
      <w:r w:rsidRPr="00B6187E">
        <w:rPr>
          <w:rFonts w:cs="Arial"/>
          <w:szCs w:val="24"/>
        </w:rPr>
        <w:t xml:space="preserve">v roce 2016 </w:t>
      </w:r>
      <w:r w:rsidRPr="00B6187E">
        <w:rPr>
          <w:rFonts w:cs="Arial"/>
          <w:b/>
          <w:szCs w:val="24"/>
        </w:rPr>
        <w:t>k nárůstu reálné čisté mzdy, a to jak v nepodnikatelské, tak i podnikatelské sféře – v rozsahu 2,8 až 4,5 %.</w:t>
      </w:r>
    </w:p>
    <w:p w:rsidR="008D4509" w:rsidRDefault="008D4509" w:rsidP="008D4509">
      <w:pPr>
        <w:spacing w:line="360" w:lineRule="auto"/>
        <w:jc w:val="both"/>
        <w:rPr>
          <w:rFonts w:cs="Arial"/>
          <w:szCs w:val="24"/>
        </w:rPr>
      </w:pPr>
    </w:p>
    <w:p w:rsidR="008D4509" w:rsidRPr="00B6187E" w:rsidRDefault="008D4509" w:rsidP="00186D70">
      <w:pPr>
        <w:jc w:val="both"/>
        <w:rPr>
          <w:rFonts w:cs="Arial"/>
          <w:szCs w:val="24"/>
        </w:rPr>
      </w:pPr>
    </w:p>
    <w:p w:rsidR="00186D70" w:rsidRPr="00B6187E" w:rsidRDefault="007C0B49" w:rsidP="007C0B49">
      <w:pPr>
        <w:spacing w:after="120" w:line="360" w:lineRule="auto"/>
        <w:jc w:val="both"/>
        <w:rPr>
          <w:rFonts w:cs="Arial"/>
          <w:szCs w:val="24"/>
        </w:rPr>
      </w:pPr>
      <w:r>
        <w:tab/>
      </w:r>
      <w:r w:rsidR="00186D70" w:rsidRPr="00B6187E">
        <w:rPr>
          <w:rFonts w:cs="Arial"/>
          <w:szCs w:val="24"/>
        </w:rPr>
        <w:t>Vývoj mezd v roce 2016 charakterizovaly zejména následující skutečnosti:</w:t>
      </w:r>
    </w:p>
    <w:p w:rsidR="00186D70" w:rsidRPr="00FC6314" w:rsidRDefault="00186D70" w:rsidP="00186D70">
      <w:pPr>
        <w:numPr>
          <w:ilvl w:val="0"/>
          <w:numId w:val="22"/>
        </w:numPr>
        <w:spacing w:after="120" w:line="360" w:lineRule="auto"/>
        <w:jc w:val="both"/>
        <w:rPr>
          <w:rFonts w:cs="Arial"/>
          <w:bCs/>
          <w:szCs w:val="24"/>
        </w:rPr>
      </w:pPr>
      <w:r w:rsidRPr="00FC6314">
        <w:rPr>
          <w:rFonts w:cs="Arial"/>
          <w:bCs/>
          <w:szCs w:val="24"/>
        </w:rPr>
        <w:t xml:space="preserve">významné </w:t>
      </w:r>
      <w:r w:rsidRPr="00FC6314">
        <w:rPr>
          <w:rFonts w:cs="Arial"/>
          <w:b/>
          <w:bCs/>
          <w:szCs w:val="24"/>
        </w:rPr>
        <w:t xml:space="preserve">zrychlení dynamiky růstu </w:t>
      </w:r>
      <w:r w:rsidRPr="00FC6314">
        <w:rPr>
          <w:rFonts w:cs="Arial"/>
          <w:bCs/>
          <w:szCs w:val="24"/>
        </w:rPr>
        <w:t xml:space="preserve">meziroční </w:t>
      </w:r>
      <w:r w:rsidRPr="00FC6314">
        <w:rPr>
          <w:rFonts w:cs="Arial"/>
          <w:b/>
          <w:bCs/>
          <w:szCs w:val="24"/>
        </w:rPr>
        <w:t>průměrné nominální mzdy</w:t>
      </w:r>
      <w:r w:rsidRPr="00FC6314">
        <w:rPr>
          <w:rFonts w:cs="Arial"/>
          <w:bCs/>
          <w:szCs w:val="24"/>
        </w:rPr>
        <w:t xml:space="preserve"> v národním hospodářství,</w:t>
      </w:r>
    </w:p>
    <w:p w:rsidR="00186D70" w:rsidRPr="00EF1787" w:rsidRDefault="00186D70" w:rsidP="00186D70">
      <w:pPr>
        <w:numPr>
          <w:ilvl w:val="0"/>
          <w:numId w:val="22"/>
        </w:numPr>
        <w:spacing w:after="120" w:line="360" w:lineRule="auto"/>
        <w:jc w:val="both"/>
        <w:rPr>
          <w:rFonts w:cs="Arial"/>
          <w:bCs/>
          <w:szCs w:val="24"/>
        </w:rPr>
      </w:pPr>
      <w:r w:rsidRPr="00EF1787">
        <w:rPr>
          <w:rFonts w:cs="Arial"/>
          <w:bCs/>
          <w:szCs w:val="24"/>
        </w:rPr>
        <w:t>vyšší relativní nárůst nižších výdělků,</w:t>
      </w:r>
    </w:p>
    <w:p w:rsidR="00186D70" w:rsidRPr="00EF1787" w:rsidRDefault="00186D70" w:rsidP="00186D70">
      <w:pPr>
        <w:numPr>
          <w:ilvl w:val="0"/>
          <w:numId w:val="22"/>
        </w:numPr>
        <w:spacing w:after="120" w:line="360" w:lineRule="auto"/>
        <w:jc w:val="both"/>
        <w:rPr>
          <w:rFonts w:cs="Arial"/>
          <w:bCs/>
          <w:szCs w:val="24"/>
        </w:rPr>
      </w:pPr>
      <w:r w:rsidRPr="00EF1787">
        <w:rPr>
          <w:rFonts w:cs="Arial"/>
          <w:b/>
          <w:bCs/>
          <w:szCs w:val="24"/>
        </w:rPr>
        <w:lastRenderedPageBreak/>
        <w:t xml:space="preserve">růst průměrného platu v nepodnikatelské sféře </w:t>
      </w:r>
      <w:r w:rsidRPr="00EF1787">
        <w:rPr>
          <w:rFonts w:cs="Arial"/>
          <w:bCs/>
          <w:szCs w:val="24"/>
        </w:rPr>
        <w:t>vzhledem ke mzdovému  vývoji v 1. pololetí roku 2016 byl vyšší proti průměrné mzdě ve</w:t>
      </w:r>
      <w:r w:rsidR="008D4509">
        <w:rPr>
          <w:rFonts w:cs="Arial"/>
          <w:bCs/>
          <w:szCs w:val="24"/>
        </w:rPr>
        <w:t> </w:t>
      </w:r>
      <w:r w:rsidRPr="00EF1787">
        <w:rPr>
          <w:rFonts w:cs="Arial"/>
          <w:bCs/>
          <w:szCs w:val="24"/>
        </w:rPr>
        <w:t xml:space="preserve">sféře podnikatelské, </w:t>
      </w:r>
    </w:p>
    <w:p w:rsidR="00186D70" w:rsidRPr="00FC6314" w:rsidRDefault="00186D70" w:rsidP="00186D70">
      <w:pPr>
        <w:numPr>
          <w:ilvl w:val="0"/>
          <w:numId w:val="22"/>
        </w:numPr>
        <w:spacing w:after="120" w:line="360" w:lineRule="auto"/>
        <w:jc w:val="both"/>
        <w:rPr>
          <w:rFonts w:cs="Arial"/>
          <w:bCs/>
          <w:szCs w:val="24"/>
        </w:rPr>
      </w:pPr>
      <w:r w:rsidRPr="00B6187E">
        <w:rPr>
          <w:rFonts w:cs="Arial"/>
          <w:b/>
          <w:bCs/>
          <w:szCs w:val="24"/>
        </w:rPr>
        <w:t xml:space="preserve">výrazné </w:t>
      </w:r>
      <w:r w:rsidRPr="00FC6314">
        <w:rPr>
          <w:rFonts w:cs="Arial"/>
          <w:b/>
          <w:bCs/>
          <w:szCs w:val="24"/>
        </w:rPr>
        <w:t>zvýšení kupní síly výdělků zaměstnanců</w:t>
      </w:r>
      <w:r w:rsidR="008D4509">
        <w:rPr>
          <w:rFonts w:cs="Arial"/>
          <w:b/>
          <w:bCs/>
          <w:szCs w:val="24"/>
        </w:rPr>
        <w:t>,</w:t>
      </w:r>
      <w:r w:rsidRPr="00FC6314">
        <w:rPr>
          <w:rFonts w:cs="Arial"/>
          <w:bCs/>
          <w:szCs w:val="24"/>
        </w:rPr>
        <w:t xml:space="preserve"> které bylo </w:t>
      </w:r>
      <w:r w:rsidRPr="00B6187E">
        <w:rPr>
          <w:rFonts w:cs="Arial"/>
          <w:b/>
          <w:bCs/>
          <w:szCs w:val="24"/>
        </w:rPr>
        <w:t>největší za posledních devět let,</w:t>
      </w:r>
    </w:p>
    <w:p w:rsidR="00186D70" w:rsidRPr="004959EE" w:rsidRDefault="00186D70" w:rsidP="00186D70">
      <w:pPr>
        <w:numPr>
          <w:ilvl w:val="0"/>
          <w:numId w:val="22"/>
        </w:numPr>
        <w:spacing w:after="120" w:line="360" w:lineRule="auto"/>
        <w:jc w:val="both"/>
        <w:rPr>
          <w:rFonts w:cs="Arial"/>
          <w:bCs/>
          <w:szCs w:val="24"/>
        </w:rPr>
      </w:pPr>
      <w:r w:rsidRPr="004959EE">
        <w:rPr>
          <w:rFonts w:cs="Arial"/>
          <w:bCs/>
          <w:szCs w:val="24"/>
        </w:rPr>
        <w:t>vyšší dynamika růstu mezd oproti nárůstu produktivity práce,</w:t>
      </w:r>
    </w:p>
    <w:p w:rsidR="00186D70" w:rsidRPr="00FC6314" w:rsidRDefault="00186D70" w:rsidP="00186D70">
      <w:pPr>
        <w:numPr>
          <w:ilvl w:val="0"/>
          <w:numId w:val="22"/>
        </w:numPr>
        <w:spacing w:after="120" w:line="360" w:lineRule="auto"/>
        <w:jc w:val="both"/>
        <w:rPr>
          <w:rFonts w:cs="Arial"/>
          <w:bCs/>
          <w:szCs w:val="24"/>
        </w:rPr>
      </w:pPr>
      <w:r w:rsidRPr="00FC6314">
        <w:rPr>
          <w:rFonts w:cs="Arial"/>
          <w:b/>
          <w:bCs/>
          <w:szCs w:val="24"/>
        </w:rPr>
        <w:t>mírné snížení</w:t>
      </w:r>
      <w:r w:rsidRPr="00FC6314">
        <w:rPr>
          <w:rFonts w:cs="Arial"/>
          <w:bCs/>
          <w:szCs w:val="24"/>
        </w:rPr>
        <w:t xml:space="preserve"> (na makroúrovni) jak </w:t>
      </w:r>
      <w:r w:rsidRPr="00FC6314">
        <w:rPr>
          <w:rFonts w:cs="Arial"/>
          <w:b/>
          <w:bCs/>
          <w:szCs w:val="24"/>
        </w:rPr>
        <w:t>meziodvětvové diferenciace,</w:t>
      </w:r>
      <w:r w:rsidRPr="00FC6314">
        <w:rPr>
          <w:rFonts w:cs="Arial"/>
          <w:bCs/>
          <w:szCs w:val="24"/>
        </w:rPr>
        <w:t xml:space="preserve"> tak i </w:t>
      </w:r>
      <w:r w:rsidRPr="00FC6314">
        <w:rPr>
          <w:rFonts w:cs="Arial"/>
          <w:b/>
          <w:bCs/>
          <w:szCs w:val="24"/>
        </w:rPr>
        <w:t>územní diferenciace mezd zaměstnanců,</w:t>
      </w:r>
    </w:p>
    <w:p w:rsidR="00186D70" w:rsidRPr="00F06009" w:rsidRDefault="00186D70" w:rsidP="00186D70">
      <w:pPr>
        <w:numPr>
          <w:ilvl w:val="0"/>
          <w:numId w:val="22"/>
        </w:numPr>
        <w:spacing w:line="360" w:lineRule="auto"/>
        <w:jc w:val="both"/>
        <w:rPr>
          <w:rFonts w:cs="Arial"/>
          <w:bCs/>
          <w:szCs w:val="24"/>
        </w:rPr>
      </w:pPr>
      <w:r w:rsidRPr="00F06009">
        <w:rPr>
          <w:rFonts w:cs="Arial"/>
          <w:szCs w:val="24"/>
        </w:rPr>
        <w:t xml:space="preserve">naopak </w:t>
      </w:r>
      <w:r w:rsidRPr="00F131F6">
        <w:rPr>
          <w:rFonts w:cs="Arial"/>
          <w:b/>
          <w:szCs w:val="24"/>
        </w:rPr>
        <w:t xml:space="preserve">nepatrné zvýšení </w:t>
      </w:r>
      <w:r w:rsidRPr="00F06009">
        <w:rPr>
          <w:rFonts w:cs="Arial"/>
          <w:b/>
          <w:szCs w:val="24"/>
        </w:rPr>
        <w:t xml:space="preserve">mzdové diferenciace na úrovni jednotlivých zaměstnanců </w:t>
      </w:r>
      <w:r w:rsidRPr="00F06009">
        <w:rPr>
          <w:rFonts w:cs="Arial"/>
          <w:szCs w:val="24"/>
        </w:rPr>
        <w:t>(na mikroúrovni)</w:t>
      </w:r>
      <w:r w:rsidRPr="00F06009">
        <w:rPr>
          <w:rFonts w:cs="Arial"/>
          <w:bCs/>
          <w:szCs w:val="24"/>
        </w:rPr>
        <w:t>.</w:t>
      </w:r>
    </w:p>
    <w:p w:rsidR="00186D70" w:rsidRPr="00F06009" w:rsidRDefault="00186D70" w:rsidP="00186D70">
      <w:pPr>
        <w:jc w:val="both"/>
      </w:pPr>
    </w:p>
    <w:p w:rsidR="00186D70" w:rsidRPr="00FC6314" w:rsidRDefault="00186D70" w:rsidP="00186D70">
      <w:pPr>
        <w:spacing w:line="360" w:lineRule="auto"/>
        <w:jc w:val="both"/>
      </w:pPr>
    </w:p>
    <w:p w:rsidR="00186D70" w:rsidRPr="00FC6314" w:rsidRDefault="007C0B49" w:rsidP="007C0B49">
      <w:pPr>
        <w:spacing w:line="360" w:lineRule="auto"/>
        <w:jc w:val="both"/>
        <w:rPr>
          <w:rFonts w:cs="Arial"/>
        </w:rPr>
      </w:pPr>
      <w:r>
        <w:tab/>
      </w:r>
      <w:r w:rsidR="00186D70" w:rsidRPr="00FC6314">
        <w:rPr>
          <w:b/>
          <w:bCs/>
        </w:rPr>
        <w:t xml:space="preserve">Nárůst </w:t>
      </w:r>
      <w:r w:rsidR="00186D70" w:rsidRPr="00FC6314">
        <w:rPr>
          <w:bCs/>
        </w:rPr>
        <w:t>průměrné</w:t>
      </w:r>
      <w:r w:rsidR="00186D70" w:rsidRPr="00FC6314">
        <w:rPr>
          <w:b/>
          <w:bCs/>
        </w:rPr>
        <w:t xml:space="preserve"> reálné hodnoty mezd </w:t>
      </w:r>
      <w:r w:rsidR="00186D70" w:rsidRPr="00FC6314">
        <w:rPr>
          <w:bCs/>
        </w:rPr>
        <w:t>(o 3,5 %)</w:t>
      </w:r>
      <w:r w:rsidR="00186D70" w:rsidRPr="00FC6314">
        <w:rPr>
          <w:b/>
          <w:bCs/>
        </w:rPr>
        <w:t xml:space="preserve"> byl vyšší </w:t>
      </w:r>
      <w:r w:rsidR="00186D70" w:rsidRPr="00FC6314">
        <w:rPr>
          <w:bCs/>
        </w:rPr>
        <w:t>o 1,1 p. </w:t>
      </w:r>
      <w:r w:rsidR="00186D70" w:rsidRPr="00FC6314">
        <w:t xml:space="preserve">b. (proti dynamice ve stejném období roku 2015). </w:t>
      </w:r>
      <w:r w:rsidR="00186D70" w:rsidRPr="00FC6314">
        <w:rPr>
          <w:rFonts w:cs="Arial"/>
          <w:bCs/>
        </w:rPr>
        <w:t xml:space="preserve">Na posílení koupěschopné poptávky působila vedle vyšší nominální dynamiky </w:t>
      </w:r>
      <w:r w:rsidR="00186D70" w:rsidRPr="001260AA">
        <w:rPr>
          <w:rFonts w:cs="Arial"/>
          <w:bCs/>
        </w:rPr>
        <w:t xml:space="preserve">mezd </w:t>
      </w:r>
      <w:r w:rsidR="00186D70" w:rsidRPr="001260AA">
        <w:t>(o 1,5 p. b.)</w:t>
      </w:r>
      <w:r w:rsidR="00186D70" w:rsidRPr="001260AA">
        <w:rPr>
          <w:rFonts w:cs="Arial"/>
          <w:bCs/>
        </w:rPr>
        <w:t xml:space="preserve"> rovněž </w:t>
      </w:r>
      <w:r w:rsidR="00186D70" w:rsidRPr="00FC6314">
        <w:rPr>
          <w:rFonts w:cs="Arial"/>
          <w:bCs/>
        </w:rPr>
        <w:t>velmi nízká dynamika spotřebitelských cen (</w:t>
      </w:r>
      <w:r w:rsidR="00186D70" w:rsidRPr="00FC6314">
        <w:rPr>
          <w:rFonts w:cs="Arial"/>
          <w:bCs/>
          <w:szCs w:val="24"/>
        </w:rPr>
        <w:t xml:space="preserve">podrobněji viz část 2 materiálu). </w:t>
      </w:r>
      <w:r w:rsidR="00186D70" w:rsidRPr="00FC6314">
        <w:rPr>
          <w:rFonts w:cs="Arial"/>
          <w:b/>
          <w:bCs/>
        </w:rPr>
        <w:t>Zvýšení průměrné reálné mzdy</w:t>
      </w:r>
      <w:r w:rsidR="00186D70" w:rsidRPr="00FC6314">
        <w:rPr>
          <w:rFonts w:cs="Arial"/>
          <w:bCs/>
        </w:rPr>
        <w:t xml:space="preserve"> za rok 2016 bylo zaznamenáno</w:t>
      </w:r>
      <w:r w:rsidR="00186D70" w:rsidRPr="00FC6314">
        <w:rPr>
          <w:rFonts w:cs="Arial"/>
          <w:b/>
          <w:bCs/>
        </w:rPr>
        <w:t xml:space="preserve"> v 18 z 19 </w:t>
      </w:r>
      <w:r w:rsidR="00186D70" w:rsidRPr="00FC6314">
        <w:rPr>
          <w:rFonts w:cs="Arial"/>
        </w:rPr>
        <w:t xml:space="preserve">sledovaných </w:t>
      </w:r>
      <w:r w:rsidR="00186D70" w:rsidRPr="00FC6314">
        <w:rPr>
          <w:rFonts w:cs="Arial"/>
          <w:b/>
          <w:bCs/>
        </w:rPr>
        <w:t>odvětvových agregací CZ</w:t>
      </w:r>
      <w:r w:rsidR="00186D70" w:rsidRPr="00FC6314">
        <w:rPr>
          <w:rFonts w:cs="Arial"/>
          <w:b/>
          <w:bCs/>
        </w:rPr>
        <w:noBreakHyphen/>
        <w:t xml:space="preserve">NACE a v regionálním členění ve všech 14 krajích </w:t>
      </w:r>
      <w:r w:rsidR="00186D70" w:rsidRPr="00FC6314">
        <w:rPr>
          <w:rFonts w:cs="Arial"/>
        </w:rPr>
        <w:t>(viz dále).</w:t>
      </w:r>
    </w:p>
    <w:p w:rsidR="00186D70" w:rsidRPr="00271E38" w:rsidRDefault="00186D70" w:rsidP="00186D70">
      <w:pPr>
        <w:spacing w:line="360" w:lineRule="auto"/>
        <w:jc w:val="both"/>
        <w:rPr>
          <w:rFonts w:cs="Arial"/>
        </w:rPr>
      </w:pPr>
    </w:p>
    <w:p w:rsidR="00186D70" w:rsidRPr="006F6133" w:rsidRDefault="00186D70" w:rsidP="00186D70">
      <w:pPr>
        <w:ind w:left="708"/>
        <w:jc w:val="both"/>
        <w:rPr>
          <w:rFonts w:cs="Arial"/>
        </w:rPr>
      </w:pPr>
      <w:r w:rsidRPr="00271E38">
        <w:rPr>
          <w:rFonts w:cs="Arial"/>
        </w:rPr>
        <w:t xml:space="preserve">Z dostupných údajů o </w:t>
      </w:r>
      <w:r w:rsidRPr="00271E38">
        <w:rPr>
          <w:rFonts w:cs="Arial"/>
          <w:b/>
          <w:bCs/>
        </w:rPr>
        <w:t xml:space="preserve">vývoji reálné hrubé mzdy jednotlivých zaměstnanců </w:t>
      </w:r>
      <w:r w:rsidRPr="00271E38">
        <w:rPr>
          <w:rFonts w:cs="Arial"/>
        </w:rPr>
        <w:t xml:space="preserve">(srovnání rok 2016 / rok 2015) vyplynulo, že přibližně </w:t>
      </w:r>
      <w:r w:rsidRPr="00271E38">
        <w:rPr>
          <w:rFonts w:cs="Arial"/>
          <w:b/>
          <w:bCs/>
        </w:rPr>
        <w:t xml:space="preserve">18 % z nich zaznamenalo její pokles, u 9 % </w:t>
      </w:r>
      <w:r w:rsidRPr="00271E38">
        <w:rPr>
          <w:rFonts w:cs="Arial"/>
        </w:rPr>
        <w:t xml:space="preserve">víceméně </w:t>
      </w:r>
      <w:r w:rsidRPr="00271E38">
        <w:rPr>
          <w:rFonts w:cs="Arial"/>
          <w:b/>
          <w:bCs/>
        </w:rPr>
        <w:t xml:space="preserve">stagnovala a u 73 % se zvýšila. </w:t>
      </w:r>
      <w:r w:rsidRPr="00271E38">
        <w:rPr>
          <w:rFonts w:cs="Arial"/>
        </w:rPr>
        <w:t xml:space="preserve">Největší relativní zastoupení mezi zaměstnanci s nárůstem reálné mzdy měli zaměstnanci v odvětví veřejná správa a ve zdravotnictví; v kategoriích zaměstnání „provozní ve službách a obchodě“ a „pomocní a nekvalifikovaní pracovníci“. Mezi zaměstnanci s poklesem reálné mzdy převažovali zaměstnanci v odvětvích těžba, dobývání a stavebnictví; a v kategorii zaměstnání „kvalifikovaní dělníci a výrobci“ </w:t>
      </w:r>
      <w:r w:rsidRPr="006F6133">
        <w:rPr>
          <w:rFonts w:cs="Arial"/>
        </w:rPr>
        <w:t>a „obsluha strojů a zařízení“.</w:t>
      </w:r>
    </w:p>
    <w:p w:rsidR="00186D70" w:rsidRPr="00271E38" w:rsidRDefault="00186D70" w:rsidP="00186D70">
      <w:pPr>
        <w:jc w:val="both"/>
      </w:pPr>
    </w:p>
    <w:p w:rsidR="00186D70" w:rsidRPr="00271E38" w:rsidRDefault="00186D70" w:rsidP="00186D70">
      <w:pPr>
        <w:spacing w:line="360" w:lineRule="auto"/>
        <w:jc w:val="both"/>
      </w:pPr>
    </w:p>
    <w:p w:rsidR="00186D70" w:rsidRDefault="007C0B49" w:rsidP="007C0B49">
      <w:pPr>
        <w:spacing w:line="360" w:lineRule="auto"/>
        <w:jc w:val="both"/>
        <w:rPr>
          <w:rFonts w:cs="Arial"/>
          <w:szCs w:val="24"/>
        </w:rPr>
      </w:pPr>
      <w:r>
        <w:tab/>
      </w:r>
      <w:r w:rsidR="00186D70" w:rsidRPr="00D54CFE">
        <w:rPr>
          <w:rFonts w:cs="Arial"/>
          <w:b/>
          <w:szCs w:val="24"/>
        </w:rPr>
        <w:t>Přírůstek kupní síly výdělků byl</w:t>
      </w:r>
      <w:r w:rsidR="00186D70" w:rsidRPr="00D54CFE">
        <w:rPr>
          <w:rFonts w:cs="Arial"/>
          <w:szCs w:val="24"/>
        </w:rPr>
        <w:t xml:space="preserve"> v hodnoceném období </w:t>
      </w:r>
      <w:r w:rsidR="00186D70" w:rsidRPr="00D54CFE">
        <w:rPr>
          <w:rFonts w:cs="Arial"/>
          <w:b/>
          <w:szCs w:val="24"/>
        </w:rPr>
        <w:t>vyšší než vykázaná produktivita práce.</w:t>
      </w:r>
      <w:r w:rsidR="00186D70" w:rsidRPr="00D54CFE">
        <w:rPr>
          <w:rFonts w:eastAsia="Calibri" w:cs="Arial"/>
          <w:szCs w:val="24"/>
        </w:rPr>
        <w:t xml:space="preserve"> Dynamika úhrnné </w:t>
      </w:r>
      <w:r w:rsidR="00186D70" w:rsidRPr="00D54CFE">
        <w:rPr>
          <w:rFonts w:eastAsia="Calibri" w:cs="Arial"/>
          <w:b/>
          <w:bCs/>
          <w:szCs w:val="24"/>
        </w:rPr>
        <w:t xml:space="preserve">produktivity práce </w:t>
      </w:r>
      <w:r w:rsidR="00186D70" w:rsidRPr="00D54CFE">
        <w:rPr>
          <w:rFonts w:eastAsia="Calibri" w:cs="Arial"/>
          <w:szCs w:val="24"/>
        </w:rPr>
        <w:t>(v pojetí hrubého domácího produktu ve stálých cenách na 1 pracovníka v národním hospodářství)</w:t>
      </w:r>
      <w:r w:rsidR="00186D70" w:rsidRPr="00D54CFE">
        <w:rPr>
          <w:rFonts w:eastAsia="Calibri" w:cs="Arial"/>
          <w:bCs/>
          <w:szCs w:val="24"/>
        </w:rPr>
        <w:t xml:space="preserve"> </w:t>
      </w:r>
      <w:r w:rsidR="00186D70" w:rsidRPr="00D54CFE">
        <w:rPr>
          <w:rFonts w:eastAsia="Calibri" w:cs="Arial"/>
          <w:b/>
          <w:bCs/>
          <w:szCs w:val="24"/>
        </w:rPr>
        <w:t>vzrostla</w:t>
      </w:r>
      <w:r w:rsidR="00186D70" w:rsidRPr="00D54CFE">
        <w:rPr>
          <w:rFonts w:eastAsia="Calibri" w:cs="Arial"/>
          <w:bCs/>
          <w:szCs w:val="24"/>
        </w:rPr>
        <w:t xml:space="preserve"> ve sledovaném období meziročně </w:t>
      </w:r>
      <w:r w:rsidR="00186D70" w:rsidRPr="00D54CFE">
        <w:rPr>
          <w:rFonts w:eastAsia="Calibri" w:cs="Arial"/>
          <w:b/>
          <w:bCs/>
          <w:szCs w:val="24"/>
        </w:rPr>
        <w:t>o 0,6 %</w:t>
      </w:r>
      <w:r w:rsidR="00186D70" w:rsidRPr="00D54CFE">
        <w:rPr>
          <w:rFonts w:eastAsia="Calibri" w:cs="Arial"/>
          <w:bCs/>
          <w:szCs w:val="24"/>
        </w:rPr>
        <w:t xml:space="preserve"> a zaostala o 2,9 p. b. </w:t>
      </w:r>
      <w:proofErr w:type="gramStart"/>
      <w:r w:rsidR="00186D70" w:rsidRPr="00D54CFE">
        <w:rPr>
          <w:rFonts w:eastAsia="Calibri" w:cs="Arial"/>
          <w:bCs/>
          <w:szCs w:val="24"/>
        </w:rPr>
        <w:t>za</w:t>
      </w:r>
      <w:proofErr w:type="gramEnd"/>
      <w:r w:rsidR="00031FF7">
        <w:rPr>
          <w:rFonts w:eastAsia="Calibri" w:cs="Arial"/>
          <w:bCs/>
          <w:szCs w:val="24"/>
        </w:rPr>
        <w:t> </w:t>
      </w:r>
      <w:r w:rsidR="00186D70" w:rsidRPr="00D54CFE">
        <w:rPr>
          <w:rFonts w:eastAsia="Calibri" w:cs="Arial"/>
          <w:bCs/>
          <w:szCs w:val="24"/>
        </w:rPr>
        <w:t xml:space="preserve">dynamikou průměrné reálné mzdy </w:t>
      </w:r>
      <w:r w:rsidR="00186D70" w:rsidRPr="00D54CFE">
        <w:rPr>
          <w:rFonts w:cs="Arial"/>
          <w:bCs/>
          <w:szCs w:val="24"/>
        </w:rPr>
        <w:t xml:space="preserve">– </w:t>
      </w:r>
      <w:r w:rsidR="00186D70" w:rsidRPr="00D54CFE">
        <w:rPr>
          <w:rFonts w:cs="Arial"/>
          <w:szCs w:val="24"/>
        </w:rPr>
        <w:t xml:space="preserve">vývoj od roku 2007 viz následující graf (podrobný vývoj za jednotlivá čtvrtletí </w:t>
      </w:r>
      <w:r w:rsidR="00186D70" w:rsidRPr="00D54CFE">
        <w:rPr>
          <w:rFonts w:cs="Arial"/>
          <w:bCs/>
          <w:szCs w:val="24"/>
        </w:rPr>
        <w:t>–</w:t>
      </w:r>
      <w:r w:rsidR="00186D70" w:rsidRPr="00D54CFE">
        <w:rPr>
          <w:rFonts w:cs="Arial"/>
          <w:szCs w:val="24"/>
        </w:rPr>
        <w:t xml:space="preserve"> viz graf č. 3 v příloze):</w:t>
      </w:r>
    </w:p>
    <w:p w:rsidR="00186D70" w:rsidRPr="00D54CFE" w:rsidRDefault="00186D70" w:rsidP="00186D70">
      <w:pPr>
        <w:spacing w:line="360" w:lineRule="auto"/>
        <w:jc w:val="both"/>
        <w:rPr>
          <w:rFonts w:cs="Arial"/>
          <w:szCs w:val="24"/>
        </w:rPr>
      </w:pPr>
      <w:r w:rsidRPr="00D54CFE">
        <w:rPr>
          <w:rFonts w:cs="Arial"/>
          <w:noProof/>
          <w:szCs w:val="24"/>
        </w:rPr>
        <w:lastRenderedPageBreak/>
        <w:drawing>
          <wp:inline distT="0" distB="0" distL="0" distR="0" wp14:anchorId="486B968D" wp14:editId="627B7816">
            <wp:extent cx="5762625" cy="3616681"/>
            <wp:effectExtent l="0" t="0" r="0" b="3175"/>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5763" cy="3624926"/>
                    </a:xfrm>
                    <a:prstGeom prst="rect">
                      <a:avLst/>
                    </a:prstGeom>
                    <a:noFill/>
                  </pic:spPr>
                </pic:pic>
              </a:graphicData>
            </a:graphic>
          </wp:inline>
        </w:drawing>
      </w:r>
    </w:p>
    <w:p w:rsidR="00186D70" w:rsidRPr="00DE69D5" w:rsidRDefault="00186D70" w:rsidP="00186D70">
      <w:pPr>
        <w:spacing w:line="360" w:lineRule="auto"/>
        <w:jc w:val="both"/>
        <w:rPr>
          <w:rFonts w:cs="Arial"/>
          <w:bCs/>
          <w:sz w:val="20"/>
        </w:rPr>
      </w:pPr>
      <w:r w:rsidRPr="00DE69D5">
        <w:rPr>
          <w:rFonts w:cs="Arial"/>
          <w:bCs/>
          <w:sz w:val="20"/>
        </w:rPr>
        <w:t>Zpracováno z dat ČSÚ</w:t>
      </w:r>
    </w:p>
    <w:p w:rsidR="00186D70" w:rsidRPr="00DA4722" w:rsidRDefault="00186D70" w:rsidP="00186D70">
      <w:pPr>
        <w:spacing w:line="360" w:lineRule="auto"/>
        <w:jc w:val="both"/>
      </w:pPr>
    </w:p>
    <w:p w:rsidR="00186D70" w:rsidRPr="00DA4722" w:rsidRDefault="007C0B49" w:rsidP="007C0B49">
      <w:pPr>
        <w:spacing w:line="360" w:lineRule="auto"/>
        <w:jc w:val="both"/>
        <w:rPr>
          <w:rFonts w:cs="Arial"/>
          <w:b/>
          <w:bCs/>
        </w:rPr>
      </w:pPr>
      <w:r>
        <w:tab/>
      </w:r>
      <w:r w:rsidR="00186D70" w:rsidRPr="00DA4722">
        <w:rPr>
          <w:rFonts w:cs="Arial"/>
          <w:b/>
        </w:rPr>
        <w:t xml:space="preserve">Relace </w:t>
      </w:r>
      <w:r w:rsidR="00186D70" w:rsidRPr="00DA4722">
        <w:rPr>
          <w:rFonts w:cs="Arial"/>
        </w:rPr>
        <w:t>produktivity práce a mezd</w:t>
      </w:r>
      <w:r w:rsidR="00186D70" w:rsidRPr="00DA4722">
        <w:rPr>
          <w:rFonts w:cs="Arial"/>
          <w:b/>
        </w:rPr>
        <w:t xml:space="preserve"> se promítla do </w:t>
      </w:r>
      <w:r w:rsidR="00186D70" w:rsidRPr="00DA4722">
        <w:rPr>
          <w:rFonts w:cs="Arial"/>
          <w:b/>
          <w:bCs/>
        </w:rPr>
        <w:t>vývoje jednotkových mzdových nákladů</w:t>
      </w:r>
      <w:r w:rsidR="00186D70" w:rsidRPr="00DA4722">
        <w:rPr>
          <w:rFonts w:cs="Arial"/>
        </w:rPr>
        <w:t>,</w:t>
      </w:r>
      <w:r w:rsidR="00186D70" w:rsidRPr="00DA4722">
        <w:rPr>
          <w:rFonts w:cs="Arial"/>
          <w:bCs/>
        </w:rPr>
        <w:t xml:space="preserve"> </w:t>
      </w:r>
      <w:r w:rsidR="00186D70" w:rsidRPr="00DA4722">
        <w:rPr>
          <w:rFonts w:cs="Arial"/>
        </w:rPr>
        <w:t xml:space="preserve">které v meziročním pohledu </w:t>
      </w:r>
      <w:r w:rsidR="00186D70" w:rsidRPr="00DA4722">
        <w:rPr>
          <w:rFonts w:cs="Arial"/>
          <w:b/>
          <w:bCs/>
        </w:rPr>
        <w:t>vzrostly nominálně o 3,6 % a reálně o 2,9 %, což však</w:t>
      </w:r>
      <w:r w:rsidR="00186D70" w:rsidRPr="00DA4722">
        <w:rPr>
          <w:rFonts w:cs="Arial"/>
          <w:bCs/>
        </w:rPr>
        <w:t xml:space="preserve"> stále ještě vzhledem k příznivému ekonomickému vývoji</w:t>
      </w:r>
      <w:r w:rsidR="00186D70" w:rsidRPr="00DA4722">
        <w:rPr>
          <w:rFonts w:cs="Arial"/>
          <w:b/>
        </w:rPr>
        <w:t xml:space="preserve"> </w:t>
      </w:r>
      <w:r w:rsidR="00186D70" w:rsidRPr="00DA4722">
        <w:rPr>
          <w:rFonts w:cs="Arial"/>
          <w:b/>
          <w:bCs/>
        </w:rPr>
        <w:t>nepředstavovalo</w:t>
      </w:r>
      <w:r w:rsidR="00186D70" w:rsidRPr="00DA4722">
        <w:rPr>
          <w:rFonts w:cs="Arial"/>
          <w:b/>
        </w:rPr>
        <w:t xml:space="preserve"> vážnější </w:t>
      </w:r>
      <w:r w:rsidR="00186D70" w:rsidRPr="00DA4722">
        <w:rPr>
          <w:rFonts w:cs="Arial"/>
          <w:b/>
          <w:bCs/>
        </w:rPr>
        <w:t>riziko</w:t>
      </w:r>
      <w:r w:rsidR="00186D70" w:rsidRPr="00DA4722">
        <w:rPr>
          <w:rFonts w:cs="Arial"/>
        </w:rPr>
        <w:t xml:space="preserve"> </w:t>
      </w:r>
      <w:r w:rsidR="00186D70" w:rsidRPr="00DA4722">
        <w:rPr>
          <w:rFonts w:cs="Arial"/>
          <w:bCs/>
        </w:rPr>
        <w:t xml:space="preserve">z pohledu </w:t>
      </w:r>
      <w:r w:rsidR="00186D70" w:rsidRPr="00DA4722">
        <w:rPr>
          <w:rFonts w:cs="Arial"/>
          <w:b/>
          <w:bCs/>
        </w:rPr>
        <w:t>udržení</w:t>
      </w:r>
      <w:r w:rsidR="00186D70" w:rsidRPr="00DA4722">
        <w:rPr>
          <w:rFonts w:cs="Arial"/>
          <w:b/>
        </w:rPr>
        <w:t xml:space="preserve"> </w:t>
      </w:r>
      <w:r w:rsidR="00186D70" w:rsidRPr="00DA4722">
        <w:rPr>
          <w:rFonts w:cs="Arial"/>
          <w:b/>
          <w:bCs/>
        </w:rPr>
        <w:t>konkurenceschopnosti tuzemské produkce.</w:t>
      </w:r>
    </w:p>
    <w:p w:rsidR="00186D70" w:rsidRPr="00DA4722" w:rsidRDefault="00186D70" w:rsidP="00186D70">
      <w:pPr>
        <w:spacing w:line="360" w:lineRule="auto"/>
        <w:jc w:val="both"/>
        <w:rPr>
          <w:rFonts w:cs="Arial"/>
          <w:b/>
          <w:bCs/>
        </w:rPr>
      </w:pPr>
    </w:p>
    <w:p w:rsidR="00186D70" w:rsidRPr="00DA4722" w:rsidRDefault="007C0B49" w:rsidP="007C0B49">
      <w:pPr>
        <w:spacing w:line="360" w:lineRule="auto"/>
        <w:jc w:val="both"/>
        <w:rPr>
          <w:rFonts w:cs="Arial"/>
          <w:b/>
        </w:rPr>
      </w:pPr>
      <w:r>
        <w:tab/>
      </w:r>
      <w:r w:rsidR="00186D70" w:rsidRPr="00DA4722">
        <w:rPr>
          <w:rFonts w:cs="Arial"/>
          <w:b/>
          <w:bCs/>
        </w:rPr>
        <w:t xml:space="preserve">Reálná hodnota objemu mzdových prostředků </w:t>
      </w:r>
      <w:r w:rsidR="00186D70" w:rsidRPr="00DA4722">
        <w:rPr>
          <w:rFonts w:cs="Arial"/>
        </w:rPr>
        <w:t>zúčtovaných k výplatě</w:t>
      </w:r>
      <w:r w:rsidR="00186D70" w:rsidRPr="00DA4722">
        <w:rPr>
          <w:rFonts w:cs="Arial"/>
          <w:b/>
        </w:rPr>
        <w:t xml:space="preserve"> </w:t>
      </w:r>
      <w:r w:rsidR="00186D70" w:rsidRPr="00DA4722">
        <w:rPr>
          <w:rFonts w:cs="Arial"/>
          <w:b/>
          <w:bCs/>
        </w:rPr>
        <w:t xml:space="preserve">vzrostla </w:t>
      </w:r>
      <w:r w:rsidR="00186D70" w:rsidRPr="00DA4722">
        <w:rPr>
          <w:rFonts w:cs="Arial"/>
        </w:rPr>
        <w:t>oproti roku 2015</w:t>
      </w:r>
      <w:r w:rsidR="00186D70" w:rsidRPr="00DA4722">
        <w:rPr>
          <w:rFonts w:cs="Arial"/>
          <w:b/>
          <w:bCs/>
        </w:rPr>
        <w:t xml:space="preserve"> o 5,4 %; mzdová náročnost HDP</w:t>
      </w:r>
      <w:r w:rsidR="00186D70" w:rsidRPr="00DA4722">
        <w:rPr>
          <w:rFonts w:cs="Arial"/>
          <w:b/>
        </w:rPr>
        <w:t xml:space="preserve"> </w:t>
      </w:r>
      <w:r w:rsidR="00186D70" w:rsidRPr="00DA4722">
        <w:rPr>
          <w:rFonts w:cs="Arial"/>
        </w:rPr>
        <w:t xml:space="preserve">(relace objemu mzdových prostředků k objemu hrubého domácího produktu v běžných cenách) </w:t>
      </w:r>
      <w:r w:rsidR="00186D70" w:rsidRPr="00DA4722">
        <w:rPr>
          <w:rFonts w:cs="Arial"/>
          <w:b/>
        </w:rPr>
        <w:t>se</w:t>
      </w:r>
      <w:r w:rsidR="00031FF7">
        <w:rPr>
          <w:rFonts w:cs="Arial"/>
          <w:b/>
        </w:rPr>
        <w:t> </w:t>
      </w:r>
      <w:r w:rsidR="00186D70" w:rsidRPr="00DA4722">
        <w:rPr>
          <w:rFonts w:cs="Arial"/>
        </w:rPr>
        <w:t xml:space="preserve">ve stejném porovnání </w:t>
      </w:r>
      <w:r w:rsidR="00186D70" w:rsidRPr="00DA4722">
        <w:rPr>
          <w:rFonts w:cs="Arial"/>
          <w:b/>
        </w:rPr>
        <w:t>zvýšila</w:t>
      </w:r>
      <w:r w:rsidR="00186D70" w:rsidRPr="00DA4722">
        <w:rPr>
          <w:rFonts w:cs="Arial"/>
        </w:rPr>
        <w:t xml:space="preserve"> o 0,7 p. b. </w:t>
      </w:r>
      <w:proofErr w:type="gramStart"/>
      <w:r w:rsidR="00186D70" w:rsidRPr="00DA4722">
        <w:rPr>
          <w:rFonts w:cs="Arial"/>
          <w:b/>
        </w:rPr>
        <w:t>na</w:t>
      </w:r>
      <w:proofErr w:type="gramEnd"/>
      <w:r w:rsidR="00186D70" w:rsidRPr="00DA4722">
        <w:rPr>
          <w:rFonts w:cs="Arial"/>
          <w:b/>
        </w:rPr>
        <w:t xml:space="preserve"> 27,6 %.</w:t>
      </w:r>
    </w:p>
    <w:p w:rsidR="00186D70" w:rsidRPr="00D92971" w:rsidRDefault="00186D70" w:rsidP="00186D70">
      <w:pPr>
        <w:spacing w:line="360" w:lineRule="auto"/>
        <w:jc w:val="both"/>
        <w:rPr>
          <w:rFonts w:cs="Arial"/>
          <w:b/>
        </w:rPr>
      </w:pPr>
    </w:p>
    <w:p w:rsidR="00186D70" w:rsidRPr="00D92971" w:rsidRDefault="00186D70" w:rsidP="00186D70">
      <w:pPr>
        <w:ind w:left="708"/>
        <w:jc w:val="both"/>
        <w:rPr>
          <w:rFonts w:cs="Arial"/>
          <w:bCs/>
        </w:rPr>
      </w:pPr>
      <w:r w:rsidRPr="00D92971">
        <w:rPr>
          <w:rFonts w:cs="Arial"/>
        </w:rPr>
        <w:t xml:space="preserve">Část mezd, které svým zaměstnancům dlužili insolventní zaměstnavatelé v režimu konkurzního řízení, jim byla vyplacena Úřadem práce ČR </w:t>
      </w:r>
      <w:r w:rsidRPr="00D92971">
        <w:rPr>
          <w:rFonts w:cs="Arial"/>
          <w:b/>
          <w:bCs/>
        </w:rPr>
        <w:t>na základě</w:t>
      </w:r>
      <w:r w:rsidR="00031FF7">
        <w:rPr>
          <w:rFonts w:cs="Arial"/>
          <w:b/>
          <w:bCs/>
        </w:rPr>
        <w:t> </w:t>
      </w:r>
      <w:r w:rsidRPr="00D92971">
        <w:rPr>
          <w:rFonts w:cs="Arial"/>
          <w:b/>
          <w:bCs/>
        </w:rPr>
        <w:t xml:space="preserve"> zákona </w:t>
      </w:r>
      <w:r w:rsidRPr="00D92971">
        <w:rPr>
          <w:rFonts w:cs="Arial"/>
        </w:rPr>
        <w:t xml:space="preserve">č. 118/2000 Sb., </w:t>
      </w:r>
      <w:r w:rsidRPr="00D92971">
        <w:rPr>
          <w:rFonts w:cs="Arial"/>
          <w:b/>
          <w:bCs/>
        </w:rPr>
        <w:t xml:space="preserve">o ochraně zaměstnanců při platební neschopnosti zaměstnavatele </w:t>
      </w:r>
      <w:r w:rsidRPr="00D92971">
        <w:rPr>
          <w:rFonts w:cs="Arial"/>
        </w:rPr>
        <w:t>a o změně některých zákonů, ve znění pozdějších předpisů.</w:t>
      </w:r>
      <w:r w:rsidRPr="00D92971">
        <w:rPr>
          <w:rFonts w:cs="Arial"/>
          <w:b/>
          <w:bCs/>
        </w:rPr>
        <w:t xml:space="preserve"> </w:t>
      </w:r>
      <w:r w:rsidRPr="00D92971">
        <w:rPr>
          <w:rFonts w:cs="Arial"/>
          <w:bCs/>
        </w:rPr>
        <w:t xml:space="preserve">Celkem bylo takto </w:t>
      </w:r>
      <w:r w:rsidRPr="00D92971">
        <w:rPr>
          <w:rFonts w:cs="Arial"/>
          <w:b/>
        </w:rPr>
        <w:t>k 31. 12. 201</w:t>
      </w:r>
      <w:r>
        <w:rPr>
          <w:rFonts w:cs="Arial"/>
          <w:b/>
        </w:rPr>
        <w:t>6</w:t>
      </w:r>
      <w:r w:rsidRPr="00D92971">
        <w:rPr>
          <w:rFonts w:cs="Arial"/>
          <w:b/>
        </w:rPr>
        <w:t xml:space="preserve"> poskytnuto </w:t>
      </w:r>
      <w:r>
        <w:rPr>
          <w:rFonts w:cs="Arial"/>
          <w:b/>
        </w:rPr>
        <w:t>250</w:t>
      </w:r>
      <w:r w:rsidRPr="00D92971">
        <w:rPr>
          <w:rFonts w:cs="Arial"/>
          <w:b/>
        </w:rPr>
        <w:t>,</w:t>
      </w:r>
      <w:r>
        <w:rPr>
          <w:rFonts w:cs="Arial"/>
          <w:b/>
        </w:rPr>
        <w:t>3</w:t>
      </w:r>
      <w:r w:rsidRPr="00D92971">
        <w:rPr>
          <w:rFonts w:cs="Arial"/>
          <w:b/>
        </w:rPr>
        <w:t xml:space="preserve"> mil. Kč </w:t>
      </w:r>
      <w:r w:rsidRPr="00D92971">
        <w:rPr>
          <w:rFonts w:cs="Arial"/>
          <w:bCs/>
        </w:rPr>
        <w:t>(o </w:t>
      </w:r>
      <w:r>
        <w:rPr>
          <w:rFonts w:cs="Arial"/>
          <w:bCs/>
        </w:rPr>
        <w:t>20</w:t>
      </w:r>
      <w:r w:rsidRPr="00D92971">
        <w:rPr>
          <w:rFonts w:cs="Arial"/>
          <w:bCs/>
        </w:rPr>
        <w:t>,</w:t>
      </w:r>
      <w:r>
        <w:rPr>
          <w:rFonts w:cs="Arial"/>
          <w:bCs/>
        </w:rPr>
        <w:t>8</w:t>
      </w:r>
      <w:r w:rsidRPr="00D92971">
        <w:rPr>
          <w:rFonts w:cs="Arial"/>
          <w:bCs/>
        </w:rPr>
        <w:t xml:space="preserve"> mil. Kč </w:t>
      </w:r>
      <w:r>
        <w:rPr>
          <w:rFonts w:cs="Arial"/>
          <w:bCs/>
        </w:rPr>
        <w:t>více</w:t>
      </w:r>
      <w:r w:rsidRPr="00D92971">
        <w:rPr>
          <w:rFonts w:cs="Arial"/>
          <w:bCs/>
        </w:rPr>
        <w:t xml:space="preserve"> než k 31. 12. 201</w:t>
      </w:r>
      <w:r>
        <w:rPr>
          <w:rFonts w:cs="Arial"/>
          <w:bCs/>
        </w:rPr>
        <w:t>5</w:t>
      </w:r>
      <w:r w:rsidRPr="00D92971">
        <w:rPr>
          <w:rFonts w:cs="Arial"/>
          <w:bCs/>
        </w:rPr>
        <w:t>), z toho nejvíce v hl. m. Pra</w:t>
      </w:r>
      <w:r>
        <w:rPr>
          <w:rFonts w:cs="Arial"/>
          <w:bCs/>
        </w:rPr>
        <w:t>ze</w:t>
      </w:r>
      <w:r w:rsidRPr="00D92971">
        <w:rPr>
          <w:rFonts w:cs="Arial"/>
          <w:bCs/>
        </w:rPr>
        <w:t xml:space="preserve"> (</w:t>
      </w:r>
      <w:r>
        <w:rPr>
          <w:rFonts w:cs="Arial"/>
          <w:bCs/>
        </w:rPr>
        <w:t>76</w:t>
      </w:r>
      <w:r w:rsidRPr="00D92971">
        <w:rPr>
          <w:rFonts w:cs="Arial"/>
          <w:bCs/>
        </w:rPr>
        <w:t>,</w:t>
      </w:r>
      <w:r>
        <w:rPr>
          <w:rFonts w:cs="Arial"/>
          <w:bCs/>
        </w:rPr>
        <w:t>9</w:t>
      </w:r>
      <w:r w:rsidRPr="00D92971">
        <w:rPr>
          <w:rFonts w:cs="Arial"/>
          <w:bCs/>
        </w:rPr>
        <w:t> mil. Kč), Jihomoravském kraji (</w:t>
      </w:r>
      <w:r>
        <w:rPr>
          <w:rFonts w:cs="Arial"/>
          <w:bCs/>
        </w:rPr>
        <w:t>53</w:t>
      </w:r>
      <w:r w:rsidRPr="00D92971">
        <w:rPr>
          <w:rFonts w:cs="Arial"/>
          <w:bCs/>
        </w:rPr>
        <w:t>,</w:t>
      </w:r>
      <w:r>
        <w:rPr>
          <w:rFonts w:cs="Arial"/>
          <w:bCs/>
        </w:rPr>
        <w:t>4</w:t>
      </w:r>
      <w:r w:rsidRPr="00D92971">
        <w:rPr>
          <w:rFonts w:cs="Arial"/>
          <w:bCs/>
        </w:rPr>
        <w:t> mil. Kč)</w:t>
      </w:r>
      <w:r>
        <w:rPr>
          <w:rFonts w:cs="Arial"/>
          <w:bCs/>
        </w:rPr>
        <w:t>,</w:t>
      </w:r>
      <w:r w:rsidRPr="00D92971">
        <w:rPr>
          <w:rFonts w:cs="Arial"/>
          <w:bCs/>
        </w:rPr>
        <w:t xml:space="preserve"> </w:t>
      </w:r>
      <w:r>
        <w:rPr>
          <w:rFonts w:cs="Arial"/>
          <w:bCs/>
        </w:rPr>
        <w:t>Středočeském</w:t>
      </w:r>
      <w:r w:rsidRPr="00D92971">
        <w:rPr>
          <w:rFonts w:cs="Arial"/>
          <w:bCs/>
        </w:rPr>
        <w:t xml:space="preserve"> kraji (</w:t>
      </w:r>
      <w:r>
        <w:rPr>
          <w:rFonts w:cs="Arial"/>
          <w:bCs/>
        </w:rPr>
        <w:t>49</w:t>
      </w:r>
      <w:r w:rsidRPr="00D92971">
        <w:rPr>
          <w:rFonts w:cs="Arial"/>
          <w:bCs/>
        </w:rPr>
        <w:t>,</w:t>
      </w:r>
      <w:r>
        <w:rPr>
          <w:rFonts w:cs="Arial"/>
          <w:bCs/>
        </w:rPr>
        <w:t>4 </w:t>
      </w:r>
      <w:r w:rsidRPr="00D92971">
        <w:rPr>
          <w:rFonts w:cs="Arial"/>
          <w:bCs/>
        </w:rPr>
        <w:t>mil.</w:t>
      </w:r>
      <w:r>
        <w:rPr>
          <w:rFonts w:cs="Arial"/>
          <w:bCs/>
        </w:rPr>
        <w:t> </w:t>
      </w:r>
      <w:r w:rsidRPr="00D92971">
        <w:rPr>
          <w:rFonts w:cs="Arial"/>
          <w:bCs/>
        </w:rPr>
        <w:t>Kč)</w:t>
      </w:r>
      <w:r>
        <w:rPr>
          <w:rFonts w:cs="Arial"/>
          <w:bCs/>
        </w:rPr>
        <w:t xml:space="preserve"> a Jihočeském kraji </w:t>
      </w:r>
      <w:r w:rsidRPr="00D92971">
        <w:rPr>
          <w:rFonts w:cs="Arial"/>
          <w:bCs/>
        </w:rPr>
        <w:t>(</w:t>
      </w:r>
      <w:r>
        <w:rPr>
          <w:rFonts w:cs="Arial"/>
          <w:bCs/>
        </w:rPr>
        <w:t>15</w:t>
      </w:r>
      <w:r w:rsidRPr="00D92971">
        <w:rPr>
          <w:rFonts w:cs="Arial"/>
          <w:bCs/>
        </w:rPr>
        <w:t>,</w:t>
      </w:r>
      <w:r>
        <w:rPr>
          <w:rFonts w:cs="Arial"/>
          <w:bCs/>
        </w:rPr>
        <w:t>5 </w:t>
      </w:r>
      <w:r w:rsidRPr="00D92971">
        <w:rPr>
          <w:rFonts w:cs="Arial"/>
          <w:bCs/>
        </w:rPr>
        <w:t>mil.</w:t>
      </w:r>
      <w:r>
        <w:rPr>
          <w:rFonts w:cs="Arial"/>
          <w:bCs/>
        </w:rPr>
        <w:t> </w:t>
      </w:r>
      <w:r w:rsidRPr="00D92971">
        <w:rPr>
          <w:rFonts w:cs="Arial"/>
          <w:bCs/>
        </w:rPr>
        <w:t>Kč).</w:t>
      </w:r>
    </w:p>
    <w:p w:rsidR="00186D70" w:rsidRPr="002F13F2" w:rsidRDefault="00186D70" w:rsidP="00186D70">
      <w:pPr>
        <w:spacing w:line="360" w:lineRule="auto"/>
        <w:jc w:val="both"/>
      </w:pPr>
    </w:p>
    <w:p w:rsidR="00186D70" w:rsidRPr="002F13F2" w:rsidRDefault="007C0B49" w:rsidP="007C0B49">
      <w:pPr>
        <w:spacing w:line="360" w:lineRule="auto"/>
        <w:jc w:val="both"/>
        <w:rPr>
          <w:rFonts w:cs="Arial"/>
          <w:bCs/>
        </w:rPr>
      </w:pPr>
      <w:r>
        <w:lastRenderedPageBreak/>
        <w:tab/>
      </w:r>
      <w:r w:rsidR="00186D70" w:rsidRPr="002F13F2">
        <w:t xml:space="preserve">Vývoj </w:t>
      </w:r>
      <w:r w:rsidR="00186D70" w:rsidRPr="002F13F2">
        <w:rPr>
          <w:rFonts w:cs="Arial"/>
          <w:b/>
          <w:bCs/>
        </w:rPr>
        <w:t>průměrného platu v nepodnikatelské sféře</w:t>
      </w:r>
      <w:r w:rsidR="00186D70" w:rsidRPr="002F13F2">
        <w:rPr>
          <w:rFonts w:cs="Arial"/>
          <w:bCs/>
        </w:rPr>
        <w:t xml:space="preserve"> v roce 2016 </w:t>
      </w:r>
      <w:r w:rsidR="00186D70" w:rsidRPr="002F13F2">
        <w:rPr>
          <w:rFonts w:cs="Arial"/>
          <w:b/>
          <w:bCs/>
        </w:rPr>
        <w:t xml:space="preserve">byl </w:t>
      </w:r>
      <w:r w:rsidR="00186D70" w:rsidRPr="002F13F2">
        <w:rPr>
          <w:rFonts w:cs="Arial"/>
          <w:bCs/>
        </w:rPr>
        <w:t xml:space="preserve">podobně jako v roce 2015 </w:t>
      </w:r>
      <w:r w:rsidR="00186D70" w:rsidRPr="002F13F2">
        <w:rPr>
          <w:rFonts w:cs="Arial"/>
          <w:b/>
          <w:bCs/>
        </w:rPr>
        <w:t xml:space="preserve">příznivě ovlivněn zvýšením platových tarifů </w:t>
      </w:r>
      <w:r w:rsidR="00186D70" w:rsidRPr="002F13F2">
        <w:rPr>
          <w:rFonts w:cs="Arial"/>
          <w:bCs/>
        </w:rPr>
        <w:t xml:space="preserve">státních zaměstnanců a zaměstnanců ve veřejných službách a správě, a to příslušnými vládními nařízeními s účinností od 1. listopadu loňského roku. S výjimkou odvětví „vzdělávání“ došlo ve všech ostatních odvětvích nepodnikatelské sféry v souhrnu k poměrně </w:t>
      </w:r>
      <w:r w:rsidR="00186D70" w:rsidRPr="002F13F2">
        <w:rPr>
          <w:rFonts w:cs="Arial"/>
          <w:b/>
          <w:bCs/>
        </w:rPr>
        <w:t>nadprůměrnému meziročnímu nominální</w:t>
      </w:r>
      <w:r w:rsidR="00186D70">
        <w:rPr>
          <w:rFonts w:cs="Arial"/>
          <w:b/>
          <w:bCs/>
        </w:rPr>
        <w:t>mu</w:t>
      </w:r>
      <w:r w:rsidR="00186D70" w:rsidRPr="002F13F2">
        <w:rPr>
          <w:rFonts w:cs="Arial"/>
          <w:b/>
          <w:bCs/>
        </w:rPr>
        <w:t xml:space="preserve"> nárůstu průměrného platu</w:t>
      </w:r>
      <w:r w:rsidR="00031FF7">
        <w:rPr>
          <w:rFonts w:cs="Arial"/>
          <w:b/>
          <w:bCs/>
        </w:rPr>
        <w:t>,</w:t>
      </w:r>
      <w:r w:rsidR="00186D70">
        <w:rPr>
          <w:rFonts w:cs="Arial"/>
          <w:bCs/>
        </w:rPr>
        <w:t xml:space="preserve"> který</w:t>
      </w:r>
      <w:r w:rsidR="00186D70" w:rsidRPr="002F13F2">
        <w:rPr>
          <w:rFonts w:cs="Arial"/>
          <w:bCs/>
        </w:rPr>
        <w:t xml:space="preserve"> převyšo</w:t>
      </w:r>
      <w:r w:rsidR="00186D70">
        <w:rPr>
          <w:rFonts w:cs="Arial"/>
          <w:bCs/>
        </w:rPr>
        <w:t>val</w:t>
      </w:r>
      <w:r w:rsidR="00186D70" w:rsidRPr="002F13F2">
        <w:rPr>
          <w:rFonts w:cs="Arial"/>
          <w:bCs/>
        </w:rPr>
        <w:t xml:space="preserve"> 5 %. Nejvýznamněji si polepšili zaměstnanci v odvětví </w:t>
      </w:r>
      <w:r w:rsidR="00186D70" w:rsidRPr="002F13F2">
        <w:rPr>
          <w:rFonts w:cs="Arial"/>
          <w:b/>
          <w:bCs/>
        </w:rPr>
        <w:t>„kulturní, zábavní a sportovní činnosti“</w:t>
      </w:r>
      <w:r w:rsidR="00186D70" w:rsidRPr="002F13F2">
        <w:rPr>
          <w:rFonts w:cs="Arial"/>
          <w:bCs/>
        </w:rPr>
        <w:t xml:space="preserve"> s nárůstem </w:t>
      </w:r>
      <w:r w:rsidR="00186D70" w:rsidRPr="002F13F2">
        <w:rPr>
          <w:rFonts w:cs="Arial"/>
          <w:b/>
          <w:bCs/>
        </w:rPr>
        <w:t>o 5,9 %</w:t>
      </w:r>
      <w:r w:rsidR="00186D70">
        <w:rPr>
          <w:rFonts w:cs="Arial"/>
          <w:bCs/>
        </w:rPr>
        <w:t xml:space="preserve"> a v odvětví </w:t>
      </w:r>
      <w:r w:rsidR="00186D70" w:rsidRPr="005E4F89">
        <w:rPr>
          <w:rFonts w:cs="Arial"/>
          <w:b/>
          <w:bCs/>
        </w:rPr>
        <w:t>„veřejná</w:t>
      </w:r>
      <w:r w:rsidR="00031FF7">
        <w:rPr>
          <w:rFonts w:cs="Arial"/>
          <w:b/>
          <w:bCs/>
        </w:rPr>
        <w:t> </w:t>
      </w:r>
      <w:r w:rsidR="00186D70" w:rsidRPr="005E4F89">
        <w:rPr>
          <w:rFonts w:cs="Arial"/>
          <w:b/>
          <w:bCs/>
        </w:rPr>
        <w:t>správa, obrana, sociální zabezpečení“ o 5,6 %</w:t>
      </w:r>
      <w:r w:rsidR="00186D70" w:rsidRPr="002F13F2">
        <w:rPr>
          <w:rFonts w:cs="Arial"/>
          <w:b/>
          <w:bCs/>
        </w:rPr>
        <w:t>.</w:t>
      </w:r>
      <w:r w:rsidR="00186D70" w:rsidRPr="002F13F2">
        <w:rPr>
          <w:rFonts w:cs="Arial"/>
          <w:bCs/>
        </w:rPr>
        <w:t xml:space="preserve"> K </w:t>
      </w:r>
      <w:r w:rsidR="00186D70" w:rsidRPr="002F13F2">
        <w:rPr>
          <w:rFonts w:cs="Arial"/>
          <w:b/>
          <w:bCs/>
        </w:rPr>
        <w:t>nejnižšímu zvýšení</w:t>
      </w:r>
      <w:r w:rsidR="00186D70" w:rsidRPr="002F13F2">
        <w:rPr>
          <w:rFonts w:cs="Arial"/>
          <w:bCs/>
        </w:rPr>
        <w:t xml:space="preserve"> průměrného platu </w:t>
      </w:r>
      <w:r w:rsidR="00186D70" w:rsidRPr="002F13F2">
        <w:rPr>
          <w:rFonts w:cs="Arial"/>
          <w:b/>
          <w:bCs/>
        </w:rPr>
        <w:t>o 4,1 %</w:t>
      </w:r>
      <w:r w:rsidR="00186D70" w:rsidRPr="002F13F2">
        <w:rPr>
          <w:rFonts w:cs="Arial"/>
          <w:bCs/>
        </w:rPr>
        <w:t xml:space="preserve"> došlo v odvětví </w:t>
      </w:r>
      <w:r w:rsidR="00186D70" w:rsidRPr="002F13F2">
        <w:rPr>
          <w:rFonts w:cs="Arial"/>
          <w:b/>
          <w:bCs/>
        </w:rPr>
        <w:t>„vzdělávání“</w:t>
      </w:r>
      <w:r w:rsidR="00186D70" w:rsidRPr="002F13F2">
        <w:rPr>
          <w:rFonts w:cs="Arial"/>
          <w:bCs/>
        </w:rPr>
        <w:t xml:space="preserve"> – podrobně viz tabulku č. 4 v příloze.</w:t>
      </w:r>
    </w:p>
    <w:p w:rsidR="00186D70" w:rsidRPr="002F13F2" w:rsidRDefault="00186D70" w:rsidP="00186D70">
      <w:pPr>
        <w:spacing w:line="360" w:lineRule="auto"/>
        <w:jc w:val="both"/>
        <w:rPr>
          <w:rFonts w:cs="Arial"/>
          <w:bCs/>
        </w:rPr>
      </w:pPr>
    </w:p>
    <w:p w:rsidR="00186D70" w:rsidRPr="000765D2" w:rsidRDefault="007C0B49" w:rsidP="007C0B49">
      <w:pPr>
        <w:spacing w:after="120" w:line="360" w:lineRule="auto"/>
        <w:jc w:val="both"/>
        <w:rPr>
          <w:rFonts w:cs="Arial"/>
          <w:b/>
        </w:rPr>
      </w:pPr>
      <w:r>
        <w:tab/>
      </w:r>
      <w:r w:rsidR="00186D70" w:rsidRPr="002F13F2">
        <w:rPr>
          <w:rFonts w:cs="Arial"/>
          <w:b/>
        </w:rPr>
        <w:t xml:space="preserve">Na nárůst </w:t>
      </w:r>
      <w:r w:rsidR="00186D70" w:rsidRPr="002F13F2">
        <w:rPr>
          <w:rFonts w:cs="Arial"/>
        </w:rPr>
        <w:t>průměrné mzdy</w:t>
      </w:r>
      <w:r w:rsidR="00186D70" w:rsidRPr="002F13F2">
        <w:rPr>
          <w:rFonts w:cs="Arial"/>
          <w:b/>
        </w:rPr>
        <w:t xml:space="preserve"> v podnikatelské sféře </w:t>
      </w:r>
      <w:r w:rsidR="00186D70" w:rsidRPr="002F13F2">
        <w:rPr>
          <w:rFonts w:cs="Arial"/>
        </w:rPr>
        <w:t xml:space="preserve">působily v roce 2016 </w:t>
      </w:r>
      <w:r w:rsidR="00186D70" w:rsidRPr="000765D2">
        <w:rPr>
          <w:rFonts w:cs="Arial"/>
          <w:bCs/>
        </w:rPr>
        <w:t>především</w:t>
      </w:r>
      <w:r w:rsidR="00186D70" w:rsidRPr="000765D2">
        <w:rPr>
          <w:rFonts w:cs="Arial"/>
          <w:b/>
        </w:rPr>
        <w:t xml:space="preserve"> tyto </w:t>
      </w:r>
      <w:r w:rsidR="00186D70" w:rsidRPr="000765D2">
        <w:rPr>
          <w:rFonts w:cs="Arial"/>
          <w:bCs/>
        </w:rPr>
        <w:t>základní</w:t>
      </w:r>
      <w:r w:rsidR="00186D70" w:rsidRPr="000765D2">
        <w:rPr>
          <w:rFonts w:cs="Arial"/>
          <w:b/>
        </w:rPr>
        <w:t xml:space="preserve"> faktory:</w:t>
      </w:r>
    </w:p>
    <w:p w:rsidR="00186D70" w:rsidRPr="000765D2" w:rsidRDefault="00186D70" w:rsidP="00186D70">
      <w:pPr>
        <w:numPr>
          <w:ilvl w:val="0"/>
          <w:numId w:val="23"/>
        </w:numPr>
        <w:spacing w:after="240" w:line="360" w:lineRule="auto"/>
        <w:contextualSpacing/>
        <w:jc w:val="both"/>
        <w:rPr>
          <w:rFonts w:cs="Arial"/>
          <w:b/>
        </w:rPr>
      </w:pPr>
      <w:r w:rsidRPr="000765D2">
        <w:rPr>
          <w:rFonts w:cs="Arial"/>
          <w:bCs/>
        </w:rPr>
        <w:t xml:space="preserve">vytrvale </w:t>
      </w:r>
      <w:r w:rsidRPr="000765D2">
        <w:rPr>
          <w:rFonts w:cs="Arial"/>
          <w:b/>
          <w:bCs/>
        </w:rPr>
        <w:t>silná poptávka po pracovní síle</w:t>
      </w:r>
      <w:r w:rsidRPr="000765D2">
        <w:rPr>
          <w:rFonts w:cs="Arial"/>
          <w:bCs/>
        </w:rPr>
        <w:t xml:space="preserve">, zejména kvalifikované v technických oborech a profesích, a </w:t>
      </w:r>
      <w:r w:rsidRPr="000765D2">
        <w:rPr>
          <w:rFonts w:cs="Arial"/>
          <w:b/>
          <w:bCs/>
        </w:rPr>
        <w:t>zostřená mzdová konkurence mezi zaměstnavateli</w:t>
      </w:r>
      <w:r w:rsidRPr="000765D2">
        <w:rPr>
          <w:rFonts w:cs="Arial"/>
          <w:b/>
        </w:rPr>
        <w:t>,</w:t>
      </w:r>
    </w:p>
    <w:p w:rsidR="00186D70" w:rsidRPr="000765D2" w:rsidRDefault="00186D70" w:rsidP="00186D70">
      <w:pPr>
        <w:numPr>
          <w:ilvl w:val="0"/>
          <w:numId w:val="23"/>
        </w:numPr>
        <w:spacing w:after="240" w:line="360" w:lineRule="auto"/>
        <w:contextualSpacing/>
        <w:jc w:val="both"/>
        <w:rPr>
          <w:rFonts w:cs="Arial"/>
        </w:rPr>
      </w:pPr>
      <w:r w:rsidRPr="000765D2">
        <w:rPr>
          <w:rFonts w:cs="Arial"/>
        </w:rPr>
        <w:t>příznivý vývoj ekonomiky, zejména průmyslu (nárůst zakázek, ziskovosti, apod.),</w:t>
      </w:r>
    </w:p>
    <w:p w:rsidR="00186D70" w:rsidRPr="000765D2" w:rsidRDefault="00186D70" w:rsidP="00186D70">
      <w:pPr>
        <w:numPr>
          <w:ilvl w:val="0"/>
          <w:numId w:val="23"/>
        </w:numPr>
        <w:spacing w:line="360" w:lineRule="auto"/>
        <w:contextualSpacing/>
        <w:jc w:val="both"/>
        <w:rPr>
          <w:rFonts w:cs="Arial"/>
        </w:rPr>
      </w:pPr>
      <w:r w:rsidRPr="000765D2">
        <w:rPr>
          <w:rFonts w:cs="Arial"/>
        </w:rPr>
        <w:t>nárůst zaměstnanosti a pokračující významný pokles nezaměstnanosti; podíl nezaměstnaných osob</w:t>
      </w:r>
      <w:r w:rsidRPr="000765D2">
        <w:rPr>
          <w:rFonts w:cs="Arial"/>
          <w:b/>
          <w:bCs/>
        </w:rPr>
        <w:t xml:space="preserve"> činil 5,2 % k 31. prosinci 2016 </w:t>
      </w:r>
      <w:r w:rsidRPr="000765D2">
        <w:rPr>
          <w:rFonts w:cs="Arial"/>
          <w:bCs/>
        </w:rPr>
        <w:t xml:space="preserve">(k 31. prosinci 2015 byl o 1,0 p. b. </w:t>
      </w:r>
      <w:proofErr w:type="gramStart"/>
      <w:r w:rsidRPr="000765D2">
        <w:rPr>
          <w:rFonts w:cs="Arial"/>
          <w:bCs/>
        </w:rPr>
        <w:t>vyšší</w:t>
      </w:r>
      <w:proofErr w:type="gramEnd"/>
      <w:r w:rsidRPr="000765D2">
        <w:rPr>
          <w:rFonts w:cs="Arial"/>
          <w:bCs/>
        </w:rPr>
        <w:t>, tj. 6,2 %).</w:t>
      </w:r>
    </w:p>
    <w:p w:rsidR="00186D70" w:rsidRPr="004A7D8D" w:rsidRDefault="00186D70" w:rsidP="00186D70">
      <w:pPr>
        <w:ind w:left="708"/>
        <w:jc w:val="both"/>
        <w:rPr>
          <w:rFonts w:cs="Arial"/>
          <w:szCs w:val="24"/>
        </w:rPr>
      </w:pPr>
    </w:p>
    <w:p w:rsidR="00186D70" w:rsidRPr="004A7D8D" w:rsidRDefault="00186D70" w:rsidP="00186D70">
      <w:pPr>
        <w:ind w:left="708"/>
        <w:jc w:val="both"/>
        <w:rPr>
          <w:rFonts w:cs="Arial"/>
          <w:bCs/>
          <w:szCs w:val="24"/>
        </w:rPr>
      </w:pPr>
      <w:r w:rsidRPr="004A7D8D">
        <w:rPr>
          <w:rFonts w:cs="Arial"/>
          <w:szCs w:val="24"/>
        </w:rPr>
        <w:t xml:space="preserve">Ze statistik o </w:t>
      </w:r>
      <w:r w:rsidRPr="004A7D8D">
        <w:rPr>
          <w:rFonts w:cs="Arial"/>
          <w:b/>
          <w:bCs/>
          <w:szCs w:val="24"/>
        </w:rPr>
        <w:t>průměrném evidenčním počtu zaměstnanců</w:t>
      </w:r>
      <w:r w:rsidRPr="004A7D8D">
        <w:rPr>
          <w:rFonts w:cs="Arial"/>
          <w:bCs/>
          <w:szCs w:val="24"/>
        </w:rPr>
        <w:t xml:space="preserve"> na přepočtené počty (dle Podnikové statistiky o mzdách a zaměstnancích, jedná se o druhý nejvýznamnější zdroj dat, který se však liší od Výběrových šetření pracovních sil) je patrný pokračující meziroční nárůst zaměstnanců (o 69,7 tis.). Přírůstek zaměstnanců byl zaznamenán v obou sférách národního hospodářství. V podnikatelské sféře se zvýšil počet zaměstnanců o 64,3 tis. a v nepodnikatelské sféře o 5,5 tis. V detailnějším odvětvovém členění byly zaznamenány rozdílné trendy ve vývoji zaměstnanců. Největší a nejvýznamnější nárůst zaměstnanců byl vykázán ve zpracovatelském průmyslu (o 25,4 tis., tj. o 2,3 %), dále pak v odvětví „velkoobchod a maloobchod; opravy a údržba motorových vozidel“ (o 13,9 tis.), odvětví „administrativní a podpůrné činnosti“ (o 6,5 tis.) a odvětví „profesní, vědecké a technické činnosti“ (o 6,4 tis.). Pokles zaměstnanosti byl zaznamenán ve třech odvětvích, tj. stále ještě v odvětví „stavebnictví“ (o 2,8 tis., tj. o 1,4 %), dále pak v odvětvích „těžba a dobývání“ (o 1,7 tis.) a „zemědělství, lesnictví a rybářství“ (o 1,4 tis.).</w:t>
      </w:r>
    </w:p>
    <w:p w:rsidR="00186D70" w:rsidRPr="00B4088F" w:rsidRDefault="007C0B49" w:rsidP="007C0B49">
      <w:pPr>
        <w:spacing w:line="360" w:lineRule="auto"/>
        <w:jc w:val="both"/>
        <w:rPr>
          <w:rFonts w:cs="Arial"/>
          <w:szCs w:val="24"/>
        </w:rPr>
      </w:pPr>
      <w:r>
        <w:lastRenderedPageBreak/>
        <w:tab/>
      </w:r>
      <w:r w:rsidR="00186D70" w:rsidRPr="00B4088F">
        <w:rPr>
          <w:rFonts w:cs="Arial"/>
          <w:szCs w:val="24"/>
        </w:rPr>
        <w:t xml:space="preserve">Z hlediska odvětvového členění (podle Klasifikace ekonomických činností </w:t>
      </w:r>
      <w:r w:rsidR="00031FF7">
        <w:rPr>
          <w:rFonts w:cs="Arial"/>
          <w:szCs w:val="24"/>
        </w:rPr>
        <w:t xml:space="preserve">  </w:t>
      </w:r>
      <w:r w:rsidR="00186D70" w:rsidRPr="00B4088F">
        <w:rPr>
          <w:rFonts w:cs="Arial"/>
          <w:szCs w:val="24"/>
        </w:rPr>
        <w:t xml:space="preserve">CZ-NACE), které je významným kritériem při hodnocení úrovně mezd, </w:t>
      </w:r>
      <w:r w:rsidR="00186D70" w:rsidRPr="00B4088F">
        <w:rPr>
          <w:rFonts w:cs="Arial"/>
          <w:b/>
          <w:bCs/>
          <w:szCs w:val="24"/>
        </w:rPr>
        <w:t>dosáhla</w:t>
      </w:r>
      <w:r w:rsidR="00186D70" w:rsidRPr="00B4088F">
        <w:rPr>
          <w:rFonts w:cs="Arial"/>
          <w:b/>
          <w:szCs w:val="24"/>
        </w:rPr>
        <w:t xml:space="preserve"> v roce 2016 </w:t>
      </w:r>
      <w:r w:rsidR="00186D70" w:rsidRPr="00B4088F">
        <w:rPr>
          <w:rFonts w:cs="Arial"/>
          <w:b/>
          <w:bCs/>
          <w:szCs w:val="24"/>
        </w:rPr>
        <w:t xml:space="preserve">nejvyšší nominální průměrné mzdy </w:t>
      </w:r>
      <w:r w:rsidR="00186D70" w:rsidRPr="00B4088F">
        <w:rPr>
          <w:rFonts w:cs="Arial"/>
          <w:bCs/>
          <w:szCs w:val="24"/>
        </w:rPr>
        <w:t xml:space="preserve">tradičně </w:t>
      </w:r>
      <w:r w:rsidR="00186D70" w:rsidRPr="00B4088F">
        <w:rPr>
          <w:rFonts w:cs="Arial"/>
          <w:b/>
          <w:bCs/>
          <w:szCs w:val="24"/>
        </w:rPr>
        <w:t>odvětví „peněžnictví a pojišťovnictví“</w:t>
      </w:r>
      <w:r w:rsidR="00186D70" w:rsidRPr="00B4088F">
        <w:rPr>
          <w:rFonts w:cs="Arial"/>
          <w:bCs/>
          <w:szCs w:val="24"/>
        </w:rPr>
        <w:t xml:space="preserve"> (50 429 Kč), </w:t>
      </w:r>
      <w:r w:rsidR="00186D70" w:rsidRPr="00B4088F">
        <w:rPr>
          <w:rFonts w:cs="Arial"/>
          <w:b/>
          <w:bCs/>
          <w:szCs w:val="24"/>
        </w:rPr>
        <w:t>odvětví „informační a komunikační činnosti“</w:t>
      </w:r>
      <w:r w:rsidR="00186D70" w:rsidRPr="00B4088F">
        <w:rPr>
          <w:rFonts w:cs="Arial"/>
          <w:bCs/>
          <w:szCs w:val="24"/>
        </w:rPr>
        <w:t xml:space="preserve"> (50 335 Kč) a </w:t>
      </w:r>
      <w:r w:rsidR="00186D70" w:rsidRPr="00B4088F">
        <w:rPr>
          <w:rFonts w:cs="Arial"/>
          <w:b/>
          <w:bCs/>
          <w:szCs w:val="24"/>
        </w:rPr>
        <w:t>odvětví „výroba a rozvod elektřiny, plynu, tepla a klimatizovaného vzduchu“</w:t>
      </w:r>
      <w:r w:rsidR="00186D70" w:rsidRPr="00B4088F">
        <w:rPr>
          <w:rFonts w:cs="Arial"/>
          <w:bCs/>
          <w:szCs w:val="24"/>
        </w:rPr>
        <w:t xml:space="preserve"> (41 503 Kč). Celorepublikový průměr (27 589 Kč) byl překročen rovněž v odvětvích „profesní, vědecké a technické činnosti“ (34 105 Kč), „těžba a dobývání“ (31 425 Kč), „veřejná správa a obrana; povinné sociální zabezpečení“ (30 494 Kč) a</w:t>
      </w:r>
      <w:r w:rsidR="00186D70">
        <w:rPr>
          <w:rFonts w:cs="Arial"/>
          <w:bCs/>
          <w:szCs w:val="24"/>
        </w:rPr>
        <w:t> </w:t>
      </w:r>
      <w:r w:rsidR="00186D70" w:rsidRPr="00B4088F">
        <w:rPr>
          <w:rFonts w:cs="Arial"/>
          <w:bCs/>
          <w:szCs w:val="24"/>
        </w:rPr>
        <w:t xml:space="preserve">„zdravotní a sociální péče“ (28 053 Kč). </w:t>
      </w:r>
      <w:r w:rsidR="00186D70" w:rsidRPr="00B4088F">
        <w:rPr>
          <w:rFonts w:cs="Arial"/>
          <w:b/>
          <w:bCs/>
          <w:szCs w:val="24"/>
        </w:rPr>
        <w:t>Nejnižší průměrná mzda byla v odvětvích „ubytování, stravování a pohostinství“</w:t>
      </w:r>
      <w:r w:rsidR="00186D70" w:rsidRPr="00B4088F">
        <w:rPr>
          <w:rFonts w:cs="Arial"/>
          <w:bCs/>
          <w:szCs w:val="24"/>
        </w:rPr>
        <w:t xml:space="preserve"> (15 717 Kč), </w:t>
      </w:r>
      <w:r w:rsidR="00186D70" w:rsidRPr="00B4088F">
        <w:rPr>
          <w:rFonts w:cs="Arial"/>
          <w:b/>
          <w:bCs/>
          <w:szCs w:val="24"/>
        </w:rPr>
        <w:t>„administrativní a podpůrné činnosti“</w:t>
      </w:r>
      <w:r w:rsidR="00186D70" w:rsidRPr="00B4088F">
        <w:rPr>
          <w:rFonts w:cs="Arial"/>
          <w:bCs/>
          <w:szCs w:val="24"/>
        </w:rPr>
        <w:t xml:space="preserve"> (18 092 Kč) a </w:t>
      </w:r>
      <w:r w:rsidR="00186D70" w:rsidRPr="00B4088F">
        <w:rPr>
          <w:rFonts w:cs="Arial"/>
          <w:b/>
          <w:bCs/>
          <w:szCs w:val="24"/>
        </w:rPr>
        <w:t>„ostatní činnosti“</w:t>
      </w:r>
      <w:r w:rsidR="00186D70" w:rsidRPr="00B4088F">
        <w:rPr>
          <w:rFonts w:cs="Arial"/>
          <w:bCs/>
          <w:szCs w:val="24"/>
        </w:rPr>
        <w:t xml:space="preserve"> – tj. např. činnosti podnikatelských, zaměstnavatelských a profesních organizací a odborových svazů, opravy počítačů a</w:t>
      </w:r>
      <w:r w:rsidR="00186D70">
        <w:rPr>
          <w:rFonts w:cs="Arial"/>
          <w:bCs/>
          <w:szCs w:val="24"/>
        </w:rPr>
        <w:t xml:space="preserve"> </w:t>
      </w:r>
      <w:r w:rsidR="00186D70" w:rsidRPr="00B4088F">
        <w:rPr>
          <w:rFonts w:cs="Arial"/>
          <w:bCs/>
          <w:szCs w:val="24"/>
        </w:rPr>
        <w:t>komunikačních zařízení a výrobků pro osobní potřebu, praní a</w:t>
      </w:r>
      <w:r w:rsidR="00186D70">
        <w:rPr>
          <w:rFonts w:cs="Arial"/>
          <w:bCs/>
          <w:szCs w:val="24"/>
        </w:rPr>
        <w:t> </w:t>
      </w:r>
      <w:r w:rsidR="00186D70" w:rsidRPr="00B4088F">
        <w:rPr>
          <w:rFonts w:cs="Arial"/>
          <w:bCs/>
          <w:szCs w:val="24"/>
        </w:rPr>
        <w:t xml:space="preserve">chemické čištění, kadeřnické, kosmetické činnosti, pohřební služby, apod. (21 480 Kč). </w:t>
      </w:r>
      <w:r w:rsidR="00186D70" w:rsidRPr="00B4088F">
        <w:rPr>
          <w:rFonts w:cs="Arial"/>
          <w:szCs w:val="24"/>
        </w:rPr>
        <w:t xml:space="preserve">Podrobný přehled o výši průměrných mezd ve všech 19 sekcích </w:t>
      </w:r>
      <w:r w:rsidR="00031FF7">
        <w:rPr>
          <w:rFonts w:cs="Arial"/>
          <w:szCs w:val="24"/>
        </w:rPr>
        <w:t xml:space="preserve">       </w:t>
      </w:r>
      <w:r w:rsidR="00186D70" w:rsidRPr="00B4088F">
        <w:rPr>
          <w:rFonts w:cs="Arial"/>
          <w:szCs w:val="24"/>
        </w:rPr>
        <w:t>CZ-NACE je uveden v následujícím grafu a tabulce č. 5 v příloze.</w:t>
      </w:r>
    </w:p>
    <w:p w:rsidR="00186D70" w:rsidRPr="00B4088F" w:rsidRDefault="00186D70" w:rsidP="00186D70">
      <w:pPr>
        <w:spacing w:line="360" w:lineRule="auto"/>
        <w:jc w:val="both"/>
        <w:rPr>
          <w:rFonts w:cs="Arial"/>
          <w:szCs w:val="24"/>
        </w:rPr>
      </w:pPr>
    </w:p>
    <w:p w:rsidR="00186D70" w:rsidRPr="00B4088F" w:rsidRDefault="00FC5A0C" w:rsidP="00186D70">
      <w:pPr>
        <w:spacing w:line="360" w:lineRule="auto"/>
        <w:jc w:val="both"/>
        <w:rPr>
          <w:rFonts w:cs="Arial"/>
          <w:szCs w:val="24"/>
        </w:rPr>
      </w:pPr>
      <w:r>
        <w:rPr>
          <w:noProof/>
        </w:rPr>
        <w:drawing>
          <wp:inline distT="0" distB="0" distL="0" distR="0" wp14:anchorId="4ACCC75B" wp14:editId="46AA000D">
            <wp:extent cx="5760720" cy="3950933"/>
            <wp:effectExtent l="0" t="0" r="0" b="0"/>
            <wp:docPr id="17" name="Obrázek 17"/>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950933"/>
                    </a:xfrm>
                    <a:prstGeom prst="rect">
                      <a:avLst/>
                    </a:prstGeom>
                    <a:noFill/>
                  </pic:spPr>
                </pic:pic>
              </a:graphicData>
            </a:graphic>
          </wp:inline>
        </w:drawing>
      </w:r>
      <w:bookmarkStart w:id="0" w:name="_GoBack"/>
      <w:bookmarkEnd w:id="0"/>
    </w:p>
    <w:p w:rsidR="00186D70" w:rsidRPr="00B4088F" w:rsidRDefault="00186D70" w:rsidP="00186D70">
      <w:pPr>
        <w:spacing w:line="360" w:lineRule="auto"/>
        <w:jc w:val="both"/>
        <w:rPr>
          <w:rFonts w:cs="Arial"/>
          <w:bCs/>
          <w:sz w:val="20"/>
        </w:rPr>
      </w:pPr>
      <w:r w:rsidRPr="00B4088F">
        <w:rPr>
          <w:rFonts w:cs="Arial"/>
          <w:bCs/>
          <w:sz w:val="20"/>
        </w:rPr>
        <w:t>Zpracováno z dat ČSÚ</w:t>
      </w:r>
    </w:p>
    <w:p w:rsidR="00186D70" w:rsidRPr="007F67A9" w:rsidRDefault="007C0B49" w:rsidP="007C0B49">
      <w:pPr>
        <w:spacing w:line="360" w:lineRule="auto"/>
        <w:jc w:val="both"/>
        <w:rPr>
          <w:rFonts w:cs="Arial"/>
          <w:szCs w:val="24"/>
        </w:rPr>
      </w:pPr>
      <w:r>
        <w:lastRenderedPageBreak/>
        <w:tab/>
      </w:r>
      <w:r w:rsidR="00186D70" w:rsidRPr="00F316B1">
        <w:rPr>
          <w:rFonts w:cs="Arial"/>
          <w:bCs/>
          <w:szCs w:val="24"/>
        </w:rPr>
        <w:t>Dynamika vývoje průměrné mzdy doznala v jednotlivých odvětvích v</w:t>
      </w:r>
      <w:r w:rsidR="00186D70">
        <w:rPr>
          <w:rFonts w:cs="Arial"/>
          <w:bCs/>
          <w:szCs w:val="24"/>
        </w:rPr>
        <w:t> roce 2016</w:t>
      </w:r>
      <w:r w:rsidR="00186D70" w:rsidRPr="00F316B1">
        <w:rPr>
          <w:rFonts w:cs="Arial"/>
          <w:bCs/>
          <w:szCs w:val="24"/>
        </w:rPr>
        <w:t xml:space="preserve"> rozdílné intenzity. </w:t>
      </w:r>
      <w:r w:rsidR="00186D70" w:rsidRPr="00F316B1">
        <w:rPr>
          <w:rFonts w:cs="Arial"/>
          <w:b/>
          <w:bCs/>
          <w:szCs w:val="24"/>
        </w:rPr>
        <w:t>K největšímu nárůstu došlo</w:t>
      </w:r>
      <w:r w:rsidR="00186D70" w:rsidRPr="00F316B1">
        <w:rPr>
          <w:rFonts w:cs="Arial"/>
          <w:bCs/>
          <w:szCs w:val="24"/>
        </w:rPr>
        <w:t xml:space="preserve"> v odvětvích </w:t>
      </w:r>
      <w:r w:rsidR="00186D70" w:rsidRPr="00F316B1">
        <w:rPr>
          <w:rFonts w:cs="Arial"/>
          <w:b/>
          <w:bCs/>
          <w:szCs w:val="24"/>
        </w:rPr>
        <w:t>„ubytování, stravování a pohostinství“</w:t>
      </w:r>
      <w:r w:rsidR="00186D70" w:rsidRPr="00F316B1">
        <w:rPr>
          <w:rFonts w:cs="Arial"/>
          <w:bCs/>
          <w:szCs w:val="24"/>
        </w:rPr>
        <w:t xml:space="preserve"> (nominálně o 7,2 %, reálně o 6,5 %), </w:t>
      </w:r>
      <w:r w:rsidR="00186D70" w:rsidRPr="00F316B1">
        <w:rPr>
          <w:rFonts w:cs="Arial"/>
          <w:b/>
          <w:bCs/>
          <w:szCs w:val="24"/>
        </w:rPr>
        <w:t>„kulturní, zábavní a rekreační činnosti“</w:t>
      </w:r>
      <w:r w:rsidR="00186D70" w:rsidRPr="00F316B1">
        <w:rPr>
          <w:rFonts w:cs="Arial"/>
          <w:bCs/>
          <w:szCs w:val="24"/>
        </w:rPr>
        <w:t xml:space="preserve"> (nominálně o 5,9 %, reálně o 5,2 %), </w:t>
      </w:r>
      <w:r w:rsidR="00186D70" w:rsidRPr="00F316B1">
        <w:rPr>
          <w:rFonts w:cs="Arial"/>
          <w:b/>
          <w:bCs/>
          <w:szCs w:val="24"/>
        </w:rPr>
        <w:t>„veřejná správa a</w:t>
      </w:r>
      <w:r w:rsidR="00186D70">
        <w:rPr>
          <w:rFonts w:cs="Arial"/>
          <w:b/>
          <w:bCs/>
          <w:szCs w:val="24"/>
        </w:rPr>
        <w:t> </w:t>
      </w:r>
      <w:r w:rsidR="00186D70" w:rsidRPr="00F316B1">
        <w:rPr>
          <w:rFonts w:cs="Arial"/>
          <w:b/>
          <w:bCs/>
          <w:szCs w:val="24"/>
        </w:rPr>
        <w:t>obrana; povinné sociální zabezpečení“</w:t>
      </w:r>
      <w:r w:rsidR="00186D70" w:rsidRPr="00F316B1">
        <w:rPr>
          <w:rFonts w:cs="Arial"/>
          <w:bCs/>
          <w:szCs w:val="24"/>
        </w:rPr>
        <w:t xml:space="preserve"> (nominálně o 5,6 %, reálně o 4,9 %) a</w:t>
      </w:r>
      <w:r w:rsidR="00186D70">
        <w:rPr>
          <w:rFonts w:cs="Arial"/>
          <w:bCs/>
          <w:szCs w:val="24"/>
        </w:rPr>
        <w:t> </w:t>
      </w:r>
      <w:r w:rsidR="00186D70" w:rsidRPr="00F316B1">
        <w:rPr>
          <w:rFonts w:cs="Arial"/>
          <w:b/>
          <w:bCs/>
          <w:szCs w:val="24"/>
        </w:rPr>
        <w:t xml:space="preserve">„zdravotní a sociální péče“ </w:t>
      </w:r>
      <w:r w:rsidR="00186D70" w:rsidRPr="00F316B1">
        <w:rPr>
          <w:rFonts w:cs="Arial"/>
          <w:bCs/>
          <w:szCs w:val="24"/>
        </w:rPr>
        <w:t xml:space="preserve">(nominálně o 5,1 %, reálně o 4,4 %). </w:t>
      </w:r>
      <w:r w:rsidR="00186D70" w:rsidRPr="00F316B1">
        <w:rPr>
          <w:rFonts w:cs="Arial"/>
          <w:b/>
          <w:bCs/>
          <w:szCs w:val="24"/>
        </w:rPr>
        <w:t>Naopak pokles průměr</w:t>
      </w:r>
      <w:r w:rsidR="00186D70" w:rsidRPr="007F67A9">
        <w:rPr>
          <w:rFonts w:cs="Arial"/>
          <w:b/>
          <w:bCs/>
          <w:szCs w:val="24"/>
        </w:rPr>
        <w:t xml:space="preserve">né mzdy byl </w:t>
      </w:r>
      <w:r w:rsidR="00186D70" w:rsidRPr="007F67A9">
        <w:rPr>
          <w:rFonts w:cs="Arial"/>
          <w:bCs/>
          <w:szCs w:val="24"/>
        </w:rPr>
        <w:t xml:space="preserve">v souvislosti s útlumem dobývání uhlí zaznamenán pouze v odvětví </w:t>
      </w:r>
      <w:r w:rsidR="00186D70" w:rsidRPr="007F67A9">
        <w:rPr>
          <w:rFonts w:cs="Arial"/>
          <w:b/>
          <w:bCs/>
          <w:szCs w:val="24"/>
        </w:rPr>
        <w:t>„těžba a dobývání“</w:t>
      </w:r>
      <w:r w:rsidR="00186D70" w:rsidRPr="007F67A9">
        <w:rPr>
          <w:rFonts w:cs="Arial"/>
          <w:bCs/>
          <w:szCs w:val="24"/>
        </w:rPr>
        <w:t xml:space="preserve"> (nominálně o 0,5 %, reálně o 1,2 %).</w:t>
      </w:r>
      <w:r w:rsidR="00186D70" w:rsidRPr="007F67A9">
        <w:rPr>
          <w:rFonts w:cs="Arial"/>
          <w:szCs w:val="24"/>
        </w:rPr>
        <w:t xml:space="preserve"> Nejnižší nárůst průměrné mzdy byl následně vykázán v odvětvích </w:t>
      </w:r>
      <w:r w:rsidR="00186D70" w:rsidRPr="007F67A9">
        <w:rPr>
          <w:rFonts w:cs="Arial"/>
          <w:b/>
          <w:szCs w:val="24"/>
        </w:rPr>
        <w:t>„</w:t>
      </w:r>
      <w:r w:rsidR="00186D70" w:rsidRPr="007F67A9">
        <w:rPr>
          <w:rFonts w:cs="Arial"/>
          <w:b/>
          <w:bCs/>
          <w:szCs w:val="24"/>
        </w:rPr>
        <w:t>výroba a rozvod elektřiny, plynu, tepla a klimatizovaného vzduchu</w:t>
      </w:r>
      <w:r w:rsidR="00186D70" w:rsidRPr="007F67A9">
        <w:rPr>
          <w:rFonts w:cs="Arial"/>
          <w:b/>
          <w:szCs w:val="24"/>
        </w:rPr>
        <w:t>“</w:t>
      </w:r>
      <w:r w:rsidR="00186D70" w:rsidRPr="007F67A9">
        <w:rPr>
          <w:rFonts w:cs="Arial"/>
          <w:szCs w:val="24"/>
        </w:rPr>
        <w:t xml:space="preserve"> (nominálně o 1,9 %, reálně o 1,2 %) a </w:t>
      </w:r>
      <w:r w:rsidR="00186D70" w:rsidRPr="007F67A9">
        <w:rPr>
          <w:rFonts w:cs="Arial"/>
          <w:b/>
          <w:szCs w:val="24"/>
        </w:rPr>
        <w:t>„činnosti v oblasti nemovitostí“</w:t>
      </w:r>
      <w:r w:rsidR="00186D70" w:rsidRPr="007F67A9">
        <w:rPr>
          <w:rFonts w:cs="Arial"/>
          <w:szCs w:val="24"/>
        </w:rPr>
        <w:t xml:space="preserve"> (nominálně o 2,2 %, reálně o 1,5 %).</w:t>
      </w:r>
    </w:p>
    <w:p w:rsidR="00186D70" w:rsidRPr="008B6F4D" w:rsidRDefault="00186D70" w:rsidP="00186D70">
      <w:pPr>
        <w:spacing w:line="360" w:lineRule="auto"/>
        <w:jc w:val="both"/>
        <w:rPr>
          <w:rFonts w:cs="Arial"/>
          <w:szCs w:val="24"/>
        </w:rPr>
      </w:pPr>
    </w:p>
    <w:p w:rsidR="00186D70" w:rsidRPr="00447D0F" w:rsidRDefault="007C0B49" w:rsidP="007C0B49">
      <w:pPr>
        <w:spacing w:line="360" w:lineRule="auto"/>
        <w:jc w:val="both"/>
        <w:rPr>
          <w:rFonts w:cs="Arial"/>
          <w:bCs/>
        </w:rPr>
      </w:pPr>
      <w:r>
        <w:tab/>
      </w:r>
      <w:r w:rsidR="00186D70" w:rsidRPr="008B6F4D">
        <w:rPr>
          <w:rFonts w:cs="Arial"/>
          <w:b/>
        </w:rPr>
        <w:t xml:space="preserve">Meziodvětvová mzdová diferenciace </w:t>
      </w:r>
      <w:r w:rsidR="00186D70" w:rsidRPr="008B6F4D">
        <w:rPr>
          <w:rFonts w:cs="Arial"/>
          <w:bCs/>
        </w:rPr>
        <w:t xml:space="preserve">v roce 2016 </w:t>
      </w:r>
      <w:r w:rsidR="00186D70" w:rsidRPr="008B6F4D">
        <w:rPr>
          <w:rFonts w:cs="Arial"/>
          <w:b/>
        </w:rPr>
        <w:t>poklesla;</w:t>
      </w:r>
      <w:r w:rsidR="00186D70" w:rsidRPr="008B6F4D">
        <w:rPr>
          <w:rFonts w:cs="Arial"/>
          <w:bCs/>
        </w:rPr>
        <w:t xml:space="preserve"> variační koeficient průměrnýc</w:t>
      </w:r>
      <w:r w:rsidR="00186D70" w:rsidRPr="00447D0F">
        <w:rPr>
          <w:rFonts w:cs="Arial"/>
          <w:bCs/>
        </w:rPr>
        <w:t xml:space="preserve">h mezd (podle sekcí CZ-NACE) se snížil o 0,7 p. b. </w:t>
      </w:r>
      <w:proofErr w:type="gramStart"/>
      <w:r w:rsidR="00186D70" w:rsidRPr="00447D0F">
        <w:rPr>
          <w:rFonts w:cs="Arial"/>
          <w:bCs/>
        </w:rPr>
        <w:t>na</w:t>
      </w:r>
      <w:proofErr w:type="gramEnd"/>
      <w:r w:rsidR="00186D70" w:rsidRPr="00447D0F">
        <w:rPr>
          <w:rFonts w:cs="Arial"/>
          <w:bCs/>
        </w:rPr>
        <w:t> 32,0 %.</w:t>
      </w:r>
    </w:p>
    <w:p w:rsidR="00186D70" w:rsidRPr="00447D0F" w:rsidRDefault="00186D70" w:rsidP="00186D70">
      <w:pPr>
        <w:spacing w:line="360" w:lineRule="auto"/>
        <w:jc w:val="both"/>
        <w:rPr>
          <w:rFonts w:cs="Arial"/>
          <w:bCs/>
        </w:rPr>
      </w:pPr>
    </w:p>
    <w:p w:rsidR="00186D70" w:rsidRPr="00447D0F" w:rsidRDefault="007C0B49" w:rsidP="007C0B49">
      <w:pPr>
        <w:spacing w:line="360" w:lineRule="auto"/>
        <w:jc w:val="both"/>
        <w:rPr>
          <w:rFonts w:cs="Arial"/>
          <w:bCs/>
        </w:rPr>
      </w:pPr>
      <w:r>
        <w:tab/>
      </w:r>
      <w:r w:rsidR="00186D70" w:rsidRPr="00447D0F">
        <w:rPr>
          <w:rFonts w:cs="Arial"/>
          <w:b/>
        </w:rPr>
        <w:t>Výše průměrné mzdy se</w:t>
      </w:r>
      <w:r w:rsidR="00186D70" w:rsidRPr="00447D0F">
        <w:rPr>
          <w:rFonts w:cs="Arial"/>
          <w:bCs/>
        </w:rPr>
        <w:t xml:space="preserve"> výrazně</w:t>
      </w:r>
      <w:r w:rsidR="00186D70" w:rsidRPr="00447D0F">
        <w:rPr>
          <w:rFonts w:cs="Arial"/>
          <w:b/>
        </w:rPr>
        <w:t xml:space="preserve"> lišila i podle velikosti organizace </w:t>
      </w:r>
      <w:r w:rsidR="00186D70" w:rsidRPr="00447D0F">
        <w:rPr>
          <w:rFonts w:cs="Arial"/>
          <w:bCs/>
        </w:rPr>
        <w:t xml:space="preserve">(zpravodajské jednotky), tj. </w:t>
      </w:r>
      <w:r w:rsidR="00186D70" w:rsidRPr="00447D0F">
        <w:rPr>
          <w:rFonts w:cs="Arial"/>
          <w:b/>
        </w:rPr>
        <w:t xml:space="preserve">čím více je ve firmě </w:t>
      </w:r>
      <w:r w:rsidR="00186D70" w:rsidRPr="00447D0F">
        <w:rPr>
          <w:rFonts w:cs="Arial"/>
          <w:bCs/>
        </w:rPr>
        <w:t xml:space="preserve">nebo podniku </w:t>
      </w:r>
      <w:r w:rsidR="00186D70" w:rsidRPr="00447D0F">
        <w:rPr>
          <w:rFonts w:cs="Arial"/>
          <w:b/>
        </w:rPr>
        <w:t>zaměstnanců, tím vyšší je průměrná mzda.</w:t>
      </w:r>
      <w:r w:rsidR="00186D70" w:rsidRPr="00447D0F">
        <w:rPr>
          <w:rFonts w:cs="Arial"/>
          <w:bCs/>
        </w:rPr>
        <w:t xml:space="preserve"> V podnicích do 19 zaměstnanců (velikostní kategorii s druhým nejvyšším celkovým počtem zaměstnanců) byla průměrná mzda nejnižší a činila 20 052 Kč (cca 73 % průměrné mzdy v celém národním hospodářství). Naopak nejvyšší průměrná mzda 32 706 Kč (téměř 119 % průměrné mzdy v celém národním hospodářství) byla vyplacena zaměstnancům v organizacích s 1 000 a více zaměstnanci. V této velikostní </w:t>
      </w:r>
      <w:r w:rsidR="00186D70" w:rsidRPr="00C01D67">
        <w:rPr>
          <w:rFonts w:cs="Arial"/>
          <w:bCs/>
        </w:rPr>
        <w:t>kategorii pracuje největší počet zaměstnanců </w:t>
      </w:r>
      <w:r w:rsidR="00186D70" w:rsidRPr="00C01D67">
        <w:rPr>
          <w:rFonts w:cs="Arial"/>
          <w:bCs/>
        </w:rPr>
        <w:noBreakHyphen/>
        <w:t xml:space="preserve"> 952,2 tis. (dle údajů z podnikového výkaznictví ČSÚ; přepočteno na plně zaměstnané). K nejvyššímu nárůstu průměrné mzdy (nominálně o 5,6 %) ve sledovaném období došlo u subjektů s 500 až 999 zaměstnanci a dále u nejmenších zaměstnavatelů (nominálně o 5,2 %), a to i přes významný přírůstek počtu zaměstnanců (o 22,0 tis.), což potvrdilo i v tomto členění poznatek, že průměrné </w:t>
      </w:r>
      <w:r w:rsidR="00186D70" w:rsidRPr="00EC7D76">
        <w:rPr>
          <w:rFonts w:cs="Arial"/>
          <w:bCs/>
        </w:rPr>
        <w:t xml:space="preserve">mzdy se výrazně zvyšovaly u subjektů s nízkou úrovní mezd. Nejnižší nárůst průměrné mzdy (nominálně o 3,3 %) vykázaly podniky se 100 až 249 zaměstnanci a zároveň zde byl zaznamenán nejnižší přírůstek zaměstnanců – o 8,3 tis. Nejméně příznivá situace co do počtu zaměstnanců byla u firem s 20 až 49 zaměstnanci, neboť v této velikostní kategorii došlo ke snížením počtu zaměstnanců o 19,2 tis. </w:t>
      </w:r>
      <w:r w:rsidR="00186D70" w:rsidRPr="00447D0F">
        <w:rPr>
          <w:rFonts w:cs="Arial"/>
          <w:b/>
          <w:bCs/>
        </w:rPr>
        <w:t xml:space="preserve">U všech velikostních kategorií </w:t>
      </w:r>
      <w:r w:rsidR="00186D70" w:rsidRPr="00447D0F">
        <w:rPr>
          <w:rFonts w:cs="Arial"/>
          <w:bCs/>
        </w:rPr>
        <w:t xml:space="preserve">ekonomických subjektů, resp. jejich </w:t>
      </w:r>
      <w:r w:rsidR="00186D70" w:rsidRPr="00447D0F">
        <w:rPr>
          <w:rFonts w:cs="Arial"/>
          <w:bCs/>
        </w:rPr>
        <w:lastRenderedPageBreak/>
        <w:t>zaměstnanců</w:t>
      </w:r>
      <w:r w:rsidR="00186D70" w:rsidRPr="00447D0F">
        <w:rPr>
          <w:rFonts w:cs="Arial"/>
          <w:b/>
          <w:bCs/>
        </w:rPr>
        <w:t xml:space="preserve"> došlo k růstu reálné</w:t>
      </w:r>
      <w:r w:rsidR="00186D70" w:rsidRPr="00447D0F">
        <w:rPr>
          <w:rFonts w:cs="Arial"/>
          <w:bCs/>
        </w:rPr>
        <w:t xml:space="preserve"> průměrné </w:t>
      </w:r>
      <w:r w:rsidR="00186D70" w:rsidRPr="00447D0F">
        <w:rPr>
          <w:rFonts w:cs="Arial"/>
          <w:b/>
          <w:bCs/>
        </w:rPr>
        <w:t>mzdy</w:t>
      </w:r>
      <w:r w:rsidR="00031FF7">
        <w:rPr>
          <w:rFonts w:cs="Arial"/>
          <w:b/>
          <w:bCs/>
        </w:rPr>
        <w:t xml:space="preserve"> </w:t>
      </w:r>
      <w:r w:rsidR="00186D70" w:rsidRPr="00447D0F">
        <w:rPr>
          <w:rFonts w:cs="Arial"/>
          <w:bCs/>
        </w:rPr>
        <w:t>– podrobněji viz tabulku č. </w:t>
      </w:r>
      <w:r w:rsidR="00186D70">
        <w:rPr>
          <w:rFonts w:cs="Arial"/>
          <w:bCs/>
        </w:rPr>
        <w:t>6 </w:t>
      </w:r>
      <w:r w:rsidR="00186D70" w:rsidRPr="00447D0F">
        <w:rPr>
          <w:rFonts w:cs="Arial"/>
          <w:bCs/>
        </w:rPr>
        <w:t>v</w:t>
      </w:r>
      <w:r w:rsidR="00186D70">
        <w:rPr>
          <w:rFonts w:cs="Arial"/>
          <w:bCs/>
        </w:rPr>
        <w:t> </w:t>
      </w:r>
      <w:r w:rsidR="00186D70" w:rsidRPr="00447D0F">
        <w:rPr>
          <w:rFonts w:cs="Arial"/>
          <w:bCs/>
        </w:rPr>
        <w:t>příloze.</w:t>
      </w:r>
    </w:p>
    <w:p w:rsidR="00186D70" w:rsidRPr="00673C73" w:rsidRDefault="00186D70" w:rsidP="00186D70">
      <w:pPr>
        <w:spacing w:line="360" w:lineRule="auto"/>
        <w:jc w:val="both"/>
        <w:rPr>
          <w:rFonts w:cs="Arial"/>
          <w:bCs/>
        </w:rPr>
      </w:pPr>
    </w:p>
    <w:p w:rsidR="00186D70" w:rsidRPr="003D3F53" w:rsidRDefault="007C0B49" w:rsidP="007C0B49">
      <w:pPr>
        <w:spacing w:line="360" w:lineRule="auto"/>
        <w:jc w:val="both"/>
        <w:rPr>
          <w:rFonts w:cs="Arial"/>
          <w:bCs/>
        </w:rPr>
      </w:pPr>
      <w:r>
        <w:tab/>
      </w:r>
      <w:r w:rsidR="00186D70" w:rsidRPr="00673C73">
        <w:rPr>
          <w:rFonts w:cs="Arial"/>
        </w:rPr>
        <w:t>Z následující</w:t>
      </w:r>
      <w:r w:rsidR="00186D70" w:rsidRPr="00673C73">
        <w:rPr>
          <w:rFonts w:cs="Arial"/>
          <w:b/>
        </w:rPr>
        <w:t xml:space="preserve"> </w:t>
      </w:r>
      <w:r w:rsidR="00186D70" w:rsidRPr="00673C73">
        <w:rPr>
          <w:rFonts w:cs="Arial"/>
        </w:rPr>
        <w:t xml:space="preserve">mapy (grafu) je patrné </w:t>
      </w:r>
      <w:r w:rsidR="00186D70" w:rsidRPr="00673C73">
        <w:rPr>
          <w:rFonts w:cs="Arial"/>
          <w:b/>
        </w:rPr>
        <w:t>výdělkové dominantní postavení hl. m.</w:t>
      </w:r>
      <w:r w:rsidR="00031FF7">
        <w:rPr>
          <w:rFonts w:cs="Arial"/>
          <w:b/>
        </w:rPr>
        <w:t> </w:t>
      </w:r>
      <w:r w:rsidR="00186D70" w:rsidRPr="00673C73">
        <w:rPr>
          <w:rFonts w:cs="Arial"/>
          <w:b/>
        </w:rPr>
        <w:t>Prahy</w:t>
      </w:r>
      <w:r w:rsidR="00186D70" w:rsidRPr="00673C73">
        <w:rPr>
          <w:rFonts w:cs="Arial"/>
        </w:rPr>
        <w:t xml:space="preserve"> (s odstupem následovaným Středočeským krajem). Tradičně je zde dosahováno</w:t>
      </w:r>
      <w:r w:rsidR="00186D70" w:rsidRPr="00673C73">
        <w:rPr>
          <w:rFonts w:cs="Arial"/>
          <w:b/>
        </w:rPr>
        <w:t xml:space="preserve"> nejvyšší průměrné mzdy</w:t>
      </w:r>
      <w:r w:rsidR="00031FF7">
        <w:rPr>
          <w:rFonts w:cs="Arial"/>
          <w:b/>
        </w:rPr>
        <w:t>.</w:t>
      </w:r>
      <w:r w:rsidR="00186D70" w:rsidRPr="00673C73">
        <w:rPr>
          <w:rFonts w:cs="Arial"/>
        </w:rPr>
        <w:t xml:space="preserve"> I přes její opětovný velmi nízký nárůst dosáhla její </w:t>
      </w:r>
      <w:r w:rsidR="00186D70" w:rsidRPr="00673C73">
        <w:rPr>
          <w:rFonts w:cs="Arial"/>
          <w:b/>
        </w:rPr>
        <w:t>výše 35 187 Kč.</w:t>
      </w:r>
      <w:r w:rsidR="00186D70" w:rsidRPr="00673C73">
        <w:rPr>
          <w:rFonts w:cs="Arial"/>
        </w:rPr>
        <w:t xml:space="preserve"> Hl. m. Praha </w:t>
      </w:r>
      <w:r w:rsidR="00186D70" w:rsidRPr="00673C73">
        <w:rPr>
          <w:rFonts w:cs="Arial"/>
          <w:bCs/>
        </w:rPr>
        <w:t>je regionem, který úrovní průměrné mzdy převyšuje celorepublikový průměr, a to o cca 28 % (o 7 </w:t>
      </w:r>
      <w:r w:rsidR="00186D70" w:rsidRPr="003D3F53">
        <w:rPr>
          <w:rFonts w:cs="Arial"/>
          <w:bCs/>
        </w:rPr>
        <w:t xml:space="preserve">598 Kč). </w:t>
      </w:r>
      <w:r w:rsidR="00186D70" w:rsidRPr="003D3F53">
        <w:rPr>
          <w:rFonts w:cs="Arial"/>
          <w:b/>
          <w:bCs/>
        </w:rPr>
        <w:t xml:space="preserve">Ve všech krajích </w:t>
      </w:r>
      <w:r w:rsidR="00186D70" w:rsidRPr="003D3F53">
        <w:rPr>
          <w:rFonts w:cs="Arial"/>
          <w:bCs/>
        </w:rPr>
        <w:t xml:space="preserve">(členění podle klasifikace územních statistických jednotek CZ-NUTS) </w:t>
      </w:r>
      <w:r w:rsidR="00186D70" w:rsidRPr="003D3F53">
        <w:rPr>
          <w:rFonts w:cs="Arial"/>
          <w:b/>
          <w:bCs/>
        </w:rPr>
        <w:t>došlo ke zvýšení průměrné nominální mzdy</w:t>
      </w:r>
      <w:r w:rsidR="00031FF7">
        <w:rPr>
          <w:rFonts w:cs="Arial"/>
          <w:b/>
          <w:bCs/>
        </w:rPr>
        <w:t>,</w:t>
      </w:r>
      <w:r w:rsidR="00186D70" w:rsidRPr="003D3F53">
        <w:rPr>
          <w:rFonts w:cs="Arial"/>
          <w:bCs/>
        </w:rPr>
        <w:t xml:space="preserve"> a to v intervalu od 3,2 % do 4,9 %. Hranici 27 000 Kč překročil kraj Středočeský, mzdu převyšující 26 000 Kč zaznamenaly dále dva kraje </w:t>
      </w:r>
      <w:r w:rsidR="00031FF7">
        <w:rPr>
          <w:rFonts w:cs="Arial"/>
          <w:bCs/>
        </w:rPr>
        <w:t xml:space="preserve">– </w:t>
      </w:r>
      <w:r w:rsidR="00186D70" w:rsidRPr="003D3F53">
        <w:rPr>
          <w:rFonts w:cs="Arial"/>
          <w:bCs/>
        </w:rPr>
        <w:t xml:space="preserve">Plzeňský a Jihomoravský. </w:t>
      </w:r>
      <w:r w:rsidR="00186D70" w:rsidRPr="003D3F53">
        <w:rPr>
          <w:rFonts w:cs="Arial"/>
          <w:b/>
          <w:bCs/>
        </w:rPr>
        <w:t>Nejčetnější zastoupení měl interval 25 000 </w:t>
      </w:r>
      <w:r w:rsidR="00186D70" w:rsidRPr="003D3F53">
        <w:rPr>
          <w:rFonts w:cs="Arial"/>
          <w:b/>
          <w:bCs/>
        </w:rPr>
        <w:noBreakHyphen/>
        <w:t> 26 000 Kč</w:t>
      </w:r>
      <w:r w:rsidR="00186D70" w:rsidRPr="003D3F53">
        <w:rPr>
          <w:rFonts w:cs="Arial"/>
          <w:bCs/>
        </w:rPr>
        <w:t xml:space="preserve"> (5 krajů) – Kraj Vysočina, Ústecký, Liberecký, Královéhradecký a Moravskoslezský kraj. </w:t>
      </w:r>
      <w:r w:rsidR="00186D70">
        <w:rPr>
          <w:rFonts w:cs="Arial"/>
          <w:bCs/>
        </w:rPr>
        <w:t xml:space="preserve">Průměrný výdělek v intervalu </w:t>
      </w:r>
      <w:r w:rsidR="00186D70" w:rsidRPr="00E154A3">
        <w:rPr>
          <w:rFonts w:cs="Arial"/>
          <w:bCs/>
        </w:rPr>
        <w:t>2</w:t>
      </w:r>
      <w:r w:rsidR="00186D70">
        <w:rPr>
          <w:rFonts w:cs="Arial"/>
          <w:bCs/>
        </w:rPr>
        <w:t>4</w:t>
      </w:r>
      <w:r w:rsidR="00186D70" w:rsidRPr="00E154A3">
        <w:rPr>
          <w:rFonts w:cs="Arial"/>
          <w:bCs/>
        </w:rPr>
        <w:t> 000 </w:t>
      </w:r>
      <w:r w:rsidR="00186D70" w:rsidRPr="00E154A3">
        <w:rPr>
          <w:rFonts w:cs="Arial"/>
          <w:bCs/>
        </w:rPr>
        <w:noBreakHyphen/>
        <w:t> 2</w:t>
      </w:r>
      <w:r w:rsidR="00186D70">
        <w:rPr>
          <w:rFonts w:cs="Arial"/>
          <w:bCs/>
        </w:rPr>
        <w:t>5</w:t>
      </w:r>
      <w:r w:rsidR="00186D70" w:rsidRPr="00E154A3">
        <w:rPr>
          <w:rFonts w:cs="Arial"/>
          <w:bCs/>
        </w:rPr>
        <w:t> 000 Kč</w:t>
      </w:r>
      <w:r w:rsidR="00186D70">
        <w:rPr>
          <w:rFonts w:cs="Arial"/>
          <w:bCs/>
        </w:rPr>
        <w:t xml:space="preserve"> měli zaměstnanci pracující v Jihočeském, Pardubickém, Olomouckém a Zlínském kraji.</w:t>
      </w:r>
      <w:r w:rsidR="00186D70" w:rsidRPr="00E154A3">
        <w:rPr>
          <w:rFonts w:cs="Arial"/>
          <w:bCs/>
        </w:rPr>
        <w:t xml:space="preserve"> </w:t>
      </w:r>
      <w:r w:rsidR="00186D70" w:rsidRPr="003D3F53">
        <w:rPr>
          <w:rFonts w:cs="Arial"/>
          <w:b/>
          <w:bCs/>
        </w:rPr>
        <w:t xml:space="preserve">Nejnižší </w:t>
      </w:r>
      <w:r w:rsidR="00186D70" w:rsidRPr="003D3F53">
        <w:rPr>
          <w:rFonts w:cs="Arial"/>
          <w:b/>
        </w:rPr>
        <w:t xml:space="preserve">průměrná mzda – 23 612 Kč – byla zaznamenána v Karlovarském kraji </w:t>
      </w:r>
      <w:r w:rsidR="00186D70" w:rsidRPr="003D3F53">
        <w:rPr>
          <w:rFonts w:cs="Arial"/>
        </w:rPr>
        <w:t>(cca 86 % celorepublikového průměru)</w:t>
      </w:r>
      <w:r w:rsidR="00186D70" w:rsidRPr="003D3F53">
        <w:rPr>
          <w:rFonts w:cs="Arial"/>
          <w:bCs/>
        </w:rPr>
        <w:t>.</w:t>
      </w:r>
    </w:p>
    <w:p w:rsidR="00186D70" w:rsidRDefault="00186D70" w:rsidP="00186D70">
      <w:pPr>
        <w:spacing w:line="360" w:lineRule="auto"/>
        <w:jc w:val="both"/>
        <w:rPr>
          <w:rFonts w:cs="Arial"/>
          <w:bCs/>
        </w:rPr>
      </w:pPr>
    </w:p>
    <w:p w:rsidR="00186D70" w:rsidRDefault="00186D70" w:rsidP="00186D70">
      <w:pPr>
        <w:spacing w:line="360" w:lineRule="auto"/>
        <w:jc w:val="center"/>
        <w:rPr>
          <w:rFonts w:cs="Arial"/>
          <w:bCs/>
        </w:rPr>
      </w:pPr>
      <w:r>
        <w:rPr>
          <w:noProof/>
        </w:rPr>
        <w:drawing>
          <wp:inline distT="0" distB="0" distL="0" distR="0" wp14:anchorId="088FF26E" wp14:editId="15540BA7">
            <wp:extent cx="5695950" cy="3829050"/>
            <wp:effectExtent l="19050" t="19050" r="19050" b="19050"/>
            <wp:docPr id="15" name="Obrázek 15" descr="E:\PRÁCE_flash\2016\1_ANALÝZY\Rok 2016\Mzdy2016\mapa mzdy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RÁCE_flash\2016\1_ANALÝZY\Rok 2016\Mzdy2016\mapa mzdy 2016.png"/>
                    <pic:cNvPicPr>
                      <a:picLocks noChangeAspect="1" noChangeArrowheads="1"/>
                    </pic:cNvPicPr>
                  </pic:nvPicPr>
                  <pic:blipFill rotWithShape="1">
                    <a:blip r:embed="rId15">
                      <a:extLst>
                        <a:ext uri="{28A0092B-C50C-407E-A947-70E740481C1C}">
                          <a14:useLocalDpi xmlns:a14="http://schemas.microsoft.com/office/drawing/2010/main" val="0"/>
                        </a:ext>
                      </a:extLst>
                    </a:blip>
                    <a:srcRect l="3294" t="3808" r="3294" b="3975"/>
                    <a:stretch/>
                  </pic:blipFill>
                  <pic:spPr bwMode="auto">
                    <a:xfrm>
                      <a:off x="0" y="0"/>
                      <a:ext cx="5707527" cy="3836833"/>
                    </a:xfrm>
                    <a:prstGeom prst="rect">
                      <a:avLst/>
                    </a:prstGeom>
                    <a:noFill/>
                    <a:ln w="19050">
                      <a:solidFill>
                        <a:sysClr val="windowText" lastClr="000000"/>
                      </a:solidFill>
                    </a:ln>
                    <a:extLst>
                      <a:ext uri="{53640926-AAD7-44D8-BBD7-CCE9431645EC}">
                        <a14:shadowObscured xmlns:a14="http://schemas.microsoft.com/office/drawing/2010/main"/>
                      </a:ext>
                    </a:extLst>
                  </pic:spPr>
                </pic:pic>
              </a:graphicData>
            </a:graphic>
          </wp:inline>
        </w:drawing>
      </w:r>
    </w:p>
    <w:p w:rsidR="00186D70" w:rsidRPr="003E1F9B" w:rsidRDefault="00186D70" w:rsidP="00186D70">
      <w:pPr>
        <w:spacing w:line="360" w:lineRule="auto"/>
        <w:rPr>
          <w:rFonts w:cs="Arial"/>
          <w:bCs/>
          <w:sz w:val="20"/>
        </w:rPr>
      </w:pPr>
      <w:r w:rsidRPr="00DE69D5">
        <w:rPr>
          <w:rFonts w:cs="Arial"/>
          <w:bCs/>
          <w:sz w:val="20"/>
        </w:rPr>
        <w:t>Zpracov</w:t>
      </w:r>
      <w:r w:rsidRPr="003E1F9B">
        <w:rPr>
          <w:rFonts w:cs="Arial"/>
          <w:bCs/>
          <w:sz w:val="20"/>
        </w:rPr>
        <w:t xml:space="preserve">áno z dat </w:t>
      </w:r>
      <w:r>
        <w:rPr>
          <w:rFonts w:cs="Arial"/>
          <w:bCs/>
          <w:sz w:val="20"/>
        </w:rPr>
        <w:t>Č</w:t>
      </w:r>
      <w:r w:rsidRPr="003E1F9B">
        <w:rPr>
          <w:rFonts w:cs="Arial"/>
          <w:bCs/>
          <w:sz w:val="20"/>
        </w:rPr>
        <w:t>S</w:t>
      </w:r>
      <w:r>
        <w:rPr>
          <w:rFonts w:cs="Arial"/>
          <w:bCs/>
          <w:sz w:val="20"/>
        </w:rPr>
        <w:t>Ú</w:t>
      </w:r>
    </w:p>
    <w:p w:rsidR="00186D70" w:rsidRPr="00A66524" w:rsidRDefault="007C0B49" w:rsidP="007C0B49">
      <w:pPr>
        <w:spacing w:line="360" w:lineRule="auto"/>
        <w:jc w:val="both"/>
        <w:rPr>
          <w:rFonts w:cs="Arial"/>
          <w:bCs/>
        </w:rPr>
      </w:pPr>
      <w:r>
        <w:lastRenderedPageBreak/>
        <w:tab/>
      </w:r>
      <w:r w:rsidR="00186D70" w:rsidRPr="003E1F9B">
        <w:rPr>
          <w:rFonts w:cs="Arial"/>
          <w:b/>
          <w:bCs/>
        </w:rPr>
        <w:t>D</w:t>
      </w:r>
      <w:r w:rsidR="00186D70" w:rsidRPr="003E1F9B">
        <w:rPr>
          <w:rFonts w:cs="Arial"/>
          <w:b/>
        </w:rPr>
        <w:t xml:space="preserve">iferenciace </w:t>
      </w:r>
      <w:r w:rsidR="00186D70" w:rsidRPr="003E1F9B">
        <w:rPr>
          <w:rFonts w:cs="Arial"/>
          <w:bCs/>
        </w:rPr>
        <w:t xml:space="preserve">extrémních mzdových hladin </w:t>
      </w:r>
      <w:r w:rsidR="00186D70" w:rsidRPr="003E1F9B">
        <w:rPr>
          <w:rFonts w:cs="Arial"/>
          <w:b/>
        </w:rPr>
        <w:t>na úrovni krajů</w:t>
      </w:r>
      <w:r w:rsidR="00186D70" w:rsidRPr="003E1F9B">
        <w:rPr>
          <w:rFonts w:cs="Arial"/>
          <w:b/>
          <w:bCs/>
        </w:rPr>
        <w:t xml:space="preserve"> se zvýšila</w:t>
      </w:r>
      <w:r w:rsidR="00186D70" w:rsidRPr="003E1F9B">
        <w:rPr>
          <w:rFonts w:cs="Arial"/>
          <w:bCs/>
        </w:rPr>
        <w:t xml:space="preserve"> o 137 Kč </w:t>
      </w:r>
      <w:r w:rsidR="00186D70" w:rsidRPr="003E1F9B">
        <w:rPr>
          <w:rFonts w:cs="Arial"/>
          <w:b/>
        </w:rPr>
        <w:t xml:space="preserve">na 11 575 Kč </w:t>
      </w:r>
      <w:r w:rsidR="00186D70" w:rsidRPr="003E1F9B">
        <w:rPr>
          <w:rFonts w:cs="Arial"/>
          <w:bCs/>
        </w:rPr>
        <w:t>(hl. m. Praha x Karlovarský kraj). Hodnota variačního koeficientu v tomto členění však</w:t>
      </w:r>
      <w:r w:rsidR="00186D70" w:rsidRPr="00A66524">
        <w:rPr>
          <w:rFonts w:cs="Arial"/>
          <w:bCs/>
        </w:rPr>
        <w:t xml:space="preserve"> klesla z 10,8 % (v roce 2015) na 10,5 % v roce 2016. </w:t>
      </w:r>
      <w:r w:rsidR="00186D70" w:rsidRPr="00A66524">
        <w:rPr>
          <w:rFonts w:cs="Arial"/>
          <w:b/>
        </w:rPr>
        <w:t>N</w:t>
      </w:r>
      <w:r w:rsidR="00186D70" w:rsidRPr="00A66524">
        <w:rPr>
          <w:rFonts w:cs="Arial"/>
          <w:b/>
          <w:bCs/>
        </w:rPr>
        <w:t xml:space="preserve">ejvýznamnější </w:t>
      </w:r>
      <w:r w:rsidR="00186D70" w:rsidRPr="00A66524">
        <w:rPr>
          <w:rFonts w:cs="Arial"/>
        </w:rPr>
        <w:t>relativní</w:t>
      </w:r>
      <w:r w:rsidR="00186D70" w:rsidRPr="00A66524">
        <w:rPr>
          <w:rFonts w:cs="Arial"/>
          <w:b/>
          <w:bCs/>
        </w:rPr>
        <w:t xml:space="preserve"> vzestup </w:t>
      </w:r>
      <w:r w:rsidR="00186D70" w:rsidRPr="00A66524">
        <w:rPr>
          <w:rFonts w:cs="Arial"/>
          <w:bCs/>
        </w:rPr>
        <w:t xml:space="preserve">průměrné nominální mzdy vykázaly </w:t>
      </w:r>
      <w:r w:rsidR="00186D70" w:rsidRPr="00A66524">
        <w:rPr>
          <w:rFonts w:cs="Arial"/>
          <w:b/>
          <w:bCs/>
        </w:rPr>
        <w:t xml:space="preserve">Kraj Vysočina </w:t>
      </w:r>
      <w:r w:rsidR="00186D70" w:rsidRPr="00A66524">
        <w:rPr>
          <w:rFonts w:cs="Arial"/>
          <w:bCs/>
        </w:rPr>
        <w:t xml:space="preserve">(o 4,9 %), </w:t>
      </w:r>
      <w:r w:rsidR="00186D70" w:rsidRPr="00A66524">
        <w:rPr>
          <w:rFonts w:cs="Arial"/>
          <w:b/>
          <w:bCs/>
        </w:rPr>
        <w:t>Ústecký a Královéhradecký kraj</w:t>
      </w:r>
      <w:r w:rsidR="00186D70" w:rsidRPr="00A66524">
        <w:rPr>
          <w:rFonts w:cs="Arial"/>
          <w:bCs/>
        </w:rPr>
        <w:t xml:space="preserve"> (oba shodně o 4,8 %), naopak nejnižší nárůst byl</w:t>
      </w:r>
      <w:r w:rsidR="00186D70" w:rsidRPr="00A66524">
        <w:rPr>
          <w:rFonts w:cs="Arial"/>
          <w:bCs/>
          <w:szCs w:val="24"/>
        </w:rPr>
        <w:t xml:space="preserve"> </w:t>
      </w:r>
      <w:r w:rsidR="00186D70" w:rsidRPr="00A66524">
        <w:rPr>
          <w:rFonts w:cs="Arial"/>
          <w:bCs/>
        </w:rPr>
        <w:t xml:space="preserve">v </w:t>
      </w:r>
      <w:r w:rsidR="00186D70" w:rsidRPr="00A66524">
        <w:rPr>
          <w:rFonts w:cs="Arial"/>
          <w:b/>
          <w:bCs/>
        </w:rPr>
        <w:t>Moravskoslezském kraji</w:t>
      </w:r>
      <w:r w:rsidR="00186D70" w:rsidRPr="00A66524">
        <w:rPr>
          <w:rFonts w:cs="Arial"/>
          <w:bCs/>
        </w:rPr>
        <w:t xml:space="preserve"> (o 3,2 %) a </w:t>
      </w:r>
      <w:r w:rsidR="00186D70" w:rsidRPr="00A66524">
        <w:rPr>
          <w:rFonts w:cs="Arial"/>
          <w:b/>
          <w:bCs/>
        </w:rPr>
        <w:t>v hl. m. Praze</w:t>
      </w:r>
      <w:r w:rsidR="00186D70" w:rsidRPr="00A66524">
        <w:rPr>
          <w:rFonts w:cs="Arial"/>
          <w:bCs/>
        </w:rPr>
        <w:t xml:space="preserve"> (o 3,5 %). </w:t>
      </w:r>
      <w:r w:rsidR="00186D70" w:rsidRPr="00A66524">
        <w:rPr>
          <w:rFonts w:cs="Arial"/>
          <w:b/>
          <w:bCs/>
        </w:rPr>
        <w:t>Ve všech regionech došlo k nárůstu reálné průměrné mzdy</w:t>
      </w:r>
      <w:r w:rsidR="00186D70" w:rsidRPr="00A66524">
        <w:rPr>
          <w:rFonts w:cs="Arial"/>
          <w:bCs/>
        </w:rPr>
        <w:t xml:space="preserve"> (v rozsahu 2,5 % až 4,2 %)</w:t>
      </w:r>
      <w:r w:rsidR="00186D70" w:rsidRPr="00A66524">
        <w:rPr>
          <w:rFonts w:cs="Arial"/>
        </w:rPr>
        <w:t xml:space="preserve"> – </w:t>
      </w:r>
      <w:r w:rsidR="00186D70" w:rsidRPr="00A66524">
        <w:rPr>
          <w:rFonts w:cs="Arial"/>
          <w:bCs/>
        </w:rPr>
        <w:t>viz tabulku č. 7 v příloze.</w:t>
      </w:r>
    </w:p>
    <w:p w:rsidR="00186D70" w:rsidRPr="00D92971" w:rsidRDefault="00186D70" w:rsidP="00186D70">
      <w:pPr>
        <w:spacing w:line="360" w:lineRule="auto"/>
        <w:jc w:val="both"/>
        <w:rPr>
          <w:rFonts w:cs="Arial"/>
          <w:bCs/>
        </w:rPr>
      </w:pPr>
    </w:p>
    <w:p w:rsidR="00186D70" w:rsidRPr="00D92971" w:rsidRDefault="00186D70" w:rsidP="00186D70">
      <w:pPr>
        <w:spacing w:line="360" w:lineRule="auto"/>
        <w:jc w:val="both"/>
        <w:rPr>
          <w:rFonts w:cs="Arial"/>
          <w:bCs/>
        </w:rPr>
      </w:pPr>
    </w:p>
    <w:p w:rsidR="00186D70" w:rsidRPr="00D92971" w:rsidRDefault="00186D70" w:rsidP="00186D70">
      <w:pPr>
        <w:numPr>
          <w:ilvl w:val="2"/>
          <w:numId w:val="2"/>
        </w:numPr>
        <w:tabs>
          <w:tab w:val="num" w:pos="862"/>
        </w:tabs>
        <w:spacing w:after="240" w:line="360" w:lineRule="auto"/>
        <w:ind w:left="862"/>
        <w:contextualSpacing/>
        <w:jc w:val="both"/>
        <w:rPr>
          <w:b/>
          <w:bCs/>
          <w:sz w:val="28"/>
          <w:szCs w:val="28"/>
        </w:rPr>
      </w:pPr>
      <w:r w:rsidRPr="00D92971">
        <w:rPr>
          <w:b/>
          <w:bCs/>
          <w:sz w:val="28"/>
          <w:szCs w:val="28"/>
        </w:rPr>
        <w:t>Poznatky z Informačního systému o průměrném výdělku</w:t>
      </w:r>
    </w:p>
    <w:p w:rsidR="00186D70" w:rsidRPr="00D92971" w:rsidRDefault="00186D70" w:rsidP="00186D70">
      <w:pPr>
        <w:spacing w:line="360" w:lineRule="auto"/>
        <w:jc w:val="both"/>
      </w:pPr>
    </w:p>
    <w:p w:rsidR="00186D70" w:rsidRPr="00D92971" w:rsidRDefault="007C0B49" w:rsidP="007C0B49">
      <w:pPr>
        <w:spacing w:line="360" w:lineRule="auto"/>
        <w:jc w:val="both"/>
        <w:rPr>
          <w:rFonts w:cs="Arial"/>
          <w:bCs/>
        </w:rPr>
      </w:pPr>
      <w:r>
        <w:tab/>
      </w:r>
      <w:r w:rsidR="00186D70" w:rsidRPr="00D92971">
        <w:rPr>
          <w:rFonts w:cs="Arial"/>
          <w:bCs/>
        </w:rPr>
        <w:t xml:space="preserve">Důležitým zdrojem informací o pracovních příjmech, resp. výdělcích jednotlivých zaměstnanců v České republice, které doplňují údaje ČSÚ, jsou data získaná </w:t>
      </w:r>
      <w:r w:rsidR="00186D70" w:rsidRPr="00D92971">
        <w:rPr>
          <w:rFonts w:cs="Arial"/>
          <w:b/>
          <w:bCs/>
        </w:rPr>
        <w:t>z pravidelného statistického šetření</w:t>
      </w:r>
      <w:r w:rsidR="00186D70" w:rsidRPr="00D92971">
        <w:rPr>
          <w:rFonts w:cs="Arial"/>
          <w:bCs/>
        </w:rPr>
        <w:t xml:space="preserve"> </w:t>
      </w:r>
      <w:r w:rsidR="00186D70" w:rsidRPr="00D92971">
        <w:rPr>
          <w:rFonts w:cs="Arial"/>
          <w:b/>
          <w:bCs/>
        </w:rPr>
        <w:t>o průměrném výdělku</w:t>
      </w:r>
      <w:r w:rsidR="00186D70" w:rsidRPr="00D92971">
        <w:rPr>
          <w:rFonts w:cs="Arial"/>
          <w:bCs/>
        </w:rPr>
        <w:t xml:space="preserve"> (ISPV). Na rozdíl od podnikového výkaznictví ČSÚ, které vychází z údajů o</w:t>
      </w:r>
      <w:r w:rsidR="00186D70">
        <w:rPr>
          <w:rFonts w:cs="Arial"/>
          <w:bCs/>
        </w:rPr>
        <w:t xml:space="preserve"> </w:t>
      </w:r>
      <w:r w:rsidR="00186D70" w:rsidRPr="00D92971">
        <w:rPr>
          <w:rFonts w:cs="Arial"/>
          <w:bCs/>
        </w:rPr>
        <w:t>evidenčním počtu zaměstnanců a vyplacených mzdách za ekonomický subjekt, jehož účelem je makroekonomický pohled na mzdy, ISPV poskytuje data o mzdové úrovni jednotlivých skupin zaměstnanců i podle profesní struktury (včetně rozdělení na ženy a muže). Ve výsledcích o průměrných mzdách ČSÚ a ISPV jsou rozdíly, které vyplývají zejména z odlišné definice podnikatelské a</w:t>
      </w:r>
      <w:r w:rsidR="00186D70">
        <w:rPr>
          <w:rFonts w:cs="Arial"/>
          <w:bCs/>
        </w:rPr>
        <w:t xml:space="preserve"> </w:t>
      </w:r>
      <w:r w:rsidR="00186D70" w:rsidRPr="00D92971">
        <w:rPr>
          <w:rFonts w:cs="Arial"/>
          <w:bCs/>
        </w:rPr>
        <w:t>nepodnikatelské sféry ČSÚ a mzdové a platové sféry ISPV, rozdílného způsobu přepočtu zaměstnanců, apod.</w:t>
      </w:r>
    </w:p>
    <w:p w:rsidR="00186D70" w:rsidRPr="00D92971" w:rsidRDefault="00186D70" w:rsidP="00186D70">
      <w:pPr>
        <w:spacing w:line="360" w:lineRule="auto"/>
        <w:jc w:val="both"/>
        <w:rPr>
          <w:rFonts w:cs="Arial"/>
          <w:bCs/>
        </w:rPr>
      </w:pPr>
    </w:p>
    <w:p w:rsidR="00186D70" w:rsidRDefault="007C0B49" w:rsidP="007C0B49">
      <w:pPr>
        <w:spacing w:line="360" w:lineRule="auto"/>
        <w:jc w:val="both"/>
        <w:rPr>
          <w:rFonts w:cs="Arial"/>
        </w:rPr>
      </w:pPr>
      <w:r>
        <w:tab/>
      </w:r>
      <w:r w:rsidR="00186D70" w:rsidRPr="00D92971">
        <w:rPr>
          <w:rFonts w:cs="Arial"/>
          <w:bCs/>
        </w:rPr>
        <w:t xml:space="preserve">Z výstupů šetření ISPV lze porovnat výdělkovou úroveň žen a mužů. </w:t>
      </w:r>
      <w:r w:rsidR="00186D70" w:rsidRPr="00D92971">
        <w:rPr>
          <w:rFonts w:cs="Arial"/>
          <w:b/>
          <w:bCs/>
        </w:rPr>
        <w:t>Průměrná mzda mužů</w:t>
      </w:r>
      <w:r w:rsidR="00186D70" w:rsidRPr="00D92971">
        <w:rPr>
          <w:rFonts w:cs="Arial"/>
          <w:bCs/>
        </w:rPr>
        <w:t xml:space="preserve"> dosáhla v roce 201</w:t>
      </w:r>
      <w:r w:rsidR="00186D70">
        <w:rPr>
          <w:rFonts w:cs="Arial"/>
          <w:bCs/>
        </w:rPr>
        <w:t>6</w:t>
      </w:r>
      <w:r w:rsidR="00186D70" w:rsidRPr="00D92971">
        <w:rPr>
          <w:rFonts w:cs="Arial"/>
          <w:bCs/>
        </w:rPr>
        <w:t xml:space="preserve"> výše </w:t>
      </w:r>
      <w:r w:rsidR="00186D70">
        <w:rPr>
          <w:rFonts w:cs="Arial"/>
          <w:b/>
          <w:bCs/>
        </w:rPr>
        <w:t>32 134</w:t>
      </w:r>
      <w:r w:rsidR="00186D70" w:rsidRPr="00D92971">
        <w:rPr>
          <w:rFonts w:cs="Arial"/>
          <w:b/>
          <w:bCs/>
        </w:rPr>
        <w:t> Kč a průměrná mzda žen 2</w:t>
      </w:r>
      <w:r w:rsidR="00186D70">
        <w:rPr>
          <w:rFonts w:cs="Arial"/>
          <w:b/>
          <w:bCs/>
        </w:rPr>
        <w:t>5</w:t>
      </w:r>
      <w:r w:rsidR="00186D70" w:rsidRPr="00D92971">
        <w:rPr>
          <w:rFonts w:cs="Arial"/>
          <w:b/>
          <w:bCs/>
        </w:rPr>
        <w:t> </w:t>
      </w:r>
      <w:r w:rsidR="00186D70">
        <w:rPr>
          <w:rFonts w:cs="Arial"/>
          <w:b/>
          <w:bCs/>
        </w:rPr>
        <w:t>283</w:t>
      </w:r>
      <w:r w:rsidR="00186D70" w:rsidRPr="00D92971">
        <w:rPr>
          <w:rFonts w:cs="Arial"/>
          <w:b/>
          <w:bCs/>
        </w:rPr>
        <w:t> Kč.</w:t>
      </w:r>
      <w:r w:rsidR="00186D70" w:rsidRPr="00D92971">
        <w:rPr>
          <w:rFonts w:cs="Arial"/>
          <w:bCs/>
        </w:rPr>
        <w:t xml:space="preserve"> Dynamika růstu </w:t>
      </w:r>
      <w:r w:rsidR="00186D70">
        <w:rPr>
          <w:rFonts w:cs="Arial"/>
          <w:bCs/>
        </w:rPr>
        <w:t>průměrné mzdy žen byla v hodnoceném období o 1,0 p. b. </w:t>
      </w:r>
      <w:proofErr w:type="gramStart"/>
      <w:r w:rsidR="00186D70">
        <w:rPr>
          <w:rFonts w:cs="Arial"/>
          <w:bCs/>
        </w:rPr>
        <w:t>vyšší</w:t>
      </w:r>
      <w:proofErr w:type="gramEnd"/>
      <w:r w:rsidR="00186D70">
        <w:rPr>
          <w:rFonts w:cs="Arial"/>
          <w:bCs/>
        </w:rPr>
        <w:t xml:space="preserve"> než u mužů a činila 5,0 %</w:t>
      </w:r>
      <w:r w:rsidR="00186D70" w:rsidRPr="00D92971">
        <w:rPr>
          <w:rFonts w:cs="Arial"/>
          <w:bCs/>
        </w:rPr>
        <w:t>. Rozdíl v průměrném výdělku mužů a žen činil 6 </w:t>
      </w:r>
      <w:r w:rsidR="00186D70">
        <w:rPr>
          <w:rFonts w:cs="Arial"/>
          <w:bCs/>
        </w:rPr>
        <w:t>851</w:t>
      </w:r>
      <w:r w:rsidR="00186D70" w:rsidRPr="00D92971">
        <w:rPr>
          <w:rFonts w:cs="Arial"/>
          <w:bCs/>
        </w:rPr>
        <w:t xml:space="preserve"> Kč, </w:t>
      </w:r>
      <w:r w:rsidR="00186D70" w:rsidRPr="00D92971">
        <w:rPr>
          <w:rFonts w:cs="Arial"/>
          <w:b/>
          <w:bCs/>
        </w:rPr>
        <w:t>r</w:t>
      </w:r>
      <w:r w:rsidR="00186D70" w:rsidRPr="00D92971">
        <w:rPr>
          <w:rFonts w:cs="Arial"/>
          <w:b/>
        </w:rPr>
        <w:t xml:space="preserve">elace průměrné mzdy žen k průměrné mzdě mužů </w:t>
      </w:r>
      <w:r w:rsidR="00186D70" w:rsidRPr="00D92971">
        <w:rPr>
          <w:rFonts w:cs="Arial"/>
        </w:rPr>
        <w:t xml:space="preserve">dosáhla </w:t>
      </w:r>
      <w:r w:rsidR="00186D70" w:rsidRPr="00D92971">
        <w:rPr>
          <w:rFonts w:cs="Arial"/>
          <w:b/>
        </w:rPr>
        <w:t>78,</w:t>
      </w:r>
      <w:r w:rsidR="00186D70">
        <w:rPr>
          <w:rFonts w:cs="Arial"/>
          <w:b/>
        </w:rPr>
        <w:t>7</w:t>
      </w:r>
      <w:r w:rsidR="00186D70" w:rsidRPr="00D92971">
        <w:rPr>
          <w:rFonts w:cs="Arial"/>
          <w:b/>
        </w:rPr>
        <w:t> %</w:t>
      </w:r>
      <w:r w:rsidR="00186D70" w:rsidRPr="00D92971">
        <w:rPr>
          <w:rFonts w:cs="Arial"/>
        </w:rPr>
        <w:t xml:space="preserve"> a </w:t>
      </w:r>
      <w:r w:rsidR="00186D70" w:rsidRPr="00E767A4">
        <w:rPr>
          <w:rFonts w:cs="Arial"/>
        </w:rPr>
        <w:t xml:space="preserve">byla o 0,6 p. b. </w:t>
      </w:r>
      <w:proofErr w:type="gramStart"/>
      <w:r w:rsidR="00186D70">
        <w:rPr>
          <w:rFonts w:cs="Arial"/>
        </w:rPr>
        <w:t>vyšší</w:t>
      </w:r>
      <w:proofErr w:type="gramEnd"/>
      <w:r w:rsidR="00186D70">
        <w:rPr>
          <w:rFonts w:cs="Arial"/>
        </w:rPr>
        <w:t xml:space="preserve"> než </w:t>
      </w:r>
      <w:r w:rsidR="00186D70" w:rsidRPr="00D92971">
        <w:rPr>
          <w:rFonts w:cs="Arial"/>
        </w:rPr>
        <w:t>v roce 201</w:t>
      </w:r>
      <w:r w:rsidR="00186D70">
        <w:rPr>
          <w:rFonts w:cs="Arial"/>
        </w:rPr>
        <w:t>5</w:t>
      </w:r>
      <w:r w:rsidR="00186D70" w:rsidRPr="00D92971">
        <w:rPr>
          <w:rFonts w:cs="Arial"/>
        </w:rPr>
        <w:t>.</w:t>
      </w:r>
      <w:r w:rsidR="00186D70" w:rsidRPr="00D92971">
        <w:rPr>
          <w:rFonts w:cs="Arial"/>
          <w:b/>
        </w:rPr>
        <w:t xml:space="preserve"> </w:t>
      </w:r>
      <w:r w:rsidR="00186D70" w:rsidRPr="00D92971">
        <w:rPr>
          <w:rFonts w:cs="Arial"/>
          <w:bCs/>
        </w:rPr>
        <w:t xml:space="preserve">Hodnota </w:t>
      </w:r>
      <w:r w:rsidR="00186D70" w:rsidRPr="00D92971">
        <w:rPr>
          <w:rFonts w:cs="Arial"/>
          <w:b/>
          <w:bCs/>
        </w:rPr>
        <w:t>mediánu mezd mužů</w:t>
      </w:r>
      <w:r w:rsidR="00186D70" w:rsidRPr="00D92971">
        <w:rPr>
          <w:rFonts w:cs="Arial"/>
          <w:bCs/>
        </w:rPr>
        <w:t xml:space="preserve"> činila ve sledovaném období </w:t>
      </w:r>
      <w:r w:rsidR="00186D70" w:rsidRPr="00D92971">
        <w:rPr>
          <w:rFonts w:cs="Arial"/>
          <w:b/>
          <w:bCs/>
        </w:rPr>
        <w:t>2</w:t>
      </w:r>
      <w:r w:rsidR="00186D70">
        <w:rPr>
          <w:rFonts w:cs="Arial"/>
          <w:b/>
          <w:bCs/>
        </w:rPr>
        <w:t>6</w:t>
      </w:r>
      <w:r w:rsidR="00186D70" w:rsidRPr="00D92971">
        <w:rPr>
          <w:rFonts w:cs="Arial"/>
          <w:b/>
          <w:bCs/>
        </w:rPr>
        <w:t> </w:t>
      </w:r>
      <w:r w:rsidR="00186D70">
        <w:rPr>
          <w:rFonts w:cs="Arial"/>
          <w:b/>
          <w:bCs/>
        </w:rPr>
        <w:t>974</w:t>
      </w:r>
      <w:r w:rsidR="00186D70" w:rsidRPr="00D92971">
        <w:rPr>
          <w:rFonts w:cs="Arial"/>
          <w:b/>
          <w:bCs/>
        </w:rPr>
        <w:t> Kč</w:t>
      </w:r>
      <w:r w:rsidR="00186D70" w:rsidRPr="00D92971">
        <w:rPr>
          <w:rFonts w:cs="Arial"/>
          <w:bCs/>
        </w:rPr>
        <w:t xml:space="preserve"> a </w:t>
      </w:r>
      <w:r w:rsidR="00186D70" w:rsidRPr="00D92971">
        <w:rPr>
          <w:rFonts w:cs="Arial"/>
          <w:b/>
          <w:bCs/>
        </w:rPr>
        <w:t>mediánu mezd žen 2</w:t>
      </w:r>
      <w:r w:rsidR="00186D70">
        <w:rPr>
          <w:rFonts w:cs="Arial"/>
          <w:b/>
          <w:bCs/>
        </w:rPr>
        <w:t>2</w:t>
      </w:r>
      <w:r w:rsidR="00186D70" w:rsidRPr="00D92971">
        <w:rPr>
          <w:rFonts w:cs="Arial"/>
          <w:b/>
          <w:bCs/>
        </w:rPr>
        <w:t> </w:t>
      </w:r>
      <w:r w:rsidR="00186D70">
        <w:rPr>
          <w:rFonts w:cs="Arial"/>
          <w:b/>
          <w:bCs/>
        </w:rPr>
        <w:t>573</w:t>
      </w:r>
      <w:r w:rsidR="00186D70" w:rsidRPr="00D92971">
        <w:rPr>
          <w:rFonts w:cs="Arial"/>
          <w:b/>
          <w:bCs/>
        </w:rPr>
        <w:t> Kč</w:t>
      </w:r>
      <w:r w:rsidR="00966F55">
        <w:rPr>
          <w:rFonts w:cs="Arial"/>
          <w:b/>
          <w:bCs/>
        </w:rPr>
        <w:t>.</w:t>
      </w:r>
      <w:r w:rsidR="00186D70" w:rsidRPr="00D92971">
        <w:rPr>
          <w:rFonts w:cs="Arial"/>
          <w:bCs/>
        </w:rPr>
        <w:t xml:space="preserve"> </w:t>
      </w:r>
      <w:r w:rsidR="00186D70" w:rsidRPr="00D92971">
        <w:rPr>
          <w:rFonts w:cs="Arial"/>
          <w:b/>
        </w:rPr>
        <w:t>Porovnání</w:t>
      </w:r>
      <w:r w:rsidR="00186D70" w:rsidRPr="00D92971">
        <w:rPr>
          <w:rFonts w:cs="Arial"/>
        </w:rPr>
        <w:t xml:space="preserve"> založené na posouzení vývoje </w:t>
      </w:r>
      <w:r w:rsidR="00186D70" w:rsidRPr="00D92971">
        <w:rPr>
          <w:rFonts w:cs="Arial"/>
          <w:b/>
        </w:rPr>
        <w:t>relace mediánové</w:t>
      </w:r>
      <w:r w:rsidR="00186D70" w:rsidRPr="00D92971">
        <w:rPr>
          <w:rFonts w:cs="Arial"/>
        </w:rPr>
        <w:t xml:space="preserve"> </w:t>
      </w:r>
      <w:r w:rsidR="00186D70" w:rsidRPr="00D92971">
        <w:rPr>
          <w:rFonts w:cs="Arial"/>
          <w:b/>
        </w:rPr>
        <w:t>hodnoty výdělků žen a mužů</w:t>
      </w:r>
      <w:r w:rsidR="00186D70" w:rsidRPr="00D92971">
        <w:rPr>
          <w:rFonts w:cs="Arial"/>
        </w:rPr>
        <w:t xml:space="preserve"> představovalo </w:t>
      </w:r>
      <w:r w:rsidR="00186D70" w:rsidRPr="00D92971">
        <w:rPr>
          <w:rFonts w:cs="Arial"/>
          <w:b/>
        </w:rPr>
        <w:t>83,</w:t>
      </w:r>
      <w:r w:rsidR="00186D70">
        <w:rPr>
          <w:rFonts w:cs="Arial"/>
          <w:b/>
        </w:rPr>
        <w:t>7</w:t>
      </w:r>
      <w:r w:rsidR="00186D70" w:rsidRPr="00D92971">
        <w:rPr>
          <w:rFonts w:cs="Arial"/>
          <w:b/>
        </w:rPr>
        <w:t> %</w:t>
      </w:r>
      <w:r w:rsidR="00186D70" w:rsidRPr="00D92971">
        <w:rPr>
          <w:rFonts w:cs="Arial"/>
        </w:rPr>
        <w:t xml:space="preserve"> (absolutní rozdíl 4 </w:t>
      </w:r>
      <w:r w:rsidR="00186D70">
        <w:rPr>
          <w:rFonts w:cs="Arial"/>
        </w:rPr>
        <w:t>401</w:t>
      </w:r>
      <w:r w:rsidR="00186D70" w:rsidRPr="00D92971">
        <w:rPr>
          <w:rFonts w:cs="Arial"/>
        </w:rPr>
        <w:t> Kč, což bylo o 2 </w:t>
      </w:r>
      <w:r w:rsidR="00186D70">
        <w:rPr>
          <w:rFonts w:cs="Arial"/>
        </w:rPr>
        <w:t>450</w:t>
      </w:r>
      <w:r w:rsidR="00186D70" w:rsidRPr="00D92971">
        <w:rPr>
          <w:rFonts w:cs="Arial"/>
        </w:rPr>
        <w:t> </w:t>
      </w:r>
      <w:r w:rsidR="00186D70">
        <w:rPr>
          <w:rFonts w:cs="Arial"/>
        </w:rPr>
        <w:t>Kč méně než v případě průměru).</w:t>
      </w:r>
    </w:p>
    <w:p w:rsidR="00186D70" w:rsidRPr="00D92971" w:rsidRDefault="007C0B49" w:rsidP="007C0B49">
      <w:pPr>
        <w:spacing w:line="360" w:lineRule="auto"/>
        <w:jc w:val="both"/>
        <w:rPr>
          <w:rFonts w:cs="Arial"/>
        </w:rPr>
      </w:pPr>
      <w:r>
        <w:lastRenderedPageBreak/>
        <w:tab/>
      </w:r>
      <w:r w:rsidR="00186D70">
        <w:rPr>
          <w:rFonts w:cs="Arial"/>
          <w:b/>
          <w:bCs/>
        </w:rPr>
        <w:t>Mírné zvýšení, resp. stagnaci</w:t>
      </w:r>
      <w:r w:rsidR="00186D70" w:rsidRPr="00D92971">
        <w:rPr>
          <w:rFonts w:cs="Arial"/>
          <w:b/>
          <w:bCs/>
        </w:rPr>
        <w:t xml:space="preserve"> mzdové diferenciace</w:t>
      </w:r>
      <w:r w:rsidR="00186D70" w:rsidRPr="00D92971">
        <w:rPr>
          <w:rFonts w:cs="Arial"/>
        </w:rPr>
        <w:t xml:space="preserve"> na nejnižší </w:t>
      </w:r>
      <w:r w:rsidR="00186D70" w:rsidRPr="00D92971">
        <w:rPr>
          <w:rFonts w:cs="Arial"/>
          <w:b/>
          <w:bCs/>
        </w:rPr>
        <w:t>úrovni jednotlivých</w:t>
      </w:r>
      <w:r w:rsidR="00186D70" w:rsidRPr="00D92971">
        <w:rPr>
          <w:rFonts w:cs="Arial"/>
        </w:rPr>
        <w:t xml:space="preserve"> </w:t>
      </w:r>
      <w:r w:rsidR="00186D70" w:rsidRPr="00D92971">
        <w:rPr>
          <w:rFonts w:cs="Arial"/>
          <w:b/>
          <w:bCs/>
        </w:rPr>
        <w:t>zaměstnanců</w:t>
      </w:r>
      <w:r w:rsidR="00186D70" w:rsidRPr="00D92971">
        <w:rPr>
          <w:rFonts w:cs="Arial"/>
          <w:bCs/>
        </w:rPr>
        <w:t xml:space="preserve"> (v roce 201</w:t>
      </w:r>
      <w:r w:rsidR="00186D70">
        <w:rPr>
          <w:rFonts w:cs="Arial"/>
          <w:bCs/>
        </w:rPr>
        <w:t>6</w:t>
      </w:r>
      <w:r w:rsidR="00186D70" w:rsidRPr="00D92971">
        <w:rPr>
          <w:rFonts w:cs="Arial"/>
          <w:bCs/>
        </w:rPr>
        <w:t xml:space="preserve"> ve srovnání s rokem 201</w:t>
      </w:r>
      <w:r w:rsidR="00186D70">
        <w:rPr>
          <w:rFonts w:cs="Arial"/>
          <w:bCs/>
        </w:rPr>
        <w:t>5</w:t>
      </w:r>
      <w:r w:rsidR="00186D70" w:rsidRPr="00D92971">
        <w:rPr>
          <w:rFonts w:cs="Arial"/>
          <w:bCs/>
        </w:rPr>
        <w:t>)</w:t>
      </w:r>
      <w:r w:rsidR="00186D70" w:rsidRPr="00D92971">
        <w:rPr>
          <w:rFonts w:cs="Arial"/>
          <w:b/>
          <w:bCs/>
        </w:rPr>
        <w:t xml:space="preserve"> </w:t>
      </w:r>
      <w:r w:rsidR="00186D70" w:rsidRPr="00D92971">
        <w:rPr>
          <w:rFonts w:cs="Arial"/>
          <w:b/>
        </w:rPr>
        <w:t>signalizuje vývoj hodnoty většiny základních diferenciačních charakteristik</w:t>
      </w:r>
      <w:r w:rsidR="00186D70" w:rsidRPr="00D92971">
        <w:rPr>
          <w:rFonts w:cs="Arial"/>
        </w:rPr>
        <w:t xml:space="preserve"> popsaných v následující tabulce (vlastní propočty MPSV z dat vybraných organizací).</w:t>
      </w:r>
    </w:p>
    <w:p w:rsidR="00186D70" w:rsidRPr="00D92971" w:rsidRDefault="00186D70" w:rsidP="00186D70">
      <w:pPr>
        <w:spacing w:line="360" w:lineRule="auto"/>
        <w:jc w:val="both"/>
        <w:rPr>
          <w:rFonts w:cs="Arial"/>
        </w:rPr>
      </w:pPr>
    </w:p>
    <w:tbl>
      <w:tblPr>
        <w:tblW w:w="8601" w:type="dxa"/>
        <w:jc w:val="center"/>
        <w:tblCellMar>
          <w:left w:w="0" w:type="dxa"/>
          <w:right w:w="0" w:type="dxa"/>
        </w:tblCellMar>
        <w:tblLook w:val="0000" w:firstRow="0" w:lastRow="0" w:firstColumn="0" w:lastColumn="0" w:noHBand="0" w:noVBand="0"/>
      </w:tblPr>
      <w:tblGrid>
        <w:gridCol w:w="5081"/>
        <w:gridCol w:w="1760"/>
        <w:gridCol w:w="1760"/>
      </w:tblGrid>
      <w:tr w:rsidR="00186D70" w:rsidRPr="00D92971" w:rsidTr="00A73B5D">
        <w:trPr>
          <w:trHeight w:val="402"/>
          <w:jc w:val="center"/>
        </w:trPr>
        <w:tc>
          <w:tcPr>
            <w:tcW w:w="5081" w:type="dxa"/>
            <w:tcBorders>
              <w:top w:val="double" w:sz="6" w:space="0" w:color="auto"/>
              <w:left w:val="double" w:sz="6" w:space="0" w:color="auto"/>
              <w:bottom w:val="double" w:sz="6" w:space="0" w:color="auto"/>
              <w:right w:val="single" w:sz="4" w:space="0" w:color="auto"/>
            </w:tcBorders>
            <w:noWrap/>
            <w:tcMar>
              <w:top w:w="0" w:type="dxa"/>
              <w:left w:w="15" w:type="dxa"/>
              <w:bottom w:w="0" w:type="dxa"/>
              <w:right w:w="15" w:type="dxa"/>
            </w:tcMar>
            <w:vAlign w:val="center"/>
          </w:tcPr>
          <w:p w:rsidR="00186D70" w:rsidRPr="00D92971" w:rsidRDefault="00186D70" w:rsidP="00A73B5D">
            <w:pPr>
              <w:jc w:val="center"/>
              <w:rPr>
                <w:rFonts w:cs="Arial"/>
                <w:sz w:val="20"/>
              </w:rPr>
            </w:pPr>
            <w:r w:rsidRPr="00D92971">
              <w:rPr>
                <w:rFonts w:cs="Arial"/>
                <w:sz w:val="20"/>
              </w:rPr>
              <w:t>Ukazatel</w:t>
            </w:r>
          </w:p>
        </w:tc>
        <w:tc>
          <w:tcPr>
            <w:tcW w:w="1760" w:type="dxa"/>
            <w:tcBorders>
              <w:top w:val="double" w:sz="6" w:space="0" w:color="auto"/>
              <w:left w:val="single" w:sz="4" w:space="0" w:color="auto"/>
              <w:bottom w:val="double" w:sz="6" w:space="0" w:color="auto"/>
              <w:right w:val="single" w:sz="4" w:space="0" w:color="auto"/>
            </w:tcBorders>
            <w:noWrap/>
            <w:tcMar>
              <w:top w:w="15" w:type="dxa"/>
              <w:left w:w="15" w:type="dxa"/>
              <w:bottom w:w="0" w:type="dxa"/>
              <w:right w:w="15" w:type="dxa"/>
            </w:tcMar>
            <w:vAlign w:val="center"/>
          </w:tcPr>
          <w:p w:rsidR="00186D70" w:rsidRPr="00D92971" w:rsidRDefault="00186D70" w:rsidP="00A73B5D">
            <w:pPr>
              <w:jc w:val="center"/>
              <w:rPr>
                <w:rFonts w:cs="Arial"/>
                <w:sz w:val="20"/>
              </w:rPr>
            </w:pPr>
            <w:r w:rsidRPr="00D92971">
              <w:rPr>
                <w:rFonts w:cs="Arial"/>
                <w:sz w:val="20"/>
              </w:rPr>
              <w:t>rok 201</w:t>
            </w:r>
            <w:r>
              <w:rPr>
                <w:rFonts w:cs="Arial"/>
                <w:sz w:val="20"/>
              </w:rPr>
              <w:t>5</w:t>
            </w:r>
          </w:p>
        </w:tc>
        <w:tc>
          <w:tcPr>
            <w:tcW w:w="1760" w:type="dxa"/>
            <w:tcBorders>
              <w:top w:val="double" w:sz="6" w:space="0" w:color="auto"/>
              <w:left w:val="nil"/>
              <w:bottom w:val="double" w:sz="6" w:space="0" w:color="auto"/>
              <w:right w:val="double" w:sz="6" w:space="0" w:color="auto"/>
            </w:tcBorders>
            <w:noWrap/>
            <w:tcMar>
              <w:top w:w="15" w:type="dxa"/>
              <w:left w:w="15" w:type="dxa"/>
              <w:bottom w:w="0" w:type="dxa"/>
              <w:right w:w="15" w:type="dxa"/>
            </w:tcMar>
            <w:vAlign w:val="center"/>
          </w:tcPr>
          <w:p w:rsidR="00186D70" w:rsidRPr="00D92971" w:rsidRDefault="00186D70" w:rsidP="00A73B5D">
            <w:pPr>
              <w:jc w:val="center"/>
              <w:rPr>
                <w:rFonts w:cs="Arial"/>
                <w:sz w:val="20"/>
              </w:rPr>
            </w:pPr>
            <w:r w:rsidRPr="00D92971">
              <w:rPr>
                <w:rFonts w:cs="Arial"/>
                <w:sz w:val="20"/>
              </w:rPr>
              <w:t>rok 201</w:t>
            </w:r>
            <w:r>
              <w:rPr>
                <w:rFonts w:cs="Arial"/>
                <w:sz w:val="20"/>
              </w:rPr>
              <w:t>6</w:t>
            </w:r>
          </w:p>
        </w:tc>
      </w:tr>
      <w:tr w:rsidR="00186D70" w:rsidRPr="00D92971" w:rsidTr="00A73B5D">
        <w:trPr>
          <w:trHeight w:val="360"/>
          <w:jc w:val="center"/>
        </w:trPr>
        <w:tc>
          <w:tcPr>
            <w:tcW w:w="0" w:type="auto"/>
            <w:tcBorders>
              <w:top w:val="nil"/>
              <w:left w:val="double" w:sz="6" w:space="0" w:color="auto"/>
              <w:bottom w:val="nil"/>
              <w:right w:val="single" w:sz="4" w:space="0" w:color="auto"/>
            </w:tcBorders>
            <w:noWrap/>
            <w:tcMar>
              <w:top w:w="15" w:type="dxa"/>
              <w:left w:w="15" w:type="dxa"/>
              <w:bottom w:w="0" w:type="dxa"/>
              <w:right w:w="15" w:type="dxa"/>
            </w:tcMar>
            <w:vAlign w:val="center"/>
          </w:tcPr>
          <w:p w:rsidR="00186D70" w:rsidRPr="00D92971" w:rsidRDefault="00186D70" w:rsidP="00A73B5D">
            <w:pPr>
              <w:rPr>
                <w:rFonts w:cs="Arial"/>
                <w:sz w:val="20"/>
                <w:szCs w:val="24"/>
              </w:rPr>
            </w:pPr>
            <w:r w:rsidRPr="00D92971">
              <w:rPr>
                <w:rFonts w:cs="Arial"/>
                <w:sz w:val="20"/>
                <w:szCs w:val="24"/>
              </w:rPr>
              <w:t xml:space="preserve"> Rozdíl mezi průměrným výdělkem a mediánem (Kč)</w:t>
            </w:r>
          </w:p>
        </w:tc>
        <w:tc>
          <w:tcPr>
            <w:tcW w:w="0" w:type="auto"/>
            <w:tcBorders>
              <w:top w:val="nil"/>
              <w:left w:val="nil"/>
              <w:bottom w:val="nil"/>
              <w:right w:val="single" w:sz="4" w:space="0" w:color="auto"/>
            </w:tcBorders>
            <w:noWrap/>
            <w:tcMar>
              <w:top w:w="15" w:type="dxa"/>
              <w:left w:w="15" w:type="dxa"/>
              <w:bottom w:w="0" w:type="dxa"/>
              <w:right w:w="15" w:type="dxa"/>
            </w:tcMar>
            <w:vAlign w:val="center"/>
          </w:tcPr>
          <w:p w:rsidR="00186D70" w:rsidRPr="00D92971" w:rsidRDefault="00186D70" w:rsidP="00A73B5D">
            <w:pPr>
              <w:jc w:val="center"/>
              <w:rPr>
                <w:rFonts w:cs="Arial"/>
                <w:sz w:val="20"/>
              </w:rPr>
            </w:pPr>
            <w:r>
              <w:rPr>
                <w:rFonts w:cs="Arial"/>
                <w:sz w:val="20"/>
              </w:rPr>
              <w:t>4</w:t>
            </w:r>
            <w:r w:rsidRPr="00D92971">
              <w:rPr>
                <w:rFonts w:cs="Arial"/>
                <w:sz w:val="20"/>
              </w:rPr>
              <w:t xml:space="preserve"> </w:t>
            </w:r>
            <w:r>
              <w:rPr>
                <w:rFonts w:cs="Arial"/>
                <w:sz w:val="20"/>
              </w:rPr>
              <w:t>056</w:t>
            </w:r>
          </w:p>
        </w:tc>
        <w:tc>
          <w:tcPr>
            <w:tcW w:w="0" w:type="auto"/>
            <w:tcBorders>
              <w:top w:val="nil"/>
              <w:left w:val="nil"/>
              <w:bottom w:val="nil"/>
              <w:right w:val="double" w:sz="6" w:space="0" w:color="auto"/>
            </w:tcBorders>
            <w:noWrap/>
            <w:tcMar>
              <w:top w:w="15" w:type="dxa"/>
              <w:left w:w="15" w:type="dxa"/>
              <w:bottom w:w="0" w:type="dxa"/>
              <w:right w:w="15" w:type="dxa"/>
            </w:tcMar>
            <w:vAlign w:val="center"/>
          </w:tcPr>
          <w:p w:rsidR="00186D70" w:rsidRPr="00D92971" w:rsidRDefault="00186D70" w:rsidP="00A73B5D">
            <w:pPr>
              <w:jc w:val="center"/>
              <w:rPr>
                <w:rFonts w:cs="Arial"/>
                <w:sz w:val="20"/>
              </w:rPr>
            </w:pPr>
            <w:r>
              <w:rPr>
                <w:rFonts w:cs="Arial"/>
                <w:sz w:val="20"/>
              </w:rPr>
              <w:t>4</w:t>
            </w:r>
            <w:r w:rsidRPr="00D92971">
              <w:rPr>
                <w:rFonts w:cs="Arial"/>
                <w:sz w:val="20"/>
              </w:rPr>
              <w:t xml:space="preserve"> </w:t>
            </w:r>
            <w:r>
              <w:rPr>
                <w:rFonts w:cs="Arial"/>
                <w:sz w:val="20"/>
              </w:rPr>
              <w:t>126</w:t>
            </w:r>
          </w:p>
        </w:tc>
      </w:tr>
      <w:tr w:rsidR="00186D70" w:rsidRPr="00D92971" w:rsidTr="00A73B5D">
        <w:trPr>
          <w:trHeight w:val="360"/>
          <w:jc w:val="center"/>
        </w:trPr>
        <w:tc>
          <w:tcPr>
            <w:tcW w:w="0" w:type="auto"/>
            <w:tcBorders>
              <w:top w:val="nil"/>
              <w:left w:val="double" w:sz="6" w:space="0" w:color="auto"/>
              <w:bottom w:val="nil"/>
              <w:right w:val="single" w:sz="4" w:space="0" w:color="auto"/>
            </w:tcBorders>
            <w:noWrap/>
            <w:tcMar>
              <w:top w:w="15" w:type="dxa"/>
              <w:left w:w="15" w:type="dxa"/>
              <w:bottom w:w="0" w:type="dxa"/>
              <w:right w:w="15" w:type="dxa"/>
            </w:tcMar>
            <w:vAlign w:val="center"/>
          </w:tcPr>
          <w:p w:rsidR="00186D70" w:rsidRPr="00D92971" w:rsidRDefault="00186D70" w:rsidP="00A73B5D">
            <w:pPr>
              <w:rPr>
                <w:rFonts w:cs="Arial"/>
                <w:sz w:val="20"/>
              </w:rPr>
            </w:pPr>
            <w:r w:rsidRPr="00D92971">
              <w:rPr>
                <w:rFonts w:cs="Arial"/>
                <w:sz w:val="20"/>
              </w:rPr>
              <w:t xml:space="preserve"> Podíl zaměstnanců s nižší než průměrnou mzdou (%)</w:t>
            </w:r>
          </w:p>
        </w:tc>
        <w:tc>
          <w:tcPr>
            <w:tcW w:w="0" w:type="auto"/>
            <w:tcBorders>
              <w:top w:val="nil"/>
              <w:left w:val="nil"/>
              <w:bottom w:val="nil"/>
              <w:right w:val="single" w:sz="4" w:space="0" w:color="auto"/>
            </w:tcBorders>
            <w:noWrap/>
            <w:tcMar>
              <w:top w:w="15" w:type="dxa"/>
              <w:left w:w="15" w:type="dxa"/>
              <w:bottom w:w="0" w:type="dxa"/>
              <w:right w:w="15" w:type="dxa"/>
            </w:tcMar>
            <w:vAlign w:val="center"/>
          </w:tcPr>
          <w:p w:rsidR="00186D70" w:rsidRPr="00D92971" w:rsidRDefault="00186D70" w:rsidP="00A73B5D">
            <w:pPr>
              <w:jc w:val="center"/>
              <w:rPr>
                <w:rFonts w:cs="Arial"/>
                <w:sz w:val="20"/>
              </w:rPr>
            </w:pPr>
            <w:r w:rsidRPr="00D92971">
              <w:rPr>
                <w:rFonts w:cs="Arial"/>
                <w:sz w:val="20"/>
              </w:rPr>
              <w:t xml:space="preserve">  6</w:t>
            </w:r>
            <w:r>
              <w:rPr>
                <w:rFonts w:cs="Arial"/>
                <w:sz w:val="20"/>
              </w:rPr>
              <w:t>7</w:t>
            </w:r>
            <w:r w:rsidRPr="00D92971">
              <w:rPr>
                <w:rFonts w:cs="Arial"/>
                <w:sz w:val="20"/>
              </w:rPr>
              <w:t>,</w:t>
            </w:r>
            <w:r>
              <w:rPr>
                <w:rFonts w:cs="Arial"/>
                <w:sz w:val="20"/>
              </w:rPr>
              <w:t>6</w:t>
            </w:r>
          </w:p>
        </w:tc>
        <w:tc>
          <w:tcPr>
            <w:tcW w:w="0" w:type="auto"/>
            <w:tcBorders>
              <w:top w:val="nil"/>
              <w:left w:val="nil"/>
              <w:bottom w:val="nil"/>
              <w:right w:val="double" w:sz="6" w:space="0" w:color="auto"/>
            </w:tcBorders>
            <w:noWrap/>
            <w:tcMar>
              <w:top w:w="15" w:type="dxa"/>
              <w:left w:w="15" w:type="dxa"/>
              <w:bottom w:w="0" w:type="dxa"/>
              <w:right w:w="15" w:type="dxa"/>
            </w:tcMar>
            <w:vAlign w:val="center"/>
          </w:tcPr>
          <w:p w:rsidR="00186D70" w:rsidRPr="00D92971" w:rsidRDefault="00186D70" w:rsidP="00A73B5D">
            <w:pPr>
              <w:jc w:val="center"/>
              <w:rPr>
                <w:rFonts w:cs="Arial"/>
                <w:sz w:val="20"/>
              </w:rPr>
            </w:pPr>
            <w:r w:rsidRPr="00D92971">
              <w:rPr>
                <w:rFonts w:cs="Arial"/>
                <w:sz w:val="20"/>
              </w:rPr>
              <w:t xml:space="preserve">  67,</w:t>
            </w:r>
            <w:r>
              <w:rPr>
                <w:rFonts w:cs="Arial"/>
                <w:sz w:val="20"/>
              </w:rPr>
              <w:t>8</w:t>
            </w:r>
          </w:p>
        </w:tc>
      </w:tr>
      <w:tr w:rsidR="00186D70" w:rsidRPr="00D92971" w:rsidTr="00A73B5D">
        <w:trPr>
          <w:trHeight w:val="360"/>
          <w:jc w:val="center"/>
        </w:trPr>
        <w:tc>
          <w:tcPr>
            <w:tcW w:w="0" w:type="auto"/>
            <w:tcBorders>
              <w:top w:val="nil"/>
              <w:left w:val="double" w:sz="6" w:space="0" w:color="auto"/>
              <w:bottom w:val="nil"/>
              <w:right w:val="single" w:sz="4" w:space="0" w:color="auto"/>
            </w:tcBorders>
            <w:noWrap/>
            <w:tcMar>
              <w:top w:w="15" w:type="dxa"/>
              <w:left w:w="15" w:type="dxa"/>
              <w:bottom w:w="0" w:type="dxa"/>
              <w:right w:w="15" w:type="dxa"/>
            </w:tcMar>
            <w:vAlign w:val="center"/>
          </w:tcPr>
          <w:p w:rsidR="00186D70" w:rsidRPr="00D92971" w:rsidRDefault="00186D70" w:rsidP="00A73B5D">
            <w:pPr>
              <w:rPr>
                <w:rFonts w:cs="Arial"/>
                <w:sz w:val="20"/>
              </w:rPr>
            </w:pPr>
            <w:r w:rsidRPr="00D92971">
              <w:rPr>
                <w:rFonts w:cs="Arial"/>
                <w:sz w:val="20"/>
              </w:rPr>
              <w:t xml:space="preserve"> Decilový poměr (9. </w:t>
            </w:r>
            <w:proofErr w:type="gramStart"/>
            <w:r w:rsidRPr="00D92971">
              <w:rPr>
                <w:rFonts w:cs="Arial"/>
                <w:sz w:val="20"/>
              </w:rPr>
              <w:t>decil : 1. decil</w:t>
            </w:r>
            <w:proofErr w:type="gramEnd"/>
            <w:r w:rsidRPr="00D92971">
              <w:rPr>
                <w:rFonts w:cs="Arial"/>
                <w:sz w:val="20"/>
              </w:rPr>
              <w:t>)</w:t>
            </w:r>
          </w:p>
        </w:tc>
        <w:tc>
          <w:tcPr>
            <w:tcW w:w="0" w:type="auto"/>
            <w:tcBorders>
              <w:top w:val="nil"/>
              <w:left w:val="nil"/>
              <w:bottom w:val="nil"/>
              <w:right w:val="single" w:sz="4" w:space="0" w:color="auto"/>
            </w:tcBorders>
            <w:noWrap/>
            <w:tcMar>
              <w:top w:w="15" w:type="dxa"/>
              <w:left w:w="15" w:type="dxa"/>
              <w:bottom w:w="0" w:type="dxa"/>
              <w:right w:w="15" w:type="dxa"/>
            </w:tcMar>
            <w:vAlign w:val="center"/>
          </w:tcPr>
          <w:p w:rsidR="00186D70" w:rsidRPr="00D92971" w:rsidRDefault="00186D70" w:rsidP="00A73B5D">
            <w:pPr>
              <w:jc w:val="center"/>
              <w:rPr>
                <w:rFonts w:cs="Arial"/>
                <w:sz w:val="20"/>
              </w:rPr>
            </w:pPr>
            <w:r w:rsidRPr="00D92971">
              <w:rPr>
                <w:rFonts w:cs="Arial"/>
                <w:sz w:val="20"/>
              </w:rPr>
              <w:t xml:space="preserve">  3,</w:t>
            </w:r>
            <w:r>
              <w:rPr>
                <w:rFonts w:cs="Arial"/>
                <w:sz w:val="20"/>
              </w:rPr>
              <w:t>58</w:t>
            </w:r>
          </w:p>
        </w:tc>
        <w:tc>
          <w:tcPr>
            <w:tcW w:w="0" w:type="auto"/>
            <w:tcBorders>
              <w:top w:val="nil"/>
              <w:left w:val="nil"/>
              <w:bottom w:val="nil"/>
              <w:right w:val="double" w:sz="6" w:space="0" w:color="auto"/>
            </w:tcBorders>
            <w:noWrap/>
            <w:tcMar>
              <w:top w:w="15" w:type="dxa"/>
              <w:left w:w="15" w:type="dxa"/>
              <w:bottom w:w="0" w:type="dxa"/>
              <w:right w:w="15" w:type="dxa"/>
            </w:tcMar>
            <w:vAlign w:val="center"/>
          </w:tcPr>
          <w:p w:rsidR="00186D70" w:rsidRPr="00D92971" w:rsidRDefault="00186D70" w:rsidP="00A73B5D">
            <w:pPr>
              <w:jc w:val="center"/>
              <w:rPr>
                <w:rFonts w:cs="Arial"/>
                <w:sz w:val="20"/>
              </w:rPr>
            </w:pPr>
            <w:r w:rsidRPr="00D92971">
              <w:rPr>
                <w:rFonts w:cs="Arial"/>
                <w:sz w:val="20"/>
              </w:rPr>
              <w:t xml:space="preserve">  3,</w:t>
            </w:r>
            <w:r>
              <w:rPr>
                <w:rFonts w:cs="Arial"/>
                <w:sz w:val="20"/>
              </w:rPr>
              <w:t>54</w:t>
            </w:r>
          </w:p>
        </w:tc>
      </w:tr>
      <w:tr w:rsidR="00186D70" w:rsidRPr="00D92971" w:rsidTr="00A73B5D">
        <w:trPr>
          <w:trHeight w:val="360"/>
          <w:jc w:val="center"/>
        </w:trPr>
        <w:tc>
          <w:tcPr>
            <w:tcW w:w="0" w:type="auto"/>
            <w:tcBorders>
              <w:top w:val="nil"/>
              <w:left w:val="double" w:sz="6" w:space="0" w:color="auto"/>
              <w:bottom w:val="nil"/>
              <w:right w:val="single" w:sz="4" w:space="0" w:color="auto"/>
            </w:tcBorders>
            <w:noWrap/>
            <w:tcMar>
              <w:top w:w="15" w:type="dxa"/>
              <w:left w:w="15" w:type="dxa"/>
              <w:bottom w:w="0" w:type="dxa"/>
              <w:right w:w="15" w:type="dxa"/>
            </w:tcMar>
            <w:vAlign w:val="center"/>
          </w:tcPr>
          <w:p w:rsidR="00186D70" w:rsidRPr="00D92971" w:rsidRDefault="00186D70" w:rsidP="00A73B5D">
            <w:pPr>
              <w:rPr>
                <w:rFonts w:cs="Arial"/>
                <w:sz w:val="20"/>
              </w:rPr>
            </w:pPr>
            <w:r w:rsidRPr="00D92971">
              <w:rPr>
                <w:rFonts w:cs="Arial"/>
                <w:sz w:val="20"/>
              </w:rPr>
              <w:t xml:space="preserve"> Variační koeficient (%)</w:t>
            </w:r>
          </w:p>
        </w:tc>
        <w:tc>
          <w:tcPr>
            <w:tcW w:w="0" w:type="auto"/>
            <w:tcBorders>
              <w:top w:val="nil"/>
              <w:left w:val="nil"/>
              <w:bottom w:val="nil"/>
              <w:right w:val="single" w:sz="4" w:space="0" w:color="auto"/>
            </w:tcBorders>
            <w:noWrap/>
            <w:tcMar>
              <w:top w:w="15" w:type="dxa"/>
              <w:left w:w="15" w:type="dxa"/>
              <w:bottom w:w="0" w:type="dxa"/>
              <w:right w:w="15" w:type="dxa"/>
            </w:tcMar>
            <w:vAlign w:val="center"/>
          </w:tcPr>
          <w:p w:rsidR="00186D70" w:rsidRPr="00D92971" w:rsidRDefault="00186D70" w:rsidP="00A73B5D">
            <w:pPr>
              <w:jc w:val="center"/>
              <w:rPr>
                <w:rFonts w:cs="Arial"/>
                <w:sz w:val="20"/>
              </w:rPr>
            </w:pPr>
            <w:r w:rsidRPr="00D92971">
              <w:rPr>
                <w:rFonts w:cs="Arial"/>
                <w:sz w:val="20"/>
              </w:rPr>
              <w:t xml:space="preserve">     </w:t>
            </w:r>
            <w:r>
              <w:rPr>
                <w:rFonts w:cs="Arial"/>
                <w:sz w:val="20"/>
              </w:rPr>
              <w:t>78</w:t>
            </w:r>
          </w:p>
        </w:tc>
        <w:tc>
          <w:tcPr>
            <w:tcW w:w="0" w:type="auto"/>
            <w:tcBorders>
              <w:top w:val="nil"/>
              <w:left w:val="nil"/>
              <w:bottom w:val="nil"/>
              <w:right w:val="double" w:sz="6" w:space="0" w:color="auto"/>
            </w:tcBorders>
            <w:noWrap/>
            <w:tcMar>
              <w:top w:w="15" w:type="dxa"/>
              <w:left w:w="15" w:type="dxa"/>
              <w:bottom w:w="0" w:type="dxa"/>
              <w:right w:w="15" w:type="dxa"/>
            </w:tcMar>
            <w:vAlign w:val="center"/>
          </w:tcPr>
          <w:p w:rsidR="00186D70" w:rsidRPr="00D92971" w:rsidRDefault="00186D70" w:rsidP="00A73B5D">
            <w:pPr>
              <w:jc w:val="center"/>
              <w:rPr>
                <w:rFonts w:cs="Arial"/>
                <w:sz w:val="20"/>
              </w:rPr>
            </w:pPr>
            <w:r w:rsidRPr="00D92971">
              <w:rPr>
                <w:rFonts w:cs="Arial"/>
                <w:sz w:val="20"/>
              </w:rPr>
              <w:t xml:space="preserve">     </w:t>
            </w:r>
            <w:r>
              <w:rPr>
                <w:rFonts w:cs="Arial"/>
                <w:sz w:val="20"/>
              </w:rPr>
              <w:t>78</w:t>
            </w:r>
          </w:p>
        </w:tc>
      </w:tr>
      <w:tr w:rsidR="00186D70" w:rsidRPr="00D92971" w:rsidTr="00A73B5D">
        <w:trPr>
          <w:trHeight w:val="360"/>
          <w:jc w:val="center"/>
        </w:trPr>
        <w:tc>
          <w:tcPr>
            <w:tcW w:w="0" w:type="auto"/>
            <w:tcBorders>
              <w:top w:val="nil"/>
              <w:left w:val="double" w:sz="6" w:space="0" w:color="auto"/>
              <w:bottom w:val="nil"/>
              <w:right w:val="single" w:sz="4" w:space="0" w:color="auto"/>
            </w:tcBorders>
            <w:noWrap/>
            <w:tcMar>
              <w:top w:w="15" w:type="dxa"/>
              <w:left w:w="15" w:type="dxa"/>
              <w:bottom w:w="0" w:type="dxa"/>
              <w:right w:w="15" w:type="dxa"/>
            </w:tcMar>
            <w:vAlign w:val="center"/>
          </w:tcPr>
          <w:p w:rsidR="00186D70" w:rsidRPr="00D92971" w:rsidRDefault="00186D70" w:rsidP="00A73B5D">
            <w:pPr>
              <w:rPr>
                <w:rFonts w:cs="Arial"/>
                <w:sz w:val="20"/>
              </w:rPr>
            </w:pPr>
            <w:r w:rsidRPr="00D92971">
              <w:rPr>
                <w:rFonts w:cs="Arial"/>
                <w:sz w:val="20"/>
              </w:rPr>
              <w:t xml:space="preserve"> </w:t>
            </w:r>
            <w:proofErr w:type="spellStart"/>
            <w:r w:rsidRPr="00D92971">
              <w:rPr>
                <w:rFonts w:cs="Arial"/>
                <w:sz w:val="20"/>
              </w:rPr>
              <w:t>Giniho</w:t>
            </w:r>
            <w:proofErr w:type="spellEnd"/>
            <w:r w:rsidRPr="00D92971">
              <w:rPr>
                <w:rFonts w:cs="Arial"/>
                <w:sz w:val="20"/>
              </w:rPr>
              <w:t xml:space="preserve"> koeficient</w:t>
            </w:r>
          </w:p>
        </w:tc>
        <w:tc>
          <w:tcPr>
            <w:tcW w:w="0" w:type="auto"/>
            <w:tcBorders>
              <w:top w:val="nil"/>
              <w:left w:val="nil"/>
              <w:bottom w:val="nil"/>
              <w:right w:val="single" w:sz="4" w:space="0" w:color="auto"/>
            </w:tcBorders>
            <w:noWrap/>
            <w:tcMar>
              <w:top w:w="15" w:type="dxa"/>
              <w:left w:w="15" w:type="dxa"/>
              <w:bottom w:w="0" w:type="dxa"/>
              <w:right w:w="15" w:type="dxa"/>
            </w:tcMar>
            <w:vAlign w:val="center"/>
          </w:tcPr>
          <w:p w:rsidR="00186D70" w:rsidRPr="00D92971" w:rsidRDefault="00186D70" w:rsidP="00A73B5D">
            <w:pPr>
              <w:jc w:val="center"/>
              <w:rPr>
                <w:rFonts w:cs="Arial"/>
                <w:sz w:val="20"/>
              </w:rPr>
            </w:pPr>
            <w:r w:rsidRPr="00D92971">
              <w:rPr>
                <w:rFonts w:cs="Arial"/>
                <w:sz w:val="20"/>
              </w:rPr>
              <w:t xml:space="preserve">  0,30</w:t>
            </w:r>
          </w:p>
        </w:tc>
        <w:tc>
          <w:tcPr>
            <w:tcW w:w="0" w:type="auto"/>
            <w:tcBorders>
              <w:top w:val="nil"/>
              <w:left w:val="nil"/>
              <w:bottom w:val="nil"/>
              <w:right w:val="double" w:sz="6" w:space="0" w:color="auto"/>
            </w:tcBorders>
            <w:noWrap/>
            <w:tcMar>
              <w:top w:w="15" w:type="dxa"/>
              <w:left w:w="15" w:type="dxa"/>
              <w:bottom w:w="0" w:type="dxa"/>
              <w:right w:w="15" w:type="dxa"/>
            </w:tcMar>
            <w:vAlign w:val="center"/>
          </w:tcPr>
          <w:p w:rsidR="00186D70" w:rsidRPr="00D92971" w:rsidRDefault="00186D70" w:rsidP="00A73B5D">
            <w:pPr>
              <w:jc w:val="center"/>
              <w:rPr>
                <w:rFonts w:cs="Arial"/>
                <w:sz w:val="20"/>
              </w:rPr>
            </w:pPr>
            <w:r w:rsidRPr="00D92971">
              <w:rPr>
                <w:rFonts w:cs="Arial"/>
                <w:sz w:val="20"/>
              </w:rPr>
              <w:t xml:space="preserve">  0,30</w:t>
            </w:r>
          </w:p>
        </w:tc>
      </w:tr>
      <w:tr w:rsidR="00186D70" w:rsidRPr="00D92971" w:rsidTr="00A73B5D">
        <w:trPr>
          <w:trHeight w:val="360"/>
          <w:jc w:val="center"/>
        </w:trPr>
        <w:tc>
          <w:tcPr>
            <w:tcW w:w="0" w:type="auto"/>
            <w:tcBorders>
              <w:top w:val="nil"/>
              <w:left w:val="double" w:sz="6" w:space="0" w:color="auto"/>
              <w:bottom w:val="double" w:sz="6" w:space="0" w:color="auto"/>
              <w:right w:val="single" w:sz="4" w:space="0" w:color="auto"/>
            </w:tcBorders>
            <w:noWrap/>
            <w:tcMar>
              <w:top w:w="15" w:type="dxa"/>
              <w:left w:w="15" w:type="dxa"/>
              <w:bottom w:w="0" w:type="dxa"/>
              <w:right w:w="15" w:type="dxa"/>
            </w:tcMar>
            <w:vAlign w:val="center"/>
          </w:tcPr>
          <w:p w:rsidR="00186D70" w:rsidRPr="00D92971" w:rsidRDefault="00186D70" w:rsidP="00A73B5D">
            <w:pPr>
              <w:rPr>
                <w:rFonts w:cs="Arial"/>
                <w:sz w:val="20"/>
              </w:rPr>
            </w:pPr>
            <w:r w:rsidRPr="00D92971">
              <w:rPr>
                <w:rFonts w:cs="Arial"/>
                <w:sz w:val="20"/>
              </w:rPr>
              <w:t xml:space="preserve"> </w:t>
            </w:r>
            <w:proofErr w:type="spellStart"/>
            <w:r w:rsidRPr="00D92971">
              <w:rPr>
                <w:rFonts w:cs="Arial"/>
                <w:sz w:val="20"/>
              </w:rPr>
              <w:t>Paretův</w:t>
            </w:r>
            <w:proofErr w:type="spellEnd"/>
            <w:r w:rsidRPr="00D92971">
              <w:rPr>
                <w:rFonts w:cs="Arial"/>
                <w:sz w:val="20"/>
              </w:rPr>
              <w:t xml:space="preserve"> koeficient</w:t>
            </w:r>
          </w:p>
        </w:tc>
        <w:tc>
          <w:tcPr>
            <w:tcW w:w="0" w:type="auto"/>
            <w:tcBorders>
              <w:top w:val="nil"/>
              <w:left w:val="nil"/>
              <w:bottom w:val="double" w:sz="6" w:space="0" w:color="auto"/>
              <w:right w:val="single" w:sz="4" w:space="0" w:color="auto"/>
            </w:tcBorders>
            <w:noWrap/>
            <w:tcMar>
              <w:top w:w="15" w:type="dxa"/>
              <w:left w:w="15" w:type="dxa"/>
              <w:bottom w:w="0" w:type="dxa"/>
              <w:right w:w="15" w:type="dxa"/>
            </w:tcMar>
            <w:vAlign w:val="center"/>
          </w:tcPr>
          <w:p w:rsidR="00186D70" w:rsidRPr="00D92971" w:rsidRDefault="00186D70" w:rsidP="00A73B5D">
            <w:pPr>
              <w:jc w:val="center"/>
              <w:rPr>
                <w:rFonts w:cs="Arial"/>
                <w:sz w:val="20"/>
              </w:rPr>
            </w:pPr>
            <w:r w:rsidRPr="00D92971">
              <w:rPr>
                <w:rFonts w:cs="Arial"/>
                <w:sz w:val="20"/>
              </w:rPr>
              <w:t xml:space="preserve">  0,3</w:t>
            </w:r>
            <w:r>
              <w:rPr>
                <w:rFonts w:cs="Arial"/>
                <w:sz w:val="20"/>
              </w:rPr>
              <w:t>8</w:t>
            </w:r>
          </w:p>
        </w:tc>
        <w:tc>
          <w:tcPr>
            <w:tcW w:w="0" w:type="auto"/>
            <w:tcBorders>
              <w:top w:val="nil"/>
              <w:left w:val="nil"/>
              <w:bottom w:val="double" w:sz="6" w:space="0" w:color="auto"/>
              <w:right w:val="double" w:sz="6" w:space="0" w:color="auto"/>
            </w:tcBorders>
            <w:noWrap/>
            <w:tcMar>
              <w:top w:w="15" w:type="dxa"/>
              <w:left w:w="15" w:type="dxa"/>
              <w:bottom w:w="0" w:type="dxa"/>
              <w:right w:w="15" w:type="dxa"/>
            </w:tcMar>
            <w:vAlign w:val="center"/>
          </w:tcPr>
          <w:p w:rsidR="00186D70" w:rsidRPr="00D92971" w:rsidRDefault="00186D70" w:rsidP="00A73B5D">
            <w:pPr>
              <w:jc w:val="center"/>
              <w:rPr>
                <w:rFonts w:cs="Arial"/>
                <w:sz w:val="20"/>
              </w:rPr>
            </w:pPr>
            <w:r w:rsidRPr="00D92971">
              <w:rPr>
                <w:rFonts w:cs="Arial"/>
                <w:sz w:val="20"/>
              </w:rPr>
              <w:t xml:space="preserve">  0,3</w:t>
            </w:r>
            <w:r>
              <w:rPr>
                <w:rFonts w:cs="Arial"/>
                <w:sz w:val="20"/>
              </w:rPr>
              <w:t>8</w:t>
            </w:r>
          </w:p>
        </w:tc>
      </w:tr>
    </w:tbl>
    <w:p w:rsidR="008D4509" w:rsidRDefault="008D4509" w:rsidP="008D4509">
      <w:pPr>
        <w:spacing w:line="360" w:lineRule="auto"/>
        <w:jc w:val="both"/>
      </w:pPr>
    </w:p>
    <w:p w:rsidR="00186D70" w:rsidRPr="00D92971" w:rsidRDefault="007C0B49" w:rsidP="008D4509">
      <w:pPr>
        <w:spacing w:line="360" w:lineRule="auto"/>
        <w:jc w:val="both"/>
        <w:rPr>
          <w:rFonts w:cs="Arial"/>
        </w:rPr>
      </w:pPr>
      <w:r>
        <w:tab/>
      </w:r>
      <w:r w:rsidR="00186D70" w:rsidRPr="00D92971">
        <w:rPr>
          <w:rFonts w:cs="Arial"/>
          <w:b/>
          <w:bCs/>
        </w:rPr>
        <w:t xml:space="preserve">Podíl zaměstnanců s </w:t>
      </w:r>
      <w:r w:rsidR="00186D70" w:rsidRPr="00D92971">
        <w:rPr>
          <w:rFonts w:cs="Arial"/>
          <w:b/>
        </w:rPr>
        <w:t xml:space="preserve">nižším než průměrným výdělkem z celkového počtu zaměstnanců </w:t>
      </w:r>
      <w:r w:rsidR="00186D70" w:rsidRPr="00D92971">
        <w:rPr>
          <w:rFonts w:cs="Arial"/>
          <w:bCs/>
        </w:rPr>
        <w:t>(</w:t>
      </w:r>
      <w:r w:rsidR="00186D70" w:rsidRPr="00D92971">
        <w:rPr>
          <w:rFonts w:cs="Arial"/>
        </w:rPr>
        <w:t xml:space="preserve">oproti stejnému období předchozího roku) se </w:t>
      </w:r>
      <w:r w:rsidR="00186D70">
        <w:rPr>
          <w:rFonts w:cs="Arial"/>
        </w:rPr>
        <w:t>zvýšil</w:t>
      </w:r>
      <w:r w:rsidR="00186D70" w:rsidRPr="00D92971">
        <w:rPr>
          <w:rFonts w:cs="Arial"/>
        </w:rPr>
        <w:t xml:space="preserve"> o 0,</w:t>
      </w:r>
      <w:r w:rsidR="00186D70">
        <w:rPr>
          <w:rFonts w:cs="Arial"/>
        </w:rPr>
        <w:t>2</w:t>
      </w:r>
      <w:r w:rsidR="00186D70" w:rsidRPr="00D92971">
        <w:rPr>
          <w:rFonts w:cs="Arial"/>
        </w:rPr>
        <w:t xml:space="preserve"> p. b. </w:t>
      </w:r>
      <w:proofErr w:type="gramStart"/>
      <w:r w:rsidR="00186D70" w:rsidRPr="00D92971">
        <w:rPr>
          <w:rFonts w:cs="Arial"/>
        </w:rPr>
        <w:t>na</w:t>
      </w:r>
      <w:proofErr w:type="gramEnd"/>
      <w:r w:rsidR="00186D70" w:rsidRPr="00D92971">
        <w:rPr>
          <w:rFonts w:cs="Arial"/>
        </w:rPr>
        <w:t> hodnotu</w:t>
      </w:r>
      <w:r w:rsidR="00186D70" w:rsidRPr="00D92971">
        <w:rPr>
          <w:rFonts w:cs="Arial"/>
          <w:b/>
        </w:rPr>
        <w:t xml:space="preserve"> 67,</w:t>
      </w:r>
      <w:r w:rsidR="00186D70">
        <w:rPr>
          <w:rFonts w:cs="Arial"/>
          <w:b/>
        </w:rPr>
        <w:t>8</w:t>
      </w:r>
      <w:r w:rsidR="00186D70" w:rsidRPr="00D92971">
        <w:rPr>
          <w:rFonts w:cs="Arial"/>
          <w:b/>
        </w:rPr>
        <w:t> %</w:t>
      </w:r>
      <w:r w:rsidR="00186D70" w:rsidRPr="00D92971">
        <w:rPr>
          <w:rFonts w:cs="Arial"/>
          <w:bCs/>
        </w:rPr>
        <w:t xml:space="preserve">. </w:t>
      </w:r>
      <w:r w:rsidR="00186D70" w:rsidRPr="00D92971">
        <w:rPr>
          <w:rFonts w:cs="Arial"/>
        </w:rPr>
        <w:t>O</w:t>
      </w:r>
      <w:r w:rsidR="00186D70">
        <w:rPr>
          <w:rFonts w:cs="Arial"/>
        </w:rPr>
        <w:t>pačně</w:t>
      </w:r>
      <w:r w:rsidR="00186D70" w:rsidRPr="00D92971">
        <w:rPr>
          <w:rFonts w:cs="Arial"/>
        </w:rPr>
        <w:t xml:space="preserve"> se</w:t>
      </w:r>
      <w:r w:rsidR="00186D70">
        <w:rPr>
          <w:rFonts w:cs="Arial"/>
        </w:rPr>
        <w:t xml:space="preserve"> však</w:t>
      </w:r>
      <w:r w:rsidR="00186D70" w:rsidRPr="00D92971">
        <w:rPr>
          <w:rFonts w:cs="Arial"/>
          <w:b/>
        </w:rPr>
        <w:t xml:space="preserve"> vyvíjela </w:t>
      </w:r>
      <w:r w:rsidR="00186D70" w:rsidRPr="00D92971">
        <w:rPr>
          <w:rFonts w:cs="Arial"/>
        </w:rPr>
        <w:t xml:space="preserve">relace </w:t>
      </w:r>
      <w:r w:rsidR="00186D70" w:rsidRPr="00D92971">
        <w:rPr>
          <w:rFonts w:cs="Arial"/>
          <w:b/>
        </w:rPr>
        <w:t>růstu nižších a vyšších výdělků;</w:t>
      </w:r>
      <w:r w:rsidR="00186D70" w:rsidRPr="00D92971">
        <w:rPr>
          <w:rFonts w:cs="Arial"/>
        </w:rPr>
        <w:t xml:space="preserve"> dynamika výdělku v 9. decilu </w:t>
      </w:r>
      <w:r w:rsidR="00186D70">
        <w:rPr>
          <w:rFonts w:cs="Arial"/>
        </w:rPr>
        <w:t>byla</w:t>
      </w:r>
      <w:r w:rsidR="00186D70" w:rsidRPr="00D92971">
        <w:rPr>
          <w:rFonts w:cs="Arial"/>
        </w:rPr>
        <w:t xml:space="preserve"> v roce 201</w:t>
      </w:r>
      <w:r w:rsidR="00186D70">
        <w:rPr>
          <w:rFonts w:cs="Arial"/>
        </w:rPr>
        <w:t>6</w:t>
      </w:r>
      <w:r w:rsidR="00186D70" w:rsidRPr="00D92971">
        <w:rPr>
          <w:rFonts w:cs="Arial"/>
        </w:rPr>
        <w:t xml:space="preserve"> meziročně o </w:t>
      </w:r>
      <w:r w:rsidR="00186D70">
        <w:rPr>
          <w:rFonts w:cs="Arial"/>
        </w:rPr>
        <w:t>1</w:t>
      </w:r>
      <w:r w:rsidR="00186D70" w:rsidRPr="00D92971">
        <w:rPr>
          <w:rFonts w:cs="Arial"/>
        </w:rPr>
        <w:t>,</w:t>
      </w:r>
      <w:r w:rsidR="00186D70">
        <w:rPr>
          <w:rFonts w:cs="Arial"/>
        </w:rPr>
        <w:t>2</w:t>
      </w:r>
      <w:r w:rsidR="00186D70" w:rsidRPr="00D92971">
        <w:rPr>
          <w:rFonts w:cs="Arial"/>
        </w:rPr>
        <w:t xml:space="preserve"> p. b. </w:t>
      </w:r>
      <w:proofErr w:type="gramStart"/>
      <w:r w:rsidR="00186D70">
        <w:rPr>
          <w:rFonts w:cs="Arial"/>
        </w:rPr>
        <w:t>nižší</w:t>
      </w:r>
      <w:proofErr w:type="gramEnd"/>
      <w:r w:rsidR="00186D70">
        <w:rPr>
          <w:rFonts w:cs="Arial"/>
        </w:rPr>
        <w:t xml:space="preserve"> než</w:t>
      </w:r>
      <w:r w:rsidR="00186D70" w:rsidRPr="00D92971">
        <w:rPr>
          <w:rFonts w:cs="Arial"/>
        </w:rPr>
        <w:t xml:space="preserve"> v 1. decilu.</w:t>
      </w:r>
    </w:p>
    <w:p w:rsidR="00186D70" w:rsidRPr="00D92971" w:rsidRDefault="00186D70" w:rsidP="00186D70">
      <w:pPr>
        <w:spacing w:line="360" w:lineRule="auto"/>
        <w:jc w:val="both"/>
        <w:rPr>
          <w:rFonts w:cs="Arial"/>
        </w:rPr>
      </w:pPr>
    </w:p>
    <w:p w:rsidR="00186D70" w:rsidRPr="00D92971" w:rsidRDefault="007C0B49" w:rsidP="007C0B49">
      <w:pPr>
        <w:spacing w:line="360" w:lineRule="auto"/>
        <w:jc w:val="both"/>
        <w:rPr>
          <w:rFonts w:cs="Arial"/>
          <w:bCs/>
        </w:rPr>
      </w:pPr>
      <w:r>
        <w:tab/>
      </w:r>
      <w:r w:rsidR="00186D70" w:rsidRPr="00D92971">
        <w:rPr>
          <w:rFonts w:cs="Arial"/>
          <w:b/>
          <w:bCs/>
        </w:rPr>
        <w:t>Medián</w:t>
      </w:r>
      <w:r w:rsidR="00186D70" w:rsidRPr="00D92971">
        <w:rPr>
          <w:rFonts w:cs="Arial"/>
          <w:bCs/>
        </w:rPr>
        <w:t xml:space="preserve"> </w:t>
      </w:r>
      <w:r w:rsidR="00186D70" w:rsidRPr="00D92971">
        <w:rPr>
          <w:rFonts w:cs="Arial"/>
          <w:b/>
          <w:bCs/>
        </w:rPr>
        <w:t xml:space="preserve">mzdy </w:t>
      </w:r>
      <w:r w:rsidR="00186D70" w:rsidRPr="00D92971">
        <w:rPr>
          <w:rFonts w:cs="Arial"/>
          <w:bCs/>
        </w:rPr>
        <w:t>v roce 201</w:t>
      </w:r>
      <w:r w:rsidR="00186D70">
        <w:rPr>
          <w:rFonts w:cs="Arial"/>
          <w:bCs/>
        </w:rPr>
        <w:t>6</w:t>
      </w:r>
      <w:r w:rsidR="00186D70" w:rsidRPr="00D92971">
        <w:rPr>
          <w:rFonts w:cs="Arial"/>
          <w:bCs/>
        </w:rPr>
        <w:t xml:space="preserve"> </w:t>
      </w:r>
      <w:r w:rsidR="00186D70" w:rsidRPr="00D92971">
        <w:rPr>
          <w:rFonts w:cs="Arial"/>
          <w:b/>
          <w:bCs/>
        </w:rPr>
        <w:t>činil 2</w:t>
      </w:r>
      <w:r w:rsidR="00186D70">
        <w:rPr>
          <w:rFonts w:cs="Arial"/>
          <w:b/>
          <w:bCs/>
        </w:rPr>
        <w:t>4</w:t>
      </w:r>
      <w:r w:rsidR="00186D70" w:rsidRPr="00D92971">
        <w:rPr>
          <w:rFonts w:cs="Arial"/>
          <w:b/>
          <w:bCs/>
        </w:rPr>
        <w:t> </w:t>
      </w:r>
      <w:r w:rsidR="00186D70">
        <w:rPr>
          <w:rFonts w:cs="Arial"/>
          <w:b/>
          <w:bCs/>
        </w:rPr>
        <w:t>934</w:t>
      </w:r>
      <w:r w:rsidR="00186D70" w:rsidRPr="00D92971">
        <w:rPr>
          <w:rFonts w:cs="Arial"/>
          <w:b/>
          <w:bCs/>
        </w:rPr>
        <w:t xml:space="preserve"> Kč </w:t>
      </w:r>
      <w:r w:rsidR="00186D70" w:rsidRPr="00D92971">
        <w:rPr>
          <w:rFonts w:cs="Arial"/>
          <w:bCs/>
        </w:rPr>
        <w:t>(ve mzdové sféře 2</w:t>
      </w:r>
      <w:r w:rsidR="00186D70">
        <w:rPr>
          <w:rFonts w:cs="Arial"/>
          <w:bCs/>
        </w:rPr>
        <w:t>4</w:t>
      </w:r>
      <w:r w:rsidR="00186D70" w:rsidRPr="00D92971">
        <w:rPr>
          <w:rFonts w:cs="Arial"/>
          <w:bCs/>
        </w:rPr>
        <w:t> </w:t>
      </w:r>
      <w:r w:rsidR="00186D70">
        <w:rPr>
          <w:rFonts w:cs="Arial"/>
          <w:bCs/>
        </w:rPr>
        <w:t>178</w:t>
      </w:r>
      <w:r w:rsidR="00186D70" w:rsidRPr="00D92971">
        <w:rPr>
          <w:rFonts w:cs="Arial"/>
          <w:bCs/>
        </w:rPr>
        <w:t> Kč, v platové sféře 2</w:t>
      </w:r>
      <w:r w:rsidR="00186D70">
        <w:rPr>
          <w:rFonts w:cs="Arial"/>
          <w:bCs/>
        </w:rPr>
        <w:t>7</w:t>
      </w:r>
      <w:r w:rsidR="00186D70" w:rsidRPr="00D92971">
        <w:rPr>
          <w:rFonts w:cs="Arial"/>
          <w:bCs/>
        </w:rPr>
        <w:t> </w:t>
      </w:r>
      <w:r w:rsidR="00186D70">
        <w:rPr>
          <w:rFonts w:cs="Arial"/>
          <w:bCs/>
        </w:rPr>
        <w:t>724</w:t>
      </w:r>
      <w:r w:rsidR="00186D70" w:rsidRPr="00D92971">
        <w:rPr>
          <w:rFonts w:cs="Arial"/>
          <w:bCs/>
        </w:rPr>
        <w:t xml:space="preserve"> Kč) </w:t>
      </w:r>
      <w:r w:rsidR="00186D70" w:rsidRPr="00D92971">
        <w:rPr>
          <w:rFonts w:cs="Arial"/>
          <w:b/>
          <w:bCs/>
        </w:rPr>
        <w:t>a byl</w:t>
      </w:r>
      <w:r w:rsidR="00186D70" w:rsidRPr="00D92971">
        <w:rPr>
          <w:rFonts w:cs="Arial"/>
          <w:bCs/>
        </w:rPr>
        <w:t xml:space="preserve"> </w:t>
      </w:r>
      <w:r w:rsidR="00186D70" w:rsidRPr="00D92971">
        <w:rPr>
          <w:rFonts w:cs="Arial"/>
          <w:b/>
          <w:bCs/>
        </w:rPr>
        <w:t>oproti hodnotě průměrné měsíční mzdy nižší o </w:t>
      </w:r>
      <w:r w:rsidR="00186D70">
        <w:rPr>
          <w:rFonts w:cs="Arial"/>
          <w:b/>
          <w:bCs/>
        </w:rPr>
        <w:t>4</w:t>
      </w:r>
      <w:r w:rsidR="00186D70" w:rsidRPr="00D92971">
        <w:rPr>
          <w:rFonts w:cs="Arial"/>
          <w:b/>
          <w:bCs/>
        </w:rPr>
        <w:t> </w:t>
      </w:r>
      <w:r w:rsidR="00186D70">
        <w:rPr>
          <w:rFonts w:cs="Arial"/>
          <w:b/>
          <w:bCs/>
        </w:rPr>
        <w:t>127</w:t>
      </w:r>
      <w:r w:rsidR="00186D70" w:rsidRPr="00D92971">
        <w:rPr>
          <w:rFonts w:cs="Arial"/>
          <w:b/>
          <w:bCs/>
        </w:rPr>
        <w:t> Kč. V platové sféře představoval tento rozdíl 1 </w:t>
      </w:r>
      <w:r w:rsidR="00186D70">
        <w:rPr>
          <w:rFonts w:cs="Arial"/>
          <w:b/>
          <w:bCs/>
        </w:rPr>
        <w:t>777</w:t>
      </w:r>
      <w:r w:rsidR="00186D70" w:rsidRPr="00D92971">
        <w:rPr>
          <w:rFonts w:cs="Arial"/>
          <w:b/>
          <w:bCs/>
        </w:rPr>
        <w:t> Kč; ve mzdové sféře činilo zaostávání mediánu za průměrnou mzdou 4 </w:t>
      </w:r>
      <w:r w:rsidR="00186D70">
        <w:rPr>
          <w:rFonts w:cs="Arial"/>
          <w:b/>
          <w:bCs/>
        </w:rPr>
        <w:t>791</w:t>
      </w:r>
      <w:r w:rsidR="00186D70" w:rsidRPr="00D92971">
        <w:rPr>
          <w:rFonts w:cs="Arial"/>
          <w:b/>
          <w:bCs/>
        </w:rPr>
        <w:t xml:space="preserve"> Kč. </w:t>
      </w:r>
      <w:r w:rsidR="00186D70" w:rsidRPr="00D92971">
        <w:rPr>
          <w:rFonts w:cs="Arial"/>
          <w:bCs/>
        </w:rPr>
        <w:t>Z toho vyplývá, že výdělky jednotlivých zaměstnanců ve mzdové sféře na rozdíl od sféry platové byly více diferencované. To bylo ovlivněno zejména vysokou absolutní úrovní vyplácených mezd (včetně prémií, mimořádných odměn a bonusů) vrcholovým manažerům a špičkovým specialistům v tomto sektoru.</w:t>
      </w:r>
    </w:p>
    <w:p w:rsidR="00186D70" w:rsidRPr="006222A0" w:rsidRDefault="00186D70" w:rsidP="00186D70">
      <w:pPr>
        <w:spacing w:line="360" w:lineRule="auto"/>
        <w:jc w:val="both"/>
        <w:rPr>
          <w:rFonts w:cs="Arial"/>
          <w:bCs/>
        </w:rPr>
      </w:pPr>
    </w:p>
    <w:p w:rsidR="00186D70" w:rsidRDefault="007C0B49" w:rsidP="007C0B49">
      <w:pPr>
        <w:spacing w:line="360" w:lineRule="auto"/>
        <w:jc w:val="both"/>
        <w:rPr>
          <w:rFonts w:cs="Arial"/>
          <w:bCs/>
        </w:rPr>
      </w:pPr>
      <w:r>
        <w:tab/>
      </w:r>
      <w:r w:rsidR="00186D70" w:rsidRPr="006222A0">
        <w:rPr>
          <w:rFonts w:cs="Arial"/>
          <w:bCs/>
        </w:rPr>
        <w:t xml:space="preserve">Proti </w:t>
      </w:r>
      <w:r w:rsidR="00186D70">
        <w:rPr>
          <w:rFonts w:cs="Arial"/>
          <w:bCs/>
        </w:rPr>
        <w:t xml:space="preserve">výraznějšímu </w:t>
      </w:r>
      <w:r w:rsidR="00186D70" w:rsidRPr="006222A0">
        <w:rPr>
          <w:rFonts w:cs="Arial"/>
          <w:bCs/>
        </w:rPr>
        <w:t xml:space="preserve">posílení mzdové diferenciace působila skutečnost, že průměrné (meziroční) </w:t>
      </w:r>
      <w:r w:rsidR="00186D70" w:rsidRPr="006222A0">
        <w:rPr>
          <w:rFonts w:cs="Arial"/>
          <w:b/>
          <w:bCs/>
        </w:rPr>
        <w:t>tempo růstu výdělků řídících pracovníků a</w:t>
      </w:r>
      <w:r w:rsidR="00186D70">
        <w:rPr>
          <w:rFonts w:cs="Arial"/>
          <w:b/>
          <w:bCs/>
        </w:rPr>
        <w:t xml:space="preserve"> </w:t>
      </w:r>
      <w:r w:rsidR="00186D70" w:rsidRPr="006222A0">
        <w:rPr>
          <w:rFonts w:cs="Arial"/>
          <w:b/>
          <w:bCs/>
        </w:rPr>
        <w:t>manažerů</w:t>
      </w:r>
      <w:r w:rsidR="00186D70" w:rsidRPr="006222A0">
        <w:rPr>
          <w:rFonts w:cs="Arial"/>
          <w:bCs/>
        </w:rPr>
        <w:t xml:space="preserve"> (klasifikace CZ</w:t>
      </w:r>
      <w:r w:rsidR="00186D70" w:rsidRPr="006222A0">
        <w:rPr>
          <w:rFonts w:cs="Arial"/>
          <w:bCs/>
        </w:rPr>
        <w:noBreakHyphen/>
        <w:t xml:space="preserve">ISCO, hlavní třída 1) </w:t>
      </w:r>
      <w:r w:rsidR="00186D70" w:rsidRPr="006222A0">
        <w:rPr>
          <w:rFonts w:cs="Arial"/>
          <w:b/>
          <w:bCs/>
        </w:rPr>
        <w:t xml:space="preserve">bylo nižší než průměrná intenzita nárůstu mezd jimi </w:t>
      </w:r>
      <w:r w:rsidR="00186D70" w:rsidRPr="00625FED">
        <w:rPr>
          <w:rFonts w:cs="Arial"/>
          <w:b/>
          <w:bCs/>
        </w:rPr>
        <w:t>řízených zaměstnanců</w:t>
      </w:r>
      <w:r w:rsidR="00186D70" w:rsidRPr="00625FED">
        <w:rPr>
          <w:rFonts w:cs="Arial"/>
          <w:bCs/>
        </w:rPr>
        <w:t xml:space="preserve"> (o 0,7 p. b.).</w:t>
      </w:r>
    </w:p>
    <w:p w:rsidR="008D4509" w:rsidRPr="00625FED" w:rsidRDefault="008D4509" w:rsidP="007C0B49">
      <w:pPr>
        <w:spacing w:line="360" w:lineRule="auto"/>
        <w:jc w:val="both"/>
        <w:rPr>
          <w:rFonts w:cs="Arial"/>
          <w:bCs/>
        </w:rPr>
      </w:pPr>
    </w:p>
    <w:p w:rsidR="00186D70" w:rsidRPr="00625FED" w:rsidRDefault="007C0B49" w:rsidP="007C0B49">
      <w:pPr>
        <w:spacing w:line="360" w:lineRule="auto"/>
        <w:jc w:val="both"/>
        <w:rPr>
          <w:rFonts w:cs="Arial"/>
        </w:rPr>
      </w:pPr>
      <w:r>
        <w:lastRenderedPageBreak/>
        <w:tab/>
      </w:r>
      <w:r w:rsidR="00186D70" w:rsidRPr="00625FED">
        <w:rPr>
          <w:rFonts w:cs="Arial"/>
          <w:b/>
          <w:bCs/>
        </w:rPr>
        <w:t xml:space="preserve">V rozložení úrovně mezd zaměstnanců došlo k </w:t>
      </w:r>
      <w:r w:rsidR="00186D70" w:rsidRPr="00625FED">
        <w:rPr>
          <w:rFonts w:cs="Arial"/>
          <w:bCs/>
        </w:rPr>
        <w:t>mírnému</w:t>
      </w:r>
      <w:r w:rsidR="00186D70" w:rsidRPr="00625FED">
        <w:rPr>
          <w:rFonts w:cs="Arial"/>
          <w:b/>
          <w:bCs/>
        </w:rPr>
        <w:t xml:space="preserve"> posunu</w:t>
      </w:r>
      <w:r w:rsidR="00186D70" w:rsidRPr="00625FED">
        <w:rPr>
          <w:rFonts w:cs="Arial"/>
        </w:rPr>
        <w:t xml:space="preserve"> </w:t>
      </w:r>
      <w:r w:rsidR="00186D70" w:rsidRPr="00625FED">
        <w:rPr>
          <w:rFonts w:cs="Arial"/>
          <w:b/>
          <w:bCs/>
        </w:rPr>
        <w:t>směrem k vyšším hodnotám</w:t>
      </w:r>
      <w:r w:rsidR="00186D70" w:rsidRPr="00625FED">
        <w:rPr>
          <w:rFonts w:cs="Arial"/>
          <w:bCs/>
        </w:rPr>
        <w:t xml:space="preserve"> (viz frekvenční graf v rámci vybraných výstupů z Informačního systému o průměrném výdělku v příloze). </w:t>
      </w:r>
      <w:r w:rsidR="00186D70" w:rsidRPr="00625FED">
        <w:rPr>
          <w:rFonts w:cs="Arial"/>
          <w:b/>
          <w:bCs/>
        </w:rPr>
        <w:t>V nejčetnějším pásmu 24 – 26 tis. Kč pobíralo mzdu celkem 8,4 % zaměstnanců</w:t>
      </w:r>
      <w:r w:rsidR="00186D70" w:rsidRPr="00625FED">
        <w:rPr>
          <w:rFonts w:cs="Arial"/>
          <w:bCs/>
        </w:rPr>
        <w:t xml:space="preserve"> (ve stejném období roku 2015 to bylo 8</w:t>
      </w:r>
      <w:r w:rsidR="00186D70" w:rsidRPr="00670167">
        <w:rPr>
          <w:rFonts w:cs="Arial"/>
          <w:bCs/>
        </w:rPr>
        <w:t>,2 %)</w:t>
      </w:r>
      <w:r w:rsidR="00186D70" w:rsidRPr="00670167">
        <w:rPr>
          <w:rFonts w:cs="Arial"/>
        </w:rPr>
        <w:t xml:space="preserve">. </w:t>
      </w:r>
      <w:r w:rsidR="00186D70" w:rsidRPr="00670167">
        <w:rPr>
          <w:rFonts w:cs="Arial"/>
          <w:b/>
          <w:bCs/>
        </w:rPr>
        <w:t>Výdělek nepřekračující 11 000 Kč</w:t>
      </w:r>
      <w:r w:rsidR="00186D70" w:rsidRPr="00670167">
        <w:rPr>
          <w:rFonts w:cs="Arial"/>
          <w:bCs/>
        </w:rPr>
        <w:t xml:space="preserve"> </w:t>
      </w:r>
      <w:r w:rsidR="00186D70" w:rsidRPr="00670167">
        <w:rPr>
          <w:rFonts w:cs="Arial"/>
          <w:b/>
          <w:bCs/>
        </w:rPr>
        <w:t>mělo</w:t>
      </w:r>
      <w:r w:rsidR="00186D70" w:rsidRPr="00670167">
        <w:rPr>
          <w:rFonts w:cs="Arial"/>
        </w:rPr>
        <w:t xml:space="preserve"> jen </w:t>
      </w:r>
      <w:r w:rsidR="00186D70" w:rsidRPr="00670167">
        <w:rPr>
          <w:rFonts w:cs="Arial"/>
          <w:b/>
          <w:bCs/>
        </w:rPr>
        <w:t>4,3 % zaměstnanců</w:t>
      </w:r>
      <w:r w:rsidR="00186D70" w:rsidRPr="00D47478">
        <w:rPr>
          <w:rFonts w:cs="Arial"/>
          <w:bCs/>
        </w:rPr>
        <w:t xml:space="preserve"> (ve stejném období roku 2015 to bylo </w:t>
      </w:r>
      <w:r w:rsidR="00186D70" w:rsidRPr="0063794F">
        <w:rPr>
          <w:rFonts w:cs="Arial"/>
          <w:bCs/>
        </w:rPr>
        <w:t>přibližně 6,0 %)</w:t>
      </w:r>
      <w:r w:rsidR="00186D70" w:rsidRPr="0063794F">
        <w:rPr>
          <w:rFonts w:cs="Arial"/>
        </w:rPr>
        <w:t xml:space="preserve"> </w:t>
      </w:r>
      <w:r w:rsidR="00186D70" w:rsidRPr="00670167">
        <w:rPr>
          <w:rFonts w:cs="Arial"/>
        </w:rPr>
        <w:t xml:space="preserve">– ovšem např. v odvětvích „ubytování, stravování a pohostinství“ 26,2 %, „administrativní a podpůrné činnosti“ 13,2 % a „činnosti v oblasti nemovitostí“ 11,7 % zaměstnanců. </w:t>
      </w:r>
      <w:r w:rsidR="00186D70" w:rsidRPr="00625FED">
        <w:rPr>
          <w:rFonts w:cs="Arial"/>
          <w:b/>
          <w:bCs/>
        </w:rPr>
        <w:t>Mzda převyšující 50 000 Kč byla vyplacena 7,</w:t>
      </w:r>
      <w:r w:rsidR="00186D70">
        <w:rPr>
          <w:rFonts w:cs="Arial"/>
          <w:b/>
          <w:bCs/>
        </w:rPr>
        <w:t>8</w:t>
      </w:r>
      <w:r w:rsidR="00186D70" w:rsidRPr="00625FED">
        <w:rPr>
          <w:rFonts w:cs="Arial"/>
          <w:b/>
          <w:bCs/>
        </w:rPr>
        <w:t> % zaměstnanců</w:t>
      </w:r>
      <w:r w:rsidR="00186D70" w:rsidRPr="00625FED">
        <w:rPr>
          <w:rFonts w:cs="Arial"/>
          <w:bCs/>
        </w:rPr>
        <w:t xml:space="preserve"> (ve stejném období roku 201</w:t>
      </w:r>
      <w:r w:rsidR="00186D70">
        <w:rPr>
          <w:rFonts w:cs="Arial"/>
          <w:bCs/>
        </w:rPr>
        <w:t>5</w:t>
      </w:r>
      <w:r w:rsidR="00186D70" w:rsidRPr="00625FED">
        <w:rPr>
          <w:rFonts w:cs="Arial"/>
          <w:bCs/>
        </w:rPr>
        <w:t xml:space="preserve"> to</w:t>
      </w:r>
      <w:r w:rsidR="00966F55">
        <w:rPr>
          <w:rFonts w:cs="Arial"/>
          <w:bCs/>
        </w:rPr>
        <w:t> </w:t>
      </w:r>
      <w:r w:rsidR="00186D70" w:rsidRPr="00625FED">
        <w:rPr>
          <w:rFonts w:cs="Arial"/>
          <w:bCs/>
        </w:rPr>
        <w:t xml:space="preserve">bylo </w:t>
      </w:r>
      <w:r w:rsidR="00186D70">
        <w:rPr>
          <w:rFonts w:cs="Arial"/>
          <w:bCs/>
        </w:rPr>
        <w:t>7</w:t>
      </w:r>
      <w:r w:rsidR="00186D70" w:rsidRPr="00625FED">
        <w:rPr>
          <w:rFonts w:cs="Arial"/>
          <w:bCs/>
        </w:rPr>
        <w:t>,</w:t>
      </w:r>
      <w:r w:rsidR="00186D70">
        <w:rPr>
          <w:rFonts w:cs="Arial"/>
          <w:bCs/>
        </w:rPr>
        <w:t>0</w:t>
      </w:r>
      <w:r w:rsidR="00186D70" w:rsidRPr="00625FED">
        <w:rPr>
          <w:rFonts w:cs="Arial"/>
          <w:bCs/>
        </w:rPr>
        <w:t xml:space="preserve"> %) </w:t>
      </w:r>
      <w:r w:rsidR="00186D70" w:rsidRPr="00625FED">
        <w:rPr>
          <w:rFonts w:cs="Arial"/>
        </w:rPr>
        <w:t xml:space="preserve">– v odvětvích v „IT a informační činnosti“ ji však obdrželo </w:t>
      </w:r>
      <w:r w:rsidR="00186D70">
        <w:rPr>
          <w:rFonts w:cs="Arial"/>
        </w:rPr>
        <w:t>40</w:t>
      </w:r>
      <w:r w:rsidR="00186D70" w:rsidRPr="00625FED">
        <w:rPr>
          <w:rFonts w:cs="Arial"/>
        </w:rPr>
        <w:t>,</w:t>
      </w:r>
      <w:r w:rsidR="00186D70">
        <w:rPr>
          <w:rFonts w:cs="Arial"/>
        </w:rPr>
        <w:t>7</w:t>
      </w:r>
      <w:r w:rsidR="00186D70" w:rsidRPr="00625FED">
        <w:rPr>
          <w:rFonts w:cs="Arial"/>
        </w:rPr>
        <w:t> %, „telekomunikační činnosti“ 3</w:t>
      </w:r>
      <w:r w:rsidR="00186D70">
        <w:rPr>
          <w:rFonts w:cs="Arial"/>
        </w:rPr>
        <w:t>9</w:t>
      </w:r>
      <w:r w:rsidR="00186D70" w:rsidRPr="00625FED">
        <w:rPr>
          <w:rFonts w:cs="Arial"/>
        </w:rPr>
        <w:t>,</w:t>
      </w:r>
      <w:r w:rsidR="00186D70">
        <w:rPr>
          <w:rFonts w:cs="Arial"/>
        </w:rPr>
        <w:t>5</w:t>
      </w:r>
      <w:r w:rsidR="00186D70" w:rsidRPr="00625FED">
        <w:rPr>
          <w:rFonts w:cs="Arial"/>
        </w:rPr>
        <w:t> % a v „peněžnictví a pojišťovnictví“ 3</w:t>
      </w:r>
      <w:r w:rsidR="00186D70">
        <w:rPr>
          <w:rFonts w:cs="Arial"/>
        </w:rPr>
        <w:t>3</w:t>
      </w:r>
      <w:r w:rsidR="00186D70" w:rsidRPr="00625FED">
        <w:rPr>
          <w:rFonts w:cs="Arial"/>
        </w:rPr>
        <w:t>,</w:t>
      </w:r>
      <w:r w:rsidR="00186D70">
        <w:rPr>
          <w:rFonts w:cs="Arial"/>
        </w:rPr>
        <w:t>2</w:t>
      </w:r>
      <w:r w:rsidR="00186D70" w:rsidRPr="00625FED">
        <w:rPr>
          <w:rFonts w:cs="Arial"/>
        </w:rPr>
        <w:t> % zaměstnanců.</w:t>
      </w:r>
    </w:p>
    <w:p w:rsidR="00186D70" w:rsidRPr="00E56A4E" w:rsidRDefault="00186D70" w:rsidP="00186D70">
      <w:pPr>
        <w:spacing w:line="360" w:lineRule="auto"/>
        <w:jc w:val="both"/>
        <w:rPr>
          <w:rFonts w:cs="Arial"/>
        </w:rPr>
      </w:pPr>
    </w:p>
    <w:p w:rsidR="00186D70" w:rsidRPr="00D92971" w:rsidRDefault="007C0B49" w:rsidP="007C0B49">
      <w:pPr>
        <w:spacing w:line="360" w:lineRule="auto"/>
        <w:jc w:val="both"/>
        <w:rPr>
          <w:rFonts w:cs="Arial"/>
        </w:rPr>
      </w:pPr>
      <w:r>
        <w:tab/>
      </w:r>
      <w:r w:rsidR="00186D70" w:rsidRPr="00D92971">
        <w:rPr>
          <w:rFonts w:cs="Arial"/>
        </w:rPr>
        <w:t>K nadprůměrně odměňovaným profesím v roce 201</w:t>
      </w:r>
      <w:r w:rsidR="00186D70">
        <w:rPr>
          <w:rFonts w:cs="Arial"/>
        </w:rPr>
        <w:t>6</w:t>
      </w:r>
      <w:r w:rsidR="00186D70" w:rsidRPr="00D92971">
        <w:rPr>
          <w:rFonts w:cs="Arial"/>
        </w:rPr>
        <w:t xml:space="preserve"> patřili např. „nejvyšší představitelé společností“ (s průměrnou mzdou </w:t>
      </w:r>
      <w:r w:rsidR="00186D70">
        <w:rPr>
          <w:rFonts w:cs="Arial"/>
        </w:rPr>
        <w:t>101</w:t>
      </w:r>
      <w:r w:rsidR="00186D70" w:rsidRPr="00D92971">
        <w:rPr>
          <w:rFonts w:cs="Arial"/>
        </w:rPr>
        <w:t> </w:t>
      </w:r>
      <w:r w:rsidR="00186D70">
        <w:rPr>
          <w:rFonts w:cs="Arial"/>
        </w:rPr>
        <w:t>225</w:t>
      </w:r>
      <w:r w:rsidR="00186D70" w:rsidRPr="00D92971">
        <w:rPr>
          <w:rFonts w:cs="Arial"/>
        </w:rPr>
        <w:t> Kč), „lékař</w:t>
      </w:r>
      <w:r w:rsidR="00186D70">
        <w:rPr>
          <w:rFonts w:cs="Arial"/>
        </w:rPr>
        <w:t>i</w:t>
      </w:r>
      <w:r w:rsidR="00186D70" w:rsidRPr="00D92971">
        <w:rPr>
          <w:rFonts w:cs="Arial"/>
        </w:rPr>
        <w:t xml:space="preserve"> specialisté“ (5</w:t>
      </w:r>
      <w:r w:rsidR="00186D70">
        <w:rPr>
          <w:rFonts w:cs="Arial"/>
        </w:rPr>
        <w:t>9</w:t>
      </w:r>
      <w:r w:rsidR="00186D70" w:rsidRPr="00D92971">
        <w:rPr>
          <w:rFonts w:cs="Arial"/>
        </w:rPr>
        <w:t> </w:t>
      </w:r>
      <w:r w:rsidR="00186D70">
        <w:rPr>
          <w:rFonts w:cs="Arial"/>
        </w:rPr>
        <w:t>106</w:t>
      </w:r>
      <w:r w:rsidR="00186D70" w:rsidRPr="00D92971">
        <w:rPr>
          <w:rFonts w:cs="Arial"/>
        </w:rPr>
        <w:t xml:space="preserve"> Kč), </w:t>
      </w:r>
      <w:r w:rsidR="00186D70">
        <w:rPr>
          <w:rFonts w:cs="Arial"/>
        </w:rPr>
        <w:t>„strojní inženýři“ (45</w:t>
      </w:r>
      <w:r w:rsidR="00186D70" w:rsidRPr="00D92971">
        <w:rPr>
          <w:rFonts w:cs="Arial"/>
        </w:rPr>
        <w:t> </w:t>
      </w:r>
      <w:r w:rsidR="00186D70">
        <w:rPr>
          <w:rFonts w:cs="Arial"/>
        </w:rPr>
        <w:t>937</w:t>
      </w:r>
      <w:r w:rsidR="00186D70" w:rsidRPr="00D92971">
        <w:rPr>
          <w:rFonts w:cs="Arial"/>
        </w:rPr>
        <w:t xml:space="preserve"> Kč) </w:t>
      </w:r>
      <w:r w:rsidR="00186D70">
        <w:rPr>
          <w:rFonts w:cs="Arial"/>
        </w:rPr>
        <w:t xml:space="preserve">nebo </w:t>
      </w:r>
      <w:r w:rsidR="00186D70" w:rsidRPr="00D92971">
        <w:rPr>
          <w:rFonts w:cs="Arial"/>
        </w:rPr>
        <w:t>„učitelé na VŠ a VOŠ“ (4</w:t>
      </w:r>
      <w:r w:rsidR="00186D70">
        <w:rPr>
          <w:rFonts w:cs="Arial"/>
        </w:rPr>
        <w:t>4</w:t>
      </w:r>
      <w:r w:rsidR="00186D70" w:rsidRPr="00D92971">
        <w:rPr>
          <w:rFonts w:cs="Arial"/>
        </w:rPr>
        <w:t> </w:t>
      </w:r>
      <w:r w:rsidR="00186D70">
        <w:rPr>
          <w:rFonts w:cs="Arial"/>
        </w:rPr>
        <w:t>280</w:t>
      </w:r>
      <w:r w:rsidR="00186D70" w:rsidRPr="00D92971">
        <w:rPr>
          <w:rFonts w:cs="Arial"/>
        </w:rPr>
        <w:t> Kč). K nejhůře placeným profesím patřili zejména „švadleny, šičky, vyšívači a pracovníci v příbuzných oborech“ (1</w:t>
      </w:r>
      <w:r w:rsidR="00186D70">
        <w:rPr>
          <w:rFonts w:cs="Arial"/>
        </w:rPr>
        <w:t>4</w:t>
      </w:r>
      <w:r w:rsidR="00186D70" w:rsidRPr="00D92971">
        <w:rPr>
          <w:rFonts w:cs="Arial"/>
        </w:rPr>
        <w:t> </w:t>
      </w:r>
      <w:r w:rsidR="00186D70">
        <w:rPr>
          <w:rFonts w:cs="Arial"/>
        </w:rPr>
        <w:t>935</w:t>
      </w:r>
      <w:r w:rsidR="00186D70" w:rsidRPr="00D92971">
        <w:rPr>
          <w:rFonts w:cs="Arial"/>
        </w:rPr>
        <w:t> Kč), „pracovníci ostrahy a bezpečnostních agentur“ (1</w:t>
      </w:r>
      <w:r w:rsidR="00186D70">
        <w:rPr>
          <w:rFonts w:cs="Arial"/>
        </w:rPr>
        <w:t>4</w:t>
      </w:r>
      <w:r w:rsidR="00186D70" w:rsidRPr="00D92971">
        <w:rPr>
          <w:rFonts w:cs="Arial"/>
        </w:rPr>
        <w:t> </w:t>
      </w:r>
      <w:r w:rsidR="00186D70">
        <w:rPr>
          <w:rFonts w:cs="Arial"/>
        </w:rPr>
        <w:t>627</w:t>
      </w:r>
      <w:r w:rsidR="00186D70" w:rsidRPr="00D92971">
        <w:rPr>
          <w:rFonts w:cs="Arial"/>
        </w:rPr>
        <w:t> Kč) nebo „uklízeči a pomocníci v hotelích, administrativních, průmyslových a jiných objektech“ (1</w:t>
      </w:r>
      <w:r w:rsidR="00186D70">
        <w:rPr>
          <w:rFonts w:cs="Arial"/>
        </w:rPr>
        <w:t>3</w:t>
      </w:r>
      <w:r w:rsidR="00186D70" w:rsidRPr="00D92971">
        <w:rPr>
          <w:rFonts w:cs="Arial"/>
        </w:rPr>
        <w:t> </w:t>
      </w:r>
      <w:r w:rsidR="00186D70">
        <w:rPr>
          <w:rFonts w:cs="Arial"/>
        </w:rPr>
        <w:t>674</w:t>
      </w:r>
      <w:r w:rsidR="00186D70" w:rsidRPr="00D92971">
        <w:rPr>
          <w:rFonts w:cs="Arial"/>
        </w:rPr>
        <w:t> Kč).</w:t>
      </w:r>
    </w:p>
    <w:p w:rsidR="00186D70" w:rsidRPr="00D92971" w:rsidRDefault="00186D70" w:rsidP="00186D70">
      <w:pPr>
        <w:spacing w:line="360" w:lineRule="auto"/>
        <w:jc w:val="both"/>
        <w:rPr>
          <w:rFonts w:cs="Arial"/>
        </w:rPr>
      </w:pPr>
    </w:p>
    <w:p w:rsidR="00186D70" w:rsidRPr="00D92971" w:rsidRDefault="007C0B49" w:rsidP="007C0B49">
      <w:pPr>
        <w:spacing w:line="360" w:lineRule="auto"/>
        <w:jc w:val="both"/>
        <w:rPr>
          <w:rFonts w:cs="Arial"/>
        </w:rPr>
      </w:pPr>
      <w:r>
        <w:tab/>
      </w:r>
      <w:r w:rsidR="00186D70" w:rsidRPr="00D92971">
        <w:rPr>
          <w:rFonts w:cs="Arial"/>
          <w:b/>
        </w:rPr>
        <w:t>Čím vyššího vzdělání zaměstnanec dosáhl, tím vyšší měl zpravidla průměrnou mzdu.</w:t>
      </w:r>
      <w:r w:rsidR="00186D70" w:rsidRPr="00D92971">
        <w:rPr>
          <w:rFonts w:cs="Arial"/>
        </w:rPr>
        <w:t xml:space="preserve"> Např. zatímco zaměstnanec s maturitou pobíral v průměru mzdu (2</w:t>
      </w:r>
      <w:r w:rsidR="00186D70">
        <w:rPr>
          <w:rFonts w:cs="Arial"/>
        </w:rPr>
        <w:t>8</w:t>
      </w:r>
      <w:r w:rsidR="00186D70" w:rsidRPr="00D92971">
        <w:rPr>
          <w:rFonts w:cs="Arial"/>
        </w:rPr>
        <w:t> </w:t>
      </w:r>
      <w:r w:rsidR="00186D70">
        <w:rPr>
          <w:rFonts w:cs="Arial"/>
        </w:rPr>
        <w:t>447</w:t>
      </w:r>
      <w:r w:rsidR="00186D70" w:rsidRPr="00D92971">
        <w:rPr>
          <w:rFonts w:cs="Arial"/>
        </w:rPr>
        <w:t xml:space="preserve"> Kč) přibližně ve výši průměrné mzdy, vysokoškolsky vzdělaný zaměstnanec měl ve sledovaném období průměrnou mzdu </w:t>
      </w:r>
      <w:r w:rsidR="00186D70">
        <w:rPr>
          <w:rFonts w:cs="Arial"/>
        </w:rPr>
        <w:t>cca</w:t>
      </w:r>
      <w:r w:rsidR="00186D70" w:rsidRPr="00D92971">
        <w:rPr>
          <w:rFonts w:cs="Arial"/>
        </w:rPr>
        <w:t xml:space="preserve"> 1,</w:t>
      </w:r>
      <w:r w:rsidR="00186D70">
        <w:rPr>
          <w:rFonts w:cs="Arial"/>
        </w:rPr>
        <w:t>5</w:t>
      </w:r>
      <w:r w:rsidR="00186D70" w:rsidRPr="00D92971">
        <w:rPr>
          <w:rFonts w:cs="Arial"/>
        </w:rPr>
        <w:t xml:space="preserve"> krát vyšší (její úroveň dosáhla 4</w:t>
      </w:r>
      <w:r w:rsidR="00186D70">
        <w:rPr>
          <w:rFonts w:cs="Arial"/>
        </w:rPr>
        <w:t>4</w:t>
      </w:r>
      <w:r w:rsidR="00186D70" w:rsidRPr="00D92971">
        <w:rPr>
          <w:rFonts w:cs="Arial"/>
        </w:rPr>
        <w:t> </w:t>
      </w:r>
      <w:r w:rsidR="00186D70">
        <w:rPr>
          <w:rFonts w:cs="Arial"/>
        </w:rPr>
        <w:t>422</w:t>
      </w:r>
      <w:r w:rsidR="00186D70" w:rsidRPr="00D92971">
        <w:rPr>
          <w:rFonts w:cs="Arial"/>
        </w:rPr>
        <w:t xml:space="preserve"> Kč). </w:t>
      </w:r>
      <w:r w:rsidR="00186D70" w:rsidRPr="00D92971">
        <w:rPr>
          <w:rFonts w:cs="Arial"/>
          <w:b/>
        </w:rPr>
        <w:t>Z hlediska věku patřili k nejlépe placeným</w:t>
      </w:r>
      <w:r w:rsidR="00186D70" w:rsidRPr="00D92971">
        <w:rPr>
          <w:rFonts w:cs="Arial"/>
        </w:rPr>
        <w:t xml:space="preserve"> </w:t>
      </w:r>
      <w:r w:rsidR="00186D70" w:rsidRPr="00D92971">
        <w:rPr>
          <w:rFonts w:cs="Arial"/>
          <w:b/>
        </w:rPr>
        <w:t>zaměstnanci ve věku 30 </w:t>
      </w:r>
      <w:r w:rsidR="00186D70" w:rsidRPr="00D92971">
        <w:rPr>
          <w:rFonts w:cs="Arial"/>
          <w:b/>
        </w:rPr>
        <w:noBreakHyphen/>
        <w:t> 49 let,</w:t>
      </w:r>
      <w:r w:rsidR="00186D70" w:rsidRPr="00D92971">
        <w:rPr>
          <w:rFonts w:cs="Arial"/>
        </w:rPr>
        <w:t xml:space="preserve"> a to ve všech hlavních vzdělanostních kategoriích. Největší rozdíly byly zaznamenány u zaměstnanců s vysokoškolským vzděláním. Průměrná mzda těchto zaměstnanců ve věku do 29 let činila </w:t>
      </w:r>
      <w:r w:rsidR="00186D70">
        <w:rPr>
          <w:rFonts w:cs="Arial"/>
        </w:rPr>
        <w:t>30</w:t>
      </w:r>
      <w:r w:rsidR="00186D70" w:rsidRPr="00D92971">
        <w:rPr>
          <w:rFonts w:cs="Arial"/>
        </w:rPr>
        <w:t> </w:t>
      </w:r>
      <w:r w:rsidR="00186D70">
        <w:rPr>
          <w:rFonts w:cs="Arial"/>
        </w:rPr>
        <w:t>781</w:t>
      </w:r>
      <w:r w:rsidR="00186D70" w:rsidRPr="00D92971">
        <w:rPr>
          <w:rFonts w:cs="Arial"/>
        </w:rPr>
        <w:t> Kč (1,3 násobek průměru dané věkové kategorie), ve věku od 30 do 49 let dosáhla 4</w:t>
      </w:r>
      <w:r w:rsidR="00186D70">
        <w:rPr>
          <w:rFonts w:cs="Arial"/>
        </w:rPr>
        <w:t>7</w:t>
      </w:r>
      <w:r w:rsidR="00186D70" w:rsidRPr="00D92971">
        <w:rPr>
          <w:rFonts w:cs="Arial"/>
        </w:rPr>
        <w:t> </w:t>
      </w:r>
      <w:r w:rsidR="00186D70">
        <w:rPr>
          <w:rFonts w:cs="Arial"/>
        </w:rPr>
        <w:t>339</w:t>
      </w:r>
      <w:r w:rsidR="00186D70" w:rsidRPr="00D92971">
        <w:rPr>
          <w:rFonts w:cs="Arial"/>
        </w:rPr>
        <w:t> Kč (1,6 násobek) a ve věku nad 50 let dosáhla úrovně 4</w:t>
      </w:r>
      <w:r w:rsidR="00186D70">
        <w:rPr>
          <w:rFonts w:cs="Arial"/>
        </w:rPr>
        <w:t>5</w:t>
      </w:r>
      <w:r w:rsidR="00186D70" w:rsidRPr="00D92971">
        <w:rPr>
          <w:rFonts w:cs="Arial"/>
        </w:rPr>
        <w:t> </w:t>
      </w:r>
      <w:r w:rsidR="00186D70">
        <w:rPr>
          <w:rFonts w:cs="Arial"/>
        </w:rPr>
        <w:t>987</w:t>
      </w:r>
      <w:r w:rsidR="00186D70" w:rsidRPr="00D92971">
        <w:rPr>
          <w:rFonts w:cs="Arial"/>
        </w:rPr>
        <w:t> Kč (1,</w:t>
      </w:r>
      <w:r w:rsidR="00186D70">
        <w:rPr>
          <w:rFonts w:cs="Arial"/>
        </w:rPr>
        <w:t>6</w:t>
      </w:r>
      <w:r w:rsidR="00186D70" w:rsidRPr="00D92971">
        <w:rPr>
          <w:rFonts w:cs="Arial"/>
        </w:rPr>
        <w:t> násobek).</w:t>
      </w:r>
    </w:p>
    <w:p w:rsidR="00186D70" w:rsidRDefault="00186D70" w:rsidP="00186D70">
      <w:pPr>
        <w:spacing w:line="360" w:lineRule="auto"/>
        <w:jc w:val="both"/>
        <w:rPr>
          <w:rFonts w:cs="Arial"/>
        </w:rPr>
      </w:pPr>
    </w:p>
    <w:p w:rsidR="00186D70" w:rsidRDefault="00186D70" w:rsidP="00186D70">
      <w:pPr>
        <w:spacing w:line="360" w:lineRule="auto"/>
        <w:jc w:val="both"/>
        <w:rPr>
          <w:rFonts w:cs="Arial"/>
        </w:rPr>
      </w:pPr>
    </w:p>
    <w:p w:rsidR="00186D70" w:rsidRPr="00D92971" w:rsidRDefault="00186D70" w:rsidP="00186D70">
      <w:pPr>
        <w:spacing w:line="360" w:lineRule="auto"/>
        <w:jc w:val="both"/>
        <w:rPr>
          <w:rFonts w:cs="Arial"/>
        </w:rPr>
      </w:pPr>
    </w:p>
    <w:p w:rsidR="00186D70" w:rsidRPr="00D92971" w:rsidRDefault="007C0B49" w:rsidP="007C0B49">
      <w:pPr>
        <w:spacing w:line="360" w:lineRule="auto"/>
        <w:jc w:val="both"/>
        <w:rPr>
          <w:rFonts w:cs="Arial"/>
        </w:rPr>
      </w:pPr>
      <w:r>
        <w:lastRenderedPageBreak/>
        <w:tab/>
      </w:r>
      <w:r w:rsidR="00186D70" w:rsidRPr="00D92971">
        <w:rPr>
          <w:rFonts w:cs="Arial"/>
        </w:rPr>
        <w:t xml:space="preserve">Statistika výdělků z ISPV poskytuje i zajímavý </w:t>
      </w:r>
      <w:r w:rsidR="00186D70" w:rsidRPr="00D92971">
        <w:rPr>
          <w:rFonts w:cs="Arial"/>
          <w:b/>
        </w:rPr>
        <w:t>přehled o mzdách zaměstnanců v České republice podle jejich státního občanství</w:t>
      </w:r>
      <w:r w:rsidR="00966F55">
        <w:rPr>
          <w:rFonts w:cs="Arial"/>
          <w:b/>
        </w:rPr>
        <w:t>.</w:t>
      </w:r>
      <w:r w:rsidR="00186D70" w:rsidRPr="00D92971">
        <w:rPr>
          <w:rFonts w:cs="Arial"/>
        </w:rPr>
        <w:t xml:space="preserve"> Absolutně </w:t>
      </w:r>
      <w:r w:rsidR="00186D70" w:rsidRPr="00D92971">
        <w:rPr>
          <w:rFonts w:cs="Arial"/>
          <w:b/>
        </w:rPr>
        <w:t xml:space="preserve">nejvyšší průměrné mzdy </w:t>
      </w:r>
      <w:r w:rsidR="00186D70">
        <w:rPr>
          <w:rFonts w:cs="Arial"/>
          <w:b/>
        </w:rPr>
        <w:t>99</w:t>
      </w:r>
      <w:r w:rsidR="00186D70" w:rsidRPr="00D92971">
        <w:rPr>
          <w:rFonts w:cs="Arial"/>
          <w:b/>
        </w:rPr>
        <w:t> </w:t>
      </w:r>
      <w:r w:rsidR="00186D70">
        <w:rPr>
          <w:rFonts w:cs="Arial"/>
          <w:b/>
        </w:rPr>
        <w:t>883</w:t>
      </w:r>
      <w:r w:rsidR="00186D70" w:rsidRPr="00D92971">
        <w:rPr>
          <w:rFonts w:cs="Arial"/>
          <w:b/>
        </w:rPr>
        <w:t> Kč</w:t>
      </w:r>
      <w:r w:rsidR="00186D70" w:rsidRPr="00D92971">
        <w:rPr>
          <w:rFonts w:cs="Arial"/>
        </w:rPr>
        <w:t xml:space="preserve"> v roce 201</w:t>
      </w:r>
      <w:r w:rsidR="00186D70">
        <w:rPr>
          <w:rFonts w:cs="Arial"/>
        </w:rPr>
        <w:t>6</w:t>
      </w:r>
      <w:r w:rsidR="00186D70" w:rsidRPr="00D92971">
        <w:rPr>
          <w:rFonts w:cs="Arial"/>
        </w:rPr>
        <w:t xml:space="preserve"> v ČR </w:t>
      </w:r>
      <w:r w:rsidR="00186D70" w:rsidRPr="00D92971">
        <w:rPr>
          <w:rFonts w:cs="Arial"/>
          <w:b/>
        </w:rPr>
        <w:t>dosáhli zaměstnanci s německým státním občanstvím</w:t>
      </w:r>
      <w:r w:rsidR="00186D70" w:rsidRPr="00014FA7">
        <w:rPr>
          <w:rFonts w:cs="Arial"/>
          <w:b/>
        </w:rPr>
        <w:t>.</w:t>
      </w:r>
      <w:r w:rsidR="00186D70" w:rsidRPr="00D92971">
        <w:rPr>
          <w:rFonts w:cs="Arial"/>
        </w:rPr>
        <w:t xml:space="preserve"> </w:t>
      </w:r>
      <w:r w:rsidR="00186D70" w:rsidRPr="00B42692">
        <w:rPr>
          <w:rFonts w:cs="Arial"/>
          <w:b/>
        </w:rPr>
        <w:t xml:space="preserve">Druhou nejlépe placenou skupinou </w:t>
      </w:r>
      <w:r w:rsidR="00186D70">
        <w:rPr>
          <w:rFonts w:cs="Arial"/>
          <w:b/>
        </w:rPr>
        <w:t>zaměstnanců s průměrnou mzdou 34</w:t>
      </w:r>
      <w:r w:rsidR="00186D70" w:rsidRPr="00B42692">
        <w:rPr>
          <w:rFonts w:cs="Arial"/>
          <w:b/>
        </w:rPr>
        <w:t> </w:t>
      </w:r>
      <w:r w:rsidR="00186D70">
        <w:rPr>
          <w:rFonts w:cs="Arial"/>
          <w:b/>
        </w:rPr>
        <w:t>930</w:t>
      </w:r>
      <w:r w:rsidR="00186D70" w:rsidRPr="00B42692">
        <w:rPr>
          <w:rFonts w:cs="Arial"/>
          <w:b/>
        </w:rPr>
        <w:t> Kč</w:t>
      </w:r>
      <w:r w:rsidR="00966F55">
        <w:rPr>
          <w:rFonts w:cs="Arial"/>
          <w:b/>
        </w:rPr>
        <w:t>,</w:t>
      </w:r>
      <w:r w:rsidR="00186D70" w:rsidRPr="00B42692">
        <w:rPr>
          <w:rFonts w:cs="Arial"/>
        </w:rPr>
        <w:t xml:space="preserve"> avšak téměř </w:t>
      </w:r>
      <w:r w:rsidR="00186D70">
        <w:rPr>
          <w:rFonts w:cs="Arial"/>
        </w:rPr>
        <w:t>2</w:t>
      </w:r>
      <w:r w:rsidR="00186D70" w:rsidRPr="00B42692">
        <w:rPr>
          <w:rFonts w:cs="Arial"/>
        </w:rPr>
        <w:t>,</w:t>
      </w:r>
      <w:r w:rsidR="00186D70">
        <w:rPr>
          <w:rFonts w:cs="Arial"/>
        </w:rPr>
        <w:t>9</w:t>
      </w:r>
      <w:r w:rsidR="00186D70" w:rsidRPr="00B42692">
        <w:rPr>
          <w:rFonts w:cs="Arial"/>
        </w:rPr>
        <w:t>krát nižší průměrnou mzdou než nejlépe placení Němci, se stali pracovníci z</w:t>
      </w:r>
      <w:r w:rsidR="00186D70">
        <w:rPr>
          <w:rFonts w:cs="Arial"/>
        </w:rPr>
        <w:t>e</w:t>
      </w:r>
      <w:r w:rsidR="00186D70" w:rsidRPr="00B42692">
        <w:rPr>
          <w:rFonts w:cs="Arial"/>
        </w:rPr>
        <w:t> </w:t>
      </w:r>
      <w:r w:rsidR="00186D70">
        <w:rPr>
          <w:rFonts w:cs="Arial"/>
          <w:b/>
        </w:rPr>
        <w:t>Slovenska</w:t>
      </w:r>
      <w:r w:rsidR="00186D70" w:rsidRPr="00B42692">
        <w:rPr>
          <w:rFonts w:cs="Arial"/>
          <w:b/>
        </w:rPr>
        <w:t>.</w:t>
      </w:r>
      <w:r w:rsidR="00186D70" w:rsidRPr="00B42692">
        <w:rPr>
          <w:rFonts w:cs="Arial"/>
        </w:rPr>
        <w:t xml:space="preserve"> Více než tuzemští zaměstnanci si vydělali ještě občané R</w:t>
      </w:r>
      <w:r w:rsidR="00186D70">
        <w:rPr>
          <w:rFonts w:cs="Arial"/>
        </w:rPr>
        <w:t xml:space="preserve">uské federace </w:t>
      </w:r>
      <w:r w:rsidR="00186D70" w:rsidRPr="00B42692">
        <w:rPr>
          <w:rFonts w:cs="Arial"/>
        </w:rPr>
        <w:t>(3</w:t>
      </w:r>
      <w:r w:rsidR="00186D70">
        <w:rPr>
          <w:rFonts w:cs="Arial"/>
        </w:rPr>
        <w:t>4</w:t>
      </w:r>
      <w:r w:rsidR="00186D70" w:rsidRPr="00B42692">
        <w:rPr>
          <w:rFonts w:cs="Arial"/>
        </w:rPr>
        <w:t> </w:t>
      </w:r>
      <w:r w:rsidR="00186D70">
        <w:rPr>
          <w:rFonts w:cs="Arial"/>
        </w:rPr>
        <w:t>855</w:t>
      </w:r>
      <w:r w:rsidR="00186D70" w:rsidRPr="00B42692">
        <w:rPr>
          <w:rFonts w:cs="Arial"/>
        </w:rPr>
        <w:t> Kč) a</w:t>
      </w:r>
      <w:r w:rsidR="00186D70">
        <w:rPr>
          <w:rFonts w:cs="Arial"/>
        </w:rPr>
        <w:t> Rumunska</w:t>
      </w:r>
      <w:r w:rsidR="00186D70" w:rsidRPr="00B42692">
        <w:rPr>
          <w:rFonts w:cs="Arial"/>
        </w:rPr>
        <w:t xml:space="preserve"> (</w:t>
      </w:r>
      <w:r w:rsidR="00186D70">
        <w:rPr>
          <w:rFonts w:cs="Arial"/>
        </w:rPr>
        <w:t>34</w:t>
      </w:r>
      <w:r w:rsidR="00186D70" w:rsidRPr="00B42692">
        <w:rPr>
          <w:rFonts w:cs="Arial"/>
        </w:rPr>
        <w:t> </w:t>
      </w:r>
      <w:r w:rsidR="00186D70">
        <w:rPr>
          <w:rFonts w:cs="Arial"/>
        </w:rPr>
        <w:t>026</w:t>
      </w:r>
      <w:r w:rsidR="00186D70" w:rsidRPr="00B42692">
        <w:rPr>
          <w:rFonts w:cs="Arial"/>
        </w:rPr>
        <w:t xml:space="preserve"> Kč). </w:t>
      </w:r>
      <w:r w:rsidR="00186D70" w:rsidRPr="00B42692">
        <w:rPr>
          <w:rFonts w:cs="Arial"/>
          <w:b/>
        </w:rPr>
        <w:t xml:space="preserve">Naopak nejnižší průměrnou mzdu </w:t>
      </w:r>
      <w:r w:rsidR="00186D70">
        <w:rPr>
          <w:rFonts w:cs="Arial"/>
          <w:b/>
        </w:rPr>
        <w:t>21</w:t>
      </w:r>
      <w:r w:rsidR="00186D70" w:rsidRPr="00B42692">
        <w:rPr>
          <w:rFonts w:cs="Arial"/>
          <w:b/>
        </w:rPr>
        <w:t> </w:t>
      </w:r>
      <w:r w:rsidR="00186D70">
        <w:rPr>
          <w:rFonts w:cs="Arial"/>
          <w:b/>
        </w:rPr>
        <w:t>835</w:t>
      </w:r>
      <w:r w:rsidR="00186D70" w:rsidRPr="00B42692">
        <w:rPr>
          <w:rFonts w:cs="Arial"/>
          <w:b/>
        </w:rPr>
        <w:t> Kč obdrželi zaměstnanci z</w:t>
      </w:r>
      <w:r w:rsidR="00966F55">
        <w:rPr>
          <w:rFonts w:cs="Arial"/>
          <w:b/>
        </w:rPr>
        <w:t> </w:t>
      </w:r>
      <w:r w:rsidR="00186D70" w:rsidRPr="00B42692">
        <w:rPr>
          <w:rFonts w:cs="Arial"/>
          <w:b/>
        </w:rPr>
        <w:t>Mongolska</w:t>
      </w:r>
      <w:r w:rsidR="00966F55">
        <w:rPr>
          <w:rFonts w:cs="Arial"/>
          <w:b/>
        </w:rPr>
        <w:t>,</w:t>
      </w:r>
      <w:r w:rsidR="00186D70" w:rsidRPr="00BC591A">
        <w:rPr>
          <w:rFonts w:cs="Arial"/>
        </w:rPr>
        <w:t xml:space="preserve"> dále ještě </w:t>
      </w:r>
      <w:r w:rsidR="00186D70" w:rsidRPr="00B42692">
        <w:rPr>
          <w:rFonts w:cs="Arial"/>
          <w:b/>
        </w:rPr>
        <w:t>Ukrajiny</w:t>
      </w:r>
      <w:r w:rsidR="00186D70" w:rsidRPr="00B42692">
        <w:rPr>
          <w:rFonts w:cs="Arial"/>
        </w:rPr>
        <w:t xml:space="preserve"> (</w:t>
      </w:r>
      <w:r w:rsidR="00186D70">
        <w:rPr>
          <w:rFonts w:cs="Arial"/>
        </w:rPr>
        <w:t>22</w:t>
      </w:r>
      <w:r w:rsidR="00186D70" w:rsidRPr="00B42692">
        <w:rPr>
          <w:rFonts w:cs="Arial"/>
        </w:rPr>
        <w:t> </w:t>
      </w:r>
      <w:r w:rsidR="00186D70">
        <w:rPr>
          <w:rFonts w:cs="Arial"/>
        </w:rPr>
        <w:t>236</w:t>
      </w:r>
      <w:r w:rsidR="00186D70" w:rsidRPr="00B42692">
        <w:rPr>
          <w:rFonts w:cs="Arial"/>
        </w:rPr>
        <w:t xml:space="preserve"> Kč) </w:t>
      </w:r>
      <w:r w:rsidR="00186D70" w:rsidRPr="00B42692">
        <w:rPr>
          <w:rFonts w:cs="Arial"/>
          <w:b/>
        </w:rPr>
        <w:t>a Vietnamu</w:t>
      </w:r>
      <w:r w:rsidR="00186D70" w:rsidRPr="00B42692">
        <w:rPr>
          <w:rFonts w:cs="Arial"/>
        </w:rPr>
        <w:t xml:space="preserve"> (</w:t>
      </w:r>
      <w:r w:rsidR="00186D70">
        <w:rPr>
          <w:rFonts w:cs="Arial"/>
        </w:rPr>
        <w:t>24</w:t>
      </w:r>
      <w:r w:rsidR="00186D70" w:rsidRPr="00B42692">
        <w:rPr>
          <w:rFonts w:cs="Arial"/>
        </w:rPr>
        <w:t> </w:t>
      </w:r>
      <w:r w:rsidR="00186D70">
        <w:rPr>
          <w:rFonts w:cs="Arial"/>
        </w:rPr>
        <w:t>291</w:t>
      </w:r>
      <w:r w:rsidR="00186D70" w:rsidRPr="00B42692">
        <w:rPr>
          <w:rFonts w:cs="Arial"/>
        </w:rPr>
        <w:t> Kč), u nichž převažuje výkon manuálních prací</w:t>
      </w:r>
      <w:r w:rsidR="00186D70">
        <w:rPr>
          <w:rFonts w:cs="Arial"/>
        </w:rPr>
        <w:t xml:space="preserve">. </w:t>
      </w:r>
      <w:r w:rsidR="00186D70" w:rsidRPr="00E01A67">
        <w:rPr>
          <w:rFonts w:cs="Arial"/>
          <w:bCs/>
        </w:rPr>
        <w:t>Vezmou-li se v úvahu pouze pracovníci vykonávající manuální práce, patřili k nejhůře odměňovaným občané Ruské federace (průměrná mzda 1</w:t>
      </w:r>
      <w:r w:rsidR="00186D70">
        <w:rPr>
          <w:rFonts w:cs="Arial"/>
          <w:bCs/>
        </w:rPr>
        <w:t>8</w:t>
      </w:r>
      <w:r w:rsidR="00186D70" w:rsidRPr="00E01A67">
        <w:rPr>
          <w:rFonts w:cs="Arial"/>
          <w:bCs/>
        </w:rPr>
        <w:t> </w:t>
      </w:r>
      <w:r w:rsidR="00186D70">
        <w:rPr>
          <w:rFonts w:cs="Arial"/>
          <w:bCs/>
        </w:rPr>
        <w:t>470</w:t>
      </w:r>
      <w:r w:rsidR="00186D70" w:rsidRPr="00E01A67">
        <w:rPr>
          <w:rFonts w:cs="Arial"/>
          <w:bCs/>
        </w:rPr>
        <w:t> Kč), Ukrajiny (1</w:t>
      </w:r>
      <w:r w:rsidR="00186D70">
        <w:rPr>
          <w:rFonts w:cs="Arial"/>
          <w:bCs/>
        </w:rPr>
        <w:t>9</w:t>
      </w:r>
      <w:r w:rsidR="00186D70" w:rsidRPr="00E01A67">
        <w:rPr>
          <w:rFonts w:cs="Arial"/>
          <w:bCs/>
        </w:rPr>
        <w:t> </w:t>
      </w:r>
      <w:r w:rsidR="00186D70">
        <w:rPr>
          <w:rFonts w:cs="Arial"/>
          <w:bCs/>
        </w:rPr>
        <w:t>177</w:t>
      </w:r>
      <w:r w:rsidR="00186D70" w:rsidRPr="00E01A67">
        <w:rPr>
          <w:rFonts w:cs="Arial"/>
          <w:bCs/>
        </w:rPr>
        <w:t xml:space="preserve"> Kč) a </w:t>
      </w:r>
      <w:r w:rsidR="00186D70">
        <w:rPr>
          <w:rFonts w:cs="Arial"/>
          <w:bCs/>
        </w:rPr>
        <w:t>Rumunska</w:t>
      </w:r>
      <w:r w:rsidR="00186D70" w:rsidRPr="00E01A67">
        <w:rPr>
          <w:rFonts w:cs="Arial"/>
          <w:bCs/>
        </w:rPr>
        <w:t xml:space="preserve"> (21 </w:t>
      </w:r>
      <w:r w:rsidR="00186D70">
        <w:rPr>
          <w:rFonts w:cs="Arial"/>
          <w:bCs/>
        </w:rPr>
        <w:t>716</w:t>
      </w:r>
      <w:r w:rsidR="00186D70" w:rsidRPr="00E01A67">
        <w:rPr>
          <w:rFonts w:cs="Arial"/>
          <w:bCs/>
        </w:rPr>
        <w:t> Kč). V nemanuálních profesích byli vedle výše zmíněných německých zaměstnanců nejlépe placeni rovněž občané Rumunska (5</w:t>
      </w:r>
      <w:r w:rsidR="00186D70">
        <w:rPr>
          <w:rFonts w:cs="Arial"/>
          <w:bCs/>
        </w:rPr>
        <w:t>7</w:t>
      </w:r>
      <w:r w:rsidR="00186D70" w:rsidRPr="00E01A67">
        <w:rPr>
          <w:rFonts w:cs="Arial"/>
          <w:bCs/>
        </w:rPr>
        <w:t> </w:t>
      </w:r>
      <w:r w:rsidR="00186D70">
        <w:rPr>
          <w:rFonts w:cs="Arial"/>
          <w:bCs/>
        </w:rPr>
        <w:t>995</w:t>
      </w:r>
      <w:r w:rsidR="00186D70" w:rsidRPr="00E01A67">
        <w:rPr>
          <w:rFonts w:cs="Arial"/>
          <w:bCs/>
        </w:rPr>
        <w:t> Kč) a Bulharska (5</w:t>
      </w:r>
      <w:r w:rsidR="00186D70">
        <w:rPr>
          <w:rFonts w:cs="Arial"/>
          <w:bCs/>
        </w:rPr>
        <w:t>2</w:t>
      </w:r>
      <w:r w:rsidR="00186D70" w:rsidRPr="00E01A67">
        <w:rPr>
          <w:rFonts w:cs="Arial"/>
          <w:bCs/>
        </w:rPr>
        <w:t> </w:t>
      </w:r>
      <w:r w:rsidR="00186D70">
        <w:rPr>
          <w:rFonts w:cs="Arial"/>
          <w:bCs/>
        </w:rPr>
        <w:t>736</w:t>
      </w:r>
      <w:r w:rsidR="00186D70" w:rsidRPr="00E01A67">
        <w:rPr>
          <w:rFonts w:cs="Arial"/>
          <w:bCs/>
        </w:rPr>
        <w:t> Kč), což bylo dáno pravděpodobně tím, že tito zaměstnanci vykonávají nadstandardně placené řídící, vedoucí a manažerské funkce.</w:t>
      </w:r>
    </w:p>
    <w:p w:rsidR="00186D70" w:rsidRPr="00D92971" w:rsidRDefault="00186D70" w:rsidP="00186D70">
      <w:pPr>
        <w:spacing w:line="360" w:lineRule="auto"/>
        <w:jc w:val="both"/>
        <w:rPr>
          <w:rFonts w:cs="Arial"/>
        </w:rPr>
      </w:pPr>
    </w:p>
    <w:p w:rsidR="00186D70" w:rsidRDefault="007C0B49" w:rsidP="007C0B49">
      <w:pPr>
        <w:spacing w:line="360" w:lineRule="auto"/>
        <w:jc w:val="both"/>
        <w:rPr>
          <w:rFonts w:cs="Arial"/>
        </w:rPr>
      </w:pPr>
      <w:r>
        <w:tab/>
      </w:r>
      <w:r w:rsidR="00186D70" w:rsidRPr="00D92971">
        <w:rPr>
          <w:rFonts w:cs="Arial"/>
          <w:b/>
        </w:rPr>
        <w:t>Průměrná mzda zaměstnanců s invalidním důchodem</w:t>
      </w:r>
      <w:r w:rsidR="00186D70" w:rsidRPr="00D92971">
        <w:rPr>
          <w:rFonts w:cs="Arial"/>
        </w:rPr>
        <w:t xml:space="preserve"> pro invaliditu prvního nebo druhého stupně dosáhla úrovně 1</w:t>
      </w:r>
      <w:r w:rsidR="00186D70">
        <w:rPr>
          <w:rFonts w:cs="Arial"/>
        </w:rPr>
        <w:t>8</w:t>
      </w:r>
      <w:r w:rsidR="00186D70" w:rsidRPr="00D92971">
        <w:rPr>
          <w:rFonts w:cs="Arial"/>
        </w:rPr>
        <w:t> </w:t>
      </w:r>
      <w:r w:rsidR="00186D70">
        <w:rPr>
          <w:rFonts w:cs="Arial"/>
        </w:rPr>
        <w:t>981</w:t>
      </w:r>
      <w:r w:rsidR="00186D70" w:rsidRPr="00D92971">
        <w:rPr>
          <w:rFonts w:cs="Arial"/>
        </w:rPr>
        <w:t> Kč, u zaměstnanců s invalidním důchodem pro invaliditu třetího stupně byla o </w:t>
      </w:r>
      <w:r w:rsidR="00186D70">
        <w:rPr>
          <w:rFonts w:cs="Arial"/>
        </w:rPr>
        <w:t>472</w:t>
      </w:r>
      <w:r w:rsidR="00186D70" w:rsidRPr="00D92971">
        <w:rPr>
          <w:rFonts w:cs="Arial"/>
        </w:rPr>
        <w:t xml:space="preserve"> Kč </w:t>
      </w:r>
      <w:r w:rsidR="00186D70">
        <w:rPr>
          <w:rFonts w:cs="Arial"/>
        </w:rPr>
        <w:t>niž</w:t>
      </w:r>
      <w:r w:rsidR="00186D70" w:rsidRPr="00D92971">
        <w:rPr>
          <w:rFonts w:cs="Arial"/>
        </w:rPr>
        <w:t>ší a činila 1</w:t>
      </w:r>
      <w:r w:rsidR="00186D70">
        <w:rPr>
          <w:rFonts w:cs="Arial"/>
        </w:rPr>
        <w:t>8</w:t>
      </w:r>
      <w:r w:rsidR="00186D70" w:rsidRPr="00D92971">
        <w:rPr>
          <w:rFonts w:cs="Arial"/>
        </w:rPr>
        <w:t> </w:t>
      </w:r>
      <w:r w:rsidR="00186D70">
        <w:rPr>
          <w:rFonts w:cs="Arial"/>
        </w:rPr>
        <w:t>509</w:t>
      </w:r>
      <w:r w:rsidR="00186D70" w:rsidRPr="00D92971">
        <w:rPr>
          <w:rFonts w:cs="Arial"/>
        </w:rPr>
        <w:t> Kč (tj. cca 6</w:t>
      </w:r>
      <w:r w:rsidR="00186D70">
        <w:rPr>
          <w:rFonts w:cs="Arial"/>
        </w:rPr>
        <w:t>4</w:t>
      </w:r>
      <w:r w:rsidR="00186D70" w:rsidRPr="00D92971">
        <w:rPr>
          <w:rFonts w:cs="Arial"/>
        </w:rPr>
        <w:t> % průměrné mzdy všech zaměstnanců).</w:t>
      </w:r>
    </w:p>
    <w:p w:rsidR="00186D70" w:rsidRDefault="00186D70" w:rsidP="00186D70">
      <w:pPr>
        <w:spacing w:line="360" w:lineRule="auto"/>
        <w:ind w:firstLine="851"/>
        <w:jc w:val="both"/>
        <w:rPr>
          <w:rFonts w:cs="Arial"/>
        </w:rPr>
      </w:pPr>
    </w:p>
    <w:p w:rsidR="00186D70" w:rsidRDefault="007C0B49" w:rsidP="007C0B49">
      <w:pPr>
        <w:spacing w:line="360" w:lineRule="auto"/>
        <w:jc w:val="both"/>
        <w:rPr>
          <w:rFonts w:cs="Arial"/>
          <w:b/>
        </w:rPr>
      </w:pPr>
      <w:r>
        <w:tab/>
      </w:r>
      <w:r w:rsidR="00186D70" w:rsidRPr="00D92971">
        <w:rPr>
          <w:rFonts w:cs="Arial"/>
          <w:b/>
        </w:rPr>
        <w:t>Podrobné statistiky o výdělcích</w:t>
      </w:r>
      <w:r w:rsidR="00186D70" w:rsidRPr="00D92971">
        <w:rPr>
          <w:rFonts w:cs="Arial"/>
        </w:rPr>
        <w:t xml:space="preserve"> (včetně mzdové distribuce) jednotlivých skupin </w:t>
      </w:r>
      <w:r w:rsidR="00186D70" w:rsidRPr="00D92971">
        <w:rPr>
          <w:rFonts w:cs="Arial"/>
          <w:b/>
        </w:rPr>
        <w:t>zaměstnanců z Informačního systému o průměrném výdělku jsou součástí tabulkové přílohy</w:t>
      </w:r>
      <w:r w:rsidR="00186D70" w:rsidRPr="00D92971">
        <w:rPr>
          <w:rFonts w:cs="Arial"/>
        </w:rPr>
        <w:t xml:space="preserve"> v samostatné složce</w:t>
      </w:r>
      <w:r w:rsidR="00186D70" w:rsidRPr="00D92971">
        <w:rPr>
          <w:rFonts w:cs="Arial"/>
          <w:b/>
        </w:rPr>
        <w:t xml:space="preserve"> na konci materiálu.</w:t>
      </w:r>
    </w:p>
    <w:p w:rsidR="00186D70" w:rsidRDefault="00186D70" w:rsidP="00186D70">
      <w:pPr>
        <w:spacing w:line="360" w:lineRule="auto"/>
        <w:jc w:val="both"/>
        <w:rPr>
          <w:rFonts w:cs="Arial"/>
          <w:b/>
        </w:rPr>
      </w:pPr>
    </w:p>
    <w:p w:rsidR="00186D70" w:rsidRDefault="00186D70" w:rsidP="00186D70">
      <w:pPr>
        <w:spacing w:line="360" w:lineRule="auto"/>
        <w:jc w:val="both"/>
        <w:rPr>
          <w:rFonts w:cs="Arial"/>
          <w:b/>
        </w:rPr>
      </w:pPr>
    </w:p>
    <w:p w:rsidR="00186D70" w:rsidRDefault="00186D70" w:rsidP="00186D70">
      <w:pPr>
        <w:spacing w:line="360" w:lineRule="auto"/>
        <w:jc w:val="both"/>
        <w:rPr>
          <w:rFonts w:cs="Arial"/>
          <w:b/>
        </w:rPr>
      </w:pPr>
    </w:p>
    <w:p w:rsidR="00186D70" w:rsidRDefault="00186D70" w:rsidP="00186D70">
      <w:pPr>
        <w:spacing w:line="360" w:lineRule="auto"/>
        <w:jc w:val="both"/>
        <w:rPr>
          <w:rFonts w:cs="Arial"/>
          <w:b/>
        </w:rPr>
      </w:pPr>
    </w:p>
    <w:p w:rsidR="00186D70" w:rsidRDefault="00186D70" w:rsidP="00186D70">
      <w:pPr>
        <w:spacing w:line="360" w:lineRule="auto"/>
        <w:jc w:val="both"/>
        <w:rPr>
          <w:rFonts w:cs="Arial"/>
          <w:b/>
        </w:rPr>
      </w:pPr>
    </w:p>
    <w:p w:rsidR="00186D70" w:rsidRDefault="00186D70" w:rsidP="00186D70">
      <w:pPr>
        <w:spacing w:line="360" w:lineRule="auto"/>
        <w:jc w:val="both"/>
        <w:rPr>
          <w:rFonts w:cs="Arial"/>
          <w:b/>
        </w:rPr>
      </w:pPr>
    </w:p>
    <w:p w:rsidR="00186D70" w:rsidRDefault="00186D70" w:rsidP="00186D70">
      <w:pPr>
        <w:spacing w:line="360" w:lineRule="auto"/>
        <w:jc w:val="both"/>
        <w:rPr>
          <w:rFonts w:cs="Arial"/>
          <w:b/>
        </w:rPr>
      </w:pPr>
    </w:p>
    <w:p w:rsidR="00186D70" w:rsidRDefault="00186D70" w:rsidP="00186D70">
      <w:pPr>
        <w:spacing w:line="360" w:lineRule="auto"/>
        <w:jc w:val="both"/>
        <w:rPr>
          <w:rFonts w:cs="Arial"/>
          <w:b/>
        </w:rPr>
      </w:pPr>
    </w:p>
    <w:p w:rsidR="00186D70" w:rsidRDefault="00186D70" w:rsidP="00186D70">
      <w:pPr>
        <w:spacing w:line="360" w:lineRule="auto"/>
        <w:jc w:val="both"/>
        <w:rPr>
          <w:rFonts w:cs="Arial"/>
          <w:b/>
        </w:rPr>
      </w:pPr>
    </w:p>
    <w:p w:rsidR="00C32FC3" w:rsidRPr="007D4E8B" w:rsidRDefault="00C32FC3" w:rsidP="00C32FC3">
      <w:pPr>
        <w:rPr>
          <w:rFonts w:cs="Arial"/>
          <w:b/>
          <w:i/>
          <w:sz w:val="32"/>
          <w:szCs w:val="32"/>
        </w:rPr>
      </w:pPr>
      <w:r>
        <w:rPr>
          <w:rFonts w:cs="Arial"/>
          <w:b/>
          <w:i/>
          <w:sz w:val="32"/>
          <w:szCs w:val="32"/>
        </w:rPr>
        <w:lastRenderedPageBreak/>
        <w:t>1.3 Sociální příjmy</w:t>
      </w:r>
    </w:p>
    <w:p w:rsidR="00C32FC3" w:rsidRDefault="00C32FC3" w:rsidP="00C32FC3">
      <w:pPr>
        <w:spacing w:line="360" w:lineRule="auto"/>
        <w:jc w:val="both"/>
        <w:rPr>
          <w:rFonts w:cs="Arial"/>
        </w:rPr>
      </w:pPr>
    </w:p>
    <w:p w:rsidR="00C32FC3" w:rsidRPr="00015FAD" w:rsidRDefault="00C32FC3" w:rsidP="00C32FC3">
      <w:pPr>
        <w:spacing w:line="360" w:lineRule="auto"/>
        <w:jc w:val="both"/>
        <w:rPr>
          <w:rFonts w:cs="Arial"/>
        </w:rPr>
      </w:pPr>
      <w:r>
        <w:rPr>
          <w:rFonts w:cs="Arial"/>
        </w:rPr>
        <w:tab/>
      </w:r>
      <w:r w:rsidRPr="00015FAD">
        <w:rPr>
          <w:rFonts w:cs="Arial"/>
          <w:b/>
        </w:rPr>
        <w:t xml:space="preserve">Míra </w:t>
      </w:r>
      <w:r w:rsidRPr="00015FAD">
        <w:rPr>
          <w:rFonts w:cs="Arial"/>
        </w:rPr>
        <w:t>zatížení</w:t>
      </w:r>
      <w:r w:rsidRPr="00015FAD">
        <w:rPr>
          <w:rFonts w:cs="Arial"/>
          <w:b/>
        </w:rPr>
        <w:t xml:space="preserve"> hrubého domácího produktu sociálními transfery v roce 2016 </w:t>
      </w:r>
      <w:r w:rsidRPr="00015FAD">
        <w:rPr>
          <w:rFonts w:cs="Arial"/>
        </w:rPr>
        <w:t xml:space="preserve">dosáhla </w:t>
      </w:r>
      <w:r w:rsidRPr="00015FAD">
        <w:rPr>
          <w:rFonts w:cs="Arial"/>
          <w:b/>
        </w:rPr>
        <w:t>10,5 %</w:t>
      </w:r>
      <w:r w:rsidRPr="00015FAD">
        <w:rPr>
          <w:rFonts w:cs="Arial"/>
        </w:rPr>
        <w:t xml:space="preserve"> (relace objemu sociálních příjmů k objemu HDP v běžných cenách) a ve srovnání s rokem 2015 se mírně </w:t>
      </w:r>
      <w:r w:rsidRPr="00015FAD">
        <w:rPr>
          <w:rFonts w:cs="Arial"/>
          <w:b/>
        </w:rPr>
        <w:t xml:space="preserve">snížila </w:t>
      </w:r>
      <w:r w:rsidRPr="00015FAD">
        <w:rPr>
          <w:rFonts w:cs="Arial"/>
        </w:rPr>
        <w:t>(o 0,4 p. b.).</w:t>
      </w:r>
    </w:p>
    <w:p w:rsidR="00C32FC3" w:rsidRPr="00CD5C0F" w:rsidRDefault="00C32FC3" w:rsidP="00C32FC3">
      <w:pPr>
        <w:spacing w:line="360" w:lineRule="auto"/>
        <w:jc w:val="both"/>
        <w:rPr>
          <w:rFonts w:cs="Arial"/>
        </w:rPr>
      </w:pPr>
    </w:p>
    <w:p w:rsidR="00C32FC3" w:rsidRDefault="00C32FC3" w:rsidP="00C32FC3">
      <w:pPr>
        <w:spacing w:line="360" w:lineRule="auto"/>
        <w:jc w:val="center"/>
        <w:rPr>
          <w:rFonts w:cs="Arial"/>
        </w:rPr>
      </w:pPr>
      <w:r>
        <w:rPr>
          <w:noProof/>
        </w:rPr>
        <w:drawing>
          <wp:inline distT="0" distB="0" distL="0" distR="0" wp14:anchorId="127569EB" wp14:editId="3D6D2979">
            <wp:extent cx="5755005" cy="42005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5005" cy="4200525"/>
                    </a:xfrm>
                    <a:prstGeom prst="rect">
                      <a:avLst/>
                    </a:prstGeom>
                    <a:noFill/>
                  </pic:spPr>
                </pic:pic>
              </a:graphicData>
            </a:graphic>
          </wp:inline>
        </w:drawing>
      </w:r>
    </w:p>
    <w:p w:rsidR="00C32FC3" w:rsidRDefault="00C32FC3" w:rsidP="00C32FC3">
      <w:pPr>
        <w:spacing w:line="360" w:lineRule="auto"/>
        <w:rPr>
          <w:noProof/>
          <w:sz w:val="20"/>
        </w:rPr>
      </w:pPr>
      <w:r w:rsidRPr="00FA290C">
        <w:rPr>
          <w:noProof/>
          <w:sz w:val="20"/>
        </w:rPr>
        <w:t xml:space="preserve">Zpracováno z dat </w:t>
      </w:r>
      <w:r>
        <w:rPr>
          <w:noProof/>
          <w:sz w:val="20"/>
        </w:rPr>
        <w:t>MPSV</w:t>
      </w:r>
    </w:p>
    <w:p w:rsidR="00C32FC3" w:rsidRDefault="00C32FC3" w:rsidP="00C32FC3">
      <w:pPr>
        <w:spacing w:line="360" w:lineRule="auto"/>
        <w:rPr>
          <w:noProof/>
          <w:sz w:val="20"/>
        </w:rPr>
      </w:pPr>
    </w:p>
    <w:p w:rsidR="00C32FC3" w:rsidRDefault="00C32FC3" w:rsidP="00C32FC3">
      <w:pPr>
        <w:spacing w:line="360" w:lineRule="auto"/>
        <w:rPr>
          <w:noProof/>
          <w:sz w:val="20"/>
        </w:rPr>
      </w:pPr>
    </w:p>
    <w:p w:rsidR="00C32FC3" w:rsidRPr="00280C42" w:rsidRDefault="00C32FC3" w:rsidP="00C32FC3">
      <w:pPr>
        <w:spacing w:line="360" w:lineRule="auto"/>
        <w:jc w:val="both"/>
        <w:rPr>
          <w:rFonts w:cs="Arial"/>
        </w:rPr>
      </w:pPr>
      <w:r>
        <w:rPr>
          <w:rFonts w:cs="Arial"/>
        </w:rPr>
        <w:tab/>
      </w:r>
      <w:r w:rsidRPr="007D4E8B">
        <w:rPr>
          <w:rFonts w:cs="Arial"/>
          <w:b/>
        </w:rPr>
        <w:t>Celkový objem</w:t>
      </w:r>
      <w:r w:rsidRPr="007D4E8B">
        <w:rPr>
          <w:rFonts w:cs="Arial"/>
        </w:rPr>
        <w:t xml:space="preserve"> sociálních příjmů (druhé nejvyšší složky peněžních příjmů domácností) </w:t>
      </w:r>
      <w:r w:rsidRPr="007D4E8B">
        <w:rPr>
          <w:rFonts w:cs="Arial"/>
          <w:b/>
        </w:rPr>
        <w:t>dosáhl</w:t>
      </w:r>
      <w:r w:rsidRPr="007D4E8B">
        <w:rPr>
          <w:rFonts w:cs="Arial"/>
        </w:rPr>
        <w:t xml:space="preserve"> </w:t>
      </w:r>
      <w:r w:rsidRPr="007D4E8B">
        <w:rPr>
          <w:rFonts w:cs="Arial"/>
          <w:b/>
        </w:rPr>
        <w:t>v roce 201</w:t>
      </w:r>
      <w:r>
        <w:rPr>
          <w:rFonts w:cs="Arial"/>
          <w:b/>
        </w:rPr>
        <w:t>6</w:t>
      </w:r>
      <w:r w:rsidRPr="007D4E8B">
        <w:rPr>
          <w:rFonts w:cs="Arial"/>
        </w:rPr>
        <w:t xml:space="preserve"> částky </w:t>
      </w:r>
      <w:r w:rsidRPr="007D4E8B">
        <w:rPr>
          <w:rFonts w:cs="Arial"/>
          <w:b/>
        </w:rPr>
        <w:t>4</w:t>
      </w:r>
      <w:r>
        <w:rPr>
          <w:rFonts w:cs="Arial"/>
          <w:b/>
        </w:rPr>
        <w:t>93</w:t>
      </w:r>
      <w:r w:rsidRPr="007D4E8B">
        <w:rPr>
          <w:rFonts w:cs="Arial"/>
          <w:b/>
        </w:rPr>
        <w:t>,</w:t>
      </w:r>
      <w:r>
        <w:rPr>
          <w:rFonts w:cs="Arial"/>
          <w:b/>
        </w:rPr>
        <w:t>0 </w:t>
      </w:r>
      <w:r w:rsidRPr="007D4E8B">
        <w:rPr>
          <w:rFonts w:cs="Arial"/>
          <w:b/>
          <w:color w:val="000000"/>
        </w:rPr>
        <w:t>mld.</w:t>
      </w:r>
      <w:r>
        <w:rPr>
          <w:rFonts w:cs="Arial"/>
          <w:b/>
          <w:color w:val="000000"/>
        </w:rPr>
        <w:t> </w:t>
      </w:r>
      <w:r w:rsidRPr="007D4E8B">
        <w:rPr>
          <w:rFonts w:cs="Arial"/>
          <w:b/>
          <w:color w:val="000000"/>
        </w:rPr>
        <w:t>Kč a</w:t>
      </w:r>
      <w:r>
        <w:rPr>
          <w:rFonts w:cs="Arial"/>
          <w:b/>
          <w:color w:val="000000"/>
        </w:rPr>
        <w:t xml:space="preserve"> </w:t>
      </w:r>
      <w:r w:rsidRPr="007D4E8B">
        <w:rPr>
          <w:rFonts w:cs="Arial"/>
          <w:b/>
          <w:color w:val="000000"/>
        </w:rPr>
        <w:t xml:space="preserve">převýšil </w:t>
      </w:r>
      <w:r w:rsidRPr="007D4E8B">
        <w:rPr>
          <w:rFonts w:cs="Arial"/>
          <w:color w:val="000000"/>
        </w:rPr>
        <w:t>skutečnost stejného období</w:t>
      </w:r>
      <w:r w:rsidRPr="007D4E8B">
        <w:rPr>
          <w:rFonts w:cs="Arial"/>
          <w:b/>
          <w:color w:val="000000"/>
        </w:rPr>
        <w:t xml:space="preserve"> roku 201</w:t>
      </w:r>
      <w:r>
        <w:rPr>
          <w:rFonts w:cs="Arial"/>
          <w:b/>
          <w:color w:val="000000"/>
        </w:rPr>
        <w:t>5</w:t>
      </w:r>
      <w:r w:rsidRPr="007D4E8B">
        <w:rPr>
          <w:rFonts w:cs="Arial"/>
          <w:b/>
          <w:color w:val="000000"/>
        </w:rPr>
        <w:t xml:space="preserve"> o </w:t>
      </w:r>
      <w:r>
        <w:rPr>
          <w:rFonts w:cs="Arial"/>
          <w:b/>
          <w:color w:val="000000"/>
        </w:rPr>
        <w:t>6</w:t>
      </w:r>
      <w:r w:rsidRPr="007D4E8B">
        <w:rPr>
          <w:rFonts w:cs="Arial"/>
          <w:b/>
          <w:color w:val="000000"/>
        </w:rPr>
        <w:t>,</w:t>
      </w:r>
      <w:r>
        <w:rPr>
          <w:rFonts w:cs="Arial"/>
          <w:b/>
          <w:color w:val="000000"/>
        </w:rPr>
        <w:t>5 </w:t>
      </w:r>
      <w:r w:rsidRPr="007D4E8B">
        <w:rPr>
          <w:rFonts w:cs="Arial"/>
          <w:b/>
          <w:color w:val="000000"/>
        </w:rPr>
        <w:t>mld.</w:t>
      </w:r>
      <w:r>
        <w:rPr>
          <w:rFonts w:cs="Arial"/>
          <w:b/>
          <w:color w:val="000000"/>
        </w:rPr>
        <w:t> </w:t>
      </w:r>
      <w:r w:rsidRPr="007D4E8B">
        <w:rPr>
          <w:rFonts w:cs="Arial"/>
          <w:b/>
          <w:color w:val="000000"/>
        </w:rPr>
        <w:t xml:space="preserve">Kč, </w:t>
      </w:r>
      <w:r w:rsidRPr="007D4E8B">
        <w:rPr>
          <w:rFonts w:cs="Arial"/>
          <w:color w:val="000000"/>
        </w:rPr>
        <w:t>tj.</w:t>
      </w:r>
      <w:r w:rsidRPr="007D4E8B">
        <w:rPr>
          <w:rFonts w:cs="Arial"/>
          <w:b/>
          <w:color w:val="000000"/>
        </w:rPr>
        <w:t xml:space="preserve"> </w:t>
      </w:r>
      <w:r w:rsidRPr="007D4E8B">
        <w:rPr>
          <w:rFonts w:cs="Arial"/>
          <w:color w:val="000000"/>
        </w:rPr>
        <w:t>o </w:t>
      </w:r>
      <w:r>
        <w:rPr>
          <w:rFonts w:cs="Arial"/>
          <w:color w:val="000000"/>
        </w:rPr>
        <w:t>1,3 </w:t>
      </w:r>
      <w:r w:rsidRPr="007D4E8B">
        <w:rPr>
          <w:rFonts w:cs="Arial"/>
          <w:color w:val="000000"/>
        </w:rPr>
        <w:t>%</w:t>
      </w:r>
      <w:r w:rsidRPr="007D4E8B">
        <w:rPr>
          <w:rFonts w:cs="Arial"/>
          <w:color w:val="FF0000"/>
        </w:rPr>
        <w:t xml:space="preserve"> </w:t>
      </w:r>
      <w:r w:rsidRPr="007D4E8B">
        <w:rPr>
          <w:rFonts w:cs="Arial"/>
          <w:szCs w:val="24"/>
        </w:rPr>
        <w:t>nominálně</w:t>
      </w:r>
      <w:r>
        <w:rPr>
          <w:rFonts w:cs="Arial"/>
          <w:szCs w:val="24"/>
        </w:rPr>
        <w:t xml:space="preserve"> a 0,6 %</w:t>
      </w:r>
      <w:r w:rsidRPr="007D4E8B">
        <w:rPr>
          <w:rFonts w:cs="Arial"/>
          <w:szCs w:val="24"/>
        </w:rPr>
        <w:t xml:space="preserve"> reálně</w:t>
      </w:r>
      <w:r>
        <w:rPr>
          <w:rFonts w:cs="Arial"/>
          <w:szCs w:val="24"/>
        </w:rPr>
        <w:t>.</w:t>
      </w:r>
      <w:r w:rsidRPr="007D4E8B">
        <w:rPr>
          <w:rFonts w:cs="Arial"/>
        </w:rPr>
        <w:t xml:space="preserve"> </w:t>
      </w:r>
      <w:r w:rsidRPr="00F31CCC">
        <w:rPr>
          <w:rFonts w:cs="Arial"/>
          <w:b/>
        </w:rPr>
        <w:t>Podíl sociálních příjmů</w:t>
      </w:r>
      <w:r w:rsidRPr="00F31CCC">
        <w:rPr>
          <w:rFonts w:cs="Arial"/>
        </w:rPr>
        <w:t xml:space="preserve"> ve struktuře celkových příjmů domácností </w:t>
      </w:r>
      <w:r w:rsidRPr="00F31CCC">
        <w:rPr>
          <w:rFonts w:cs="Arial"/>
          <w:b/>
        </w:rPr>
        <w:t xml:space="preserve">dosáhl 17,0 % </w:t>
      </w:r>
      <w:r w:rsidRPr="00F31CCC">
        <w:rPr>
          <w:rFonts w:cs="Arial"/>
        </w:rPr>
        <w:t xml:space="preserve">a byl o 5 p. b. </w:t>
      </w:r>
      <w:proofErr w:type="gramStart"/>
      <w:r w:rsidRPr="00F31CCC">
        <w:rPr>
          <w:rFonts w:cs="Arial"/>
        </w:rPr>
        <w:t>nižší</w:t>
      </w:r>
      <w:proofErr w:type="gramEnd"/>
      <w:r w:rsidRPr="00F31CCC">
        <w:rPr>
          <w:rFonts w:cs="Arial"/>
        </w:rPr>
        <w:t xml:space="preserve"> než v roce 2015. Pokles byl zaznamenán u dávek pomoc</w:t>
      </w:r>
      <w:r>
        <w:rPr>
          <w:rFonts w:cs="Arial"/>
        </w:rPr>
        <w:t>i v hmotné nouzi a</w:t>
      </w:r>
      <w:r w:rsidRPr="009B1D96">
        <w:rPr>
          <w:rFonts w:cs="Arial"/>
        </w:rPr>
        <w:t xml:space="preserve"> u podpor </w:t>
      </w:r>
      <w:r>
        <w:rPr>
          <w:rFonts w:cs="Arial"/>
        </w:rPr>
        <w:t xml:space="preserve">v nezaměstnanosti. </w:t>
      </w:r>
      <w:r w:rsidRPr="00C92AC3">
        <w:rPr>
          <w:rFonts w:cs="Arial"/>
        </w:rPr>
        <w:t xml:space="preserve">Příjmy občanů ze všech </w:t>
      </w:r>
      <w:r>
        <w:rPr>
          <w:rFonts w:cs="Arial"/>
        </w:rPr>
        <w:t xml:space="preserve">ostatních sociálních dávek se zvýšily, nejvýrazněji u dávek nemocenského pojištění </w:t>
      </w:r>
      <w:r w:rsidRPr="00280C42">
        <w:rPr>
          <w:rFonts w:cs="Arial"/>
        </w:rPr>
        <w:t xml:space="preserve">a příspěvku na péči </w:t>
      </w:r>
      <w:r w:rsidR="00A07E15">
        <w:rPr>
          <w:rFonts w:cs="Arial"/>
        </w:rPr>
        <w:t xml:space="preserve">– </w:t>
      </w:r>
      <w:r w:rsidRPr="00280C42">
        <w:rPr>
          <w:rFonts w:cs="Arial"/>
        </w:rPr>
        <w:t>viz tabulku č. 8 v příloze. Strukturální rozložení celkových sociálních příjmů domácností ukazuje předchozí graf.</w:t>
      </w:r>
    </w:p>
    <w:p w:rsidR="00C32FC3" w:rsidRPr="00280C42" w:rsidRDefault="00C32FC3" w:rsidP="00C32FC3">
      <w:pPr>
        <w:spacing w:line="360" w:lineRule="auto"/>
        <w:jc w:val="both"/>
        <w:rPr>
          <w:rFonts w:cs="Arial"/>
          <w:b/>
        </w:rPr>
      </w:pPr>
      <w:r>
        <w:lastRenderedPageBreak/>
        <w:tab/>
      </w:r>
      <w:r w:rsidRPr="007D4E8B">
        <w:rPr>
          <w:rFonts w:cs="Arial"/>
          <w:b/>
          <w:u w:val="single"/>
        </w:rPr>
        <w:t>Dávky důchodového pojištění</w:t>
      </w:r>
      <w:r>
        <w:rPr>
          <w:rFonts w:cs="Arial"/>
          <w:b/>
          <w:u w:val="single"/>
        </w:rPr>
        <w:t>,</w:t>
      </w:r>
      <w:r w:rsidRPr="007D4E8B">
        <w:rPr>
          <w:rFonts w:cs="Arial"/>
        </w:rPr>
        <w:t xml:space="preserve"> na které bylo poskytnuto </w:t>
      </w:r>
      <w:r>
        <w:rPr>
          <w:rFonts w:cs="Arial"/>
        </w:rPr>
        <w:t xml:space="preserve">(bez dávek vyplácených do ciziny) </w:t>
      </w:r>
      <w:r w:rsidRPr="007D4E8B">
        <w:rPr>
          <w:rFonts w:cs="Arial"/>
          <w:b/>
        </w:rPr>
        <w:t>3</w:t>
      </w:r>
      <w:r>
        <w:rPr>
          <w:rFonts w:cs="Arial"/>
          <w:b/>
        </w:rPr>
        <w:t>86</w:t>
      </w:r>
      <w:r w:rsidRPr="007D4E8B">
        <w:rPr>
          <w:rFonts w:cs="Arial"/>
          <w:b/>
        </w:rPr>
        <w:t>,</w:t>
      </w:r>
      <w:r>
        <w:rPr>
          <w:rFonts w:cs="Arial"/>
          <w:b/>
        </w:rPr>
        <w:t>4 </w:t>
      </w:r>
      <w:r w:rsidRPr="007D4E8B">
        <w:rPr>
          <w:rFonts w:cs="Arial"/>
          <w:b/>
        </w:rPr>
        <w:t>mld.</w:t>
      </w:r>
      <w:r>
        <w:rPr>
          <w:rFonts w:cs="Arial"/>
          <w:b/>
        </w:rPr>
        <w:t> </w:t>
      </w:r>
      <w:r w:rsidRPr="007D4E8B">
        <w:rPr>
          <w:rFonts w:cs="Arial"/>
          <w:b/>
        </w:rPr>
        <w:t>Kč</w:t>
      </w:r>
      <w:r>
        <w:rPr>
          <w:rFonts w:cs="Arial"/>
          <w:b/>
        </w:rPr>
        <w:t>,</w:t>
      </w:r>
      <w:r w:rsidRPr="007D4E8B">
        <w:rPr>
          <w:rFonts w:cs="Arial"/>
        </w:rPr>
        <w:t xml:space="preserve"> tj. </w:t>
      </w:r>
      <w:r w:rsidRPr="007D4E8B">
        <w:rPr>
          <w:rFonts w:cs="Arial"/>
          <w:b/>
        </w:rPr>
        <w:t>o </w:t>
      </w:r>
      <w:r>
        <w:rPr>
          <w:rFonts w:cs="Arial"/>
          <w:b/>
        </w:rPr>
        <w:t>3</w:t>
      </w:r>
      <w:r w:rsidRPr="007D4E8B">
        <w:rPr>
          <w:rFonts w:cs="Arial"/>
          <w:b/>
        </w:rPr>
        <w:t>,</w:t>
      </w:r>
      <w:r>
        <w:rPr>
          <w:rFonts w:cs="Arial"/>
          <w:b/>
        </w:rPr>
        <w:t>5</w:t>
      </w:r>
      <w:r w:rsidRPr="007D4E8B">
        <w:rPr>
          <w:rFonts w:cs="Arial"/>
          <w:b/>
        </w:rPr>
        <w:t> mld.</w:t>
      </w:r>
      <w:r>
        <w:rPr>
          <w:rFonts w:cs="Arial"/>
          <w:b/>
        </w:rPr>
        <w:t> </w:t>
      </w:r>
      <w:r w:rsidRPr="007D4E8B">
        <w:rPr>
          <w:rFonts w:cs="Arial"/>
          <w:b/>
        </w:rPr>
        <w:t>Kč</w:t>
      </w:r>
      <w:r w:rsidRPr="007D4E8B">
        <w:rPr>
          <w:rFonts w:cs="Arial"/>
        </w:rPr>
        <w:t xml:space="preserve"> (o</w:t>
      </w:r>
      <w:r>
        <w:rPr>
          <w:rFonts w:cs="Arial"/>
        </w:rPr>
        <w:t> 0</w:t>
      </w:r>
      <w:r w:rsidRPr="007D4E8B">
        <w:rPr>
          <w:rFonts w:cs="Arial"/>
        </w:rPr>
        <w:t>,</w:t>
      </w:r>
      <w:r>
        <w:rPr>
          <w:rFonts w:cs="Arial"/>
        </w:rPr>
        <w:t>9 </w:t>
      </w:r>
      <w:r w:rsidRPr="007D4E8B">
        <w:rPr>
          <w:rFonts w:cs="Arial"/>
        </w:rPr>
        <w:t xml:space="preserve">%) </w:t>
      </w:r>
      <w:r w:rsidRPr="007D4E8B">
        <w:rPr>
          <w:rFonts w:cs="Arial"/>
          <w:b/>
        </w:rPr>
        <w:t>více</w:t>
      </w:r>
      <w:r w:rsidRPr="007D4E8B">
        <w:rPr>
          <w:rFonts w:cs="Arial"/>
        </w:rPr>
        <w:t xml:space="preserve"> než ve</w:t>
      </w:r>
      <w:r>
        <w:rPr>
          <w:rFonts w:cs="Arial"/>
        </w:rPr>
        <w:t xml:space="preserve"> </w:t>
      </w:r>
      <w:r w:rsidRPr="00280C42">
        <w:rPr>
          <w:rFonts w:cs="Arial"/>
        </w:rPr>
        <w:t>srovnatelném období roku 2015, se podílely na celkové úrovni sociálních příjmů domácností 78,3 % (o 0,3 p. b. </w:t>
      </w:r>
      <w:proofErr w:type="gramStart"/>
      <w:r w:rsidRPr="00280C42">
        <w:rPr>
          <w:rFonts w:cs="Arial"/>
        </w:rPr>
        <w:t>méně</w:t>
      </w:r>
      <w:proofErr w:type="gramEnd"/>
      <w:r w:rsidRPr="00280C42">
        <w:rPr>
          <w:rFonts w:cs="Arial"/>
        </w:rPr>
        <w:t>) – viz tabulku č. 8 v příloze. Výdaje související s </w:t>
      </w:r>
      <w:r w:rsidRPr="00280C42">
        <w:rPr>
          <w:rFonts w:cs="Arial"/>
          <w:b/>
        </w:rPr>
        <w:t>valorizací důchodů,</w:t>
      </w:r>
      <w:r w:rsidRPr="00280C42">
        <w:rPr>
          <w:rFonts w:cs="Arial"/>
        </w:rPr>
        <w:t xml:space="preserve"> která proběhla v lednu 2016, činily od počátku roku </w:t>
      </w:r>
      <w:r w:rsidRPr="00280C42">
        <w:rPr>
          <w:rFonts w:cs="Arial"/>
          <w:b/>
        </w:rPr>
        <w:t>1,4 mld. Kč.</w:t>
      </w:r>
    </w:p>
    <w:p w:rsidR="00C32FC3" w:rsidRPr="00280C42" w:rsidRDefault="00C32FC3" w:rsidP="00C32FC3">
      <w:pPr>
        <w:spacing w:line="360" w:lineRule="auto"/>
        <w:jc w:val="both"/>
        <w:rPr>
          <w:rFonts w:cs="Arial"/>
          <w:b/>
        </w:rPr>
      </w:pPr>
    </w:p>
    <w:p w:rsidR="00C32FC3" w:rsidRPr="00280C42" w:rsidRDefault="00C32FC3" w:rsidP="00C32FC3">
      <w:pPr>
        <w:spacing w:line="360" w:lineRule="auto"/>
        <w:jc w:val="both"/>
        <w:rPr>
          <w:rFonts w:cs="Arial"/>
        </w:rPr>
      </w:pPr>
      <w:r w:rsidRPr="00280C42">
        <w:rPr>
          <w:rFonts w:cs="Arial"/>
          <w:b/>
        </w:rPr>
        <w:tab/>
      </w:r>
      <w:r w:rsidRPr="00280C42">
        <w:rPr>
          <w:rFonts w:cs="Arial"/>
        </w:rPr>
        <w:t xml:space="preserve">Nárůst zaznamenaly </w:t>
      </w:r>
      <w:r w:rsidRPr="00280C42">
        <w:rPr>
          <w:rFonts w:cs="Arial"/>
          <w:b/>
        </w:rPr>
        <w:t>výdaje na starobní důchody,</w:t>
      </w:r>
      <w:r w:rsidRPr="00280C42">
        <w:rPr>
          <w:rFonts w:cs="Arial"/>
        </w:rPr>
        <w:t xml:space="preserve"> které (bez dávek vyplácených do ciziny) </w:t>
      </w:r>
      <w:r w:rsidRPr="00280C42">
        <w:rPr>
          <w:rFonts w:cs="Arial"/>
          <w:b/>
        </w:rPr>
        <w:t>vzrostly</w:t>
      </w:r>
      <w:r w:rsidRPr="00280C42">
        <w:rPr>
          <w:rFonts w:cs="Arial"/>
        </w:rPr>
        <w:t xml:space="preserve"> o 2,6 mld. Kč (o 0,8 %)</w:t>
      </w:r>
      <w:r w:rsidRPr="00280C42">
        <w:rPr>
          <w:rFonts w:cs="Arial"/>
          <w:b/>
        </w:rPr>
        <w:t xml:space="preserve"> na</w:t>
      </w:r>
      <w:r w:rsidRPr="00280C42">
        <w:rPr>
          <w:rFonts w:cs="Arial"/>
        </w:rPr>
        <w:t xml:space="preserve"> </w:t>
      </w:r>
      <w:r w:rsidRPr="00280C42">
        <w:rPr>
          <w:rFonts w:cs="Arial"/>
          <w:b/>
        </w:rPr>
        <w:t>314,2 mld. Kč.</w:t>
      </w:r>
      <w:r w:rsidRPr="00280C42">
        <w:rPr>
          <w:rFonts w:cs="Arial"/>
        </w:rPr>
        <w:t xml:space="preserve"> Jejich podíl na celkovém objemu výdajů na dávky důchodového pojištění dosáhl 81,3 %. Výdaje </w:t>
      </w:r>
      <w:r w:rsidRPr="00280C42">
        <w:rPr>
          <w:rFonts w:cs="Arial"/>
          <w:b/>
        </w:rPr>
        <w:t>na invalidní důchody</w:t>
      </w:r>
      <w:r w:rsidRPr="00280C42">
        <w:rPr>
          <w:rFonts w:cs="Arial"/>
        </w:rPr>
        <w:t xml:space="preserve"> </w:t>
      </w:r>
      <w:r w:rsidRPr="00280C42">
        <w:rPr>
          <w:rFonts w:cs="Arial"/>
          <w:b/>
        </w:rPr>
        <w:t xml:space="preserve">se </w:t>
      </w:r>
      <w:r w:rsidRPr="00280C42">
        <w:rPr>
          <w:rFonts w:cs="Arial"/>
        </w:rPr>
        <w:t>(bez dávek vyplácených do ciziny)</w:t>
      </w:r>
      <w:r w:rsidRPr="00280C42">
        <w:rPr>
          <w:rFonts w:cs="Arial"/>
          <w:b/>
        </w:rPr>
        <w:t xml:space="preserve"> snížily</w:t>
      </w:r>
      <w:r w:rsidRPr="00280C42">
        <w:rPr>
          <w:rFonts w:cs="Arial"/>
        </w:rPr>
        <w:t xml:space="preserve"> o 1,7 mld. Kč </w:t>
      </w:r>
      <w:r w:rsidRPr="00280C42">
        <w:rPr>
          <w:rFonts w:cs="Arial"/>
          <w:b/>
        </w:rPr>
        <w:t xml:space="preserve">na 42,1 mld. Kč. Snížily </w:t>
      </w:r>
      <w:r w:rsidRPr="00280C42">
        <w:rPr>
          <w:rFonts w:cs="Arial"/>
        </w:rPr>
        <w:t>se</w:t>
      </w:r>
      <w:r w:rsidRPr="00280C42">
        <w:rPr>
          <w:rFonts w:cs="Arial"/>
          <w:b/>
        </w:rPr>
        <w:t xml:space="preserve"> </w:t>
      </w:r>
      <w:r w:rsidRPr="00280C42">
        <w:rPr>
          <w:rFonts w:cs="Arial"/>
        </w:rPr>
        <w:t xml:space="preserve">rovněž výdaje na </w:t>
      </w:r>
      <w:r w:rsidRPr="00280C42">
        <w:rPr>
          <w:rFonts w:cs="Arial"/>
          <w:b/>
        </w:rPr>
        <w:t>pozůstalostní důchody</w:t>
      </w:r>
      <w:r w:rsidRPr="00280C42">
        <w:rPr>
          <w:rFonts w:cs="Arial"/>
        </w:rPr>
        <w:t xml:space="preserve"> o 0,9 mld. Kč </w:t>
      </w:r>
      <w:r w:rsidRPr="00280C42">
        <w:rPr>
          <w:rFonts w:cs="Arial"/>
          <w:b/>
        </w:rPr>
        <w:t xml:space="preserve">na 25,9 mld. Kč. </w:t>
      </w:r>
      <w:r w:rsidRPr="00280C42">
        <w:rPr>
          <w:rFonts w:cs="Arial"/>
        </w:rPr>
        <w:t>Na jednorázový příspěvek, který podle zákona č. 3</w:t>
      </w:r>
      <w:r w:rsidR="00620E82">
        <w:rPr>
          <w:rFonts w:cs="Arial"/>
        </w:rPr>
        <w:t>81</w:t>
      </w:r>
      <w:r w:rsidRPr="00280C42">
        <w:rPr>
          <w:rFonts w:cs="Arial"/>
        </w:rPr>
        <w:t xml:space="preserve">/2015 Sb., o jednorázovém příspěvku důchodci, obdržel každý důchodce v únorové výplatě důchodu, bylo (bez dávek vyplácených do ciziny) vynaloženo </w:t>
      </w:r>
      <w:r w:rsidRPr="00280C42">
        <w:rPr>
          <w:rFonts w:cs="Arial"/>
          <w:b/>
        </w:rPr>
        <w:t>3,5 mld. Kč</w:t>
      </w:r>
      <w:r w:rsidRPr="00280C42">
        <w:rPr>
          <w:rFonts w:cs="Arial"/>
        </w:rPr>
        <w:t>.</w:t>
      </w:r>
    </w:p>
    <w:p w:rsidR="00C32FC3" w:rsidRPr="00280C42" w:rsidRDefault="00C32FC3" w:rsidP="00C32FC3">
      <w:pPr>
        <w:spacing w:line="360" w:lineRule="auto"/>
        <w:jc w:val="both"/>
        <w:rPr>
          <w:rFonts w:cs="Arial"/>
        </w:rPr>
      </w:pPr>
    </w:p>
    <w:p w:rsidR="00C32FC3" w:rsidRPr="00280C42" w:rsidRDefault="00C32FC3" w:rsidP="00C32FC3">
      <w:pPr>
        <w:spacing w:line="360" w:lineRule="auto"/>
        <w:jc w:val="both"/>
        <w:rPr>
          <w:rFonts w:cs="Arial"/>
        </w:rPr>
      </w:pPr>
      <w:r w:rsidRPr="00280C42">
        <w:rPr>
          <w:rFonts w:cs="Arial"/>
          <w:b/>
        </w:rPr>
        <w:tab/>
      </w:r>
      <w:r w:rsidRPr="00280C42">
        <w:rPr>
          <w:rFonts w:cs="Arial"/>
        </w:rPr>
        <w:t>Zatímco</w:t>
      </w:r>
      <w:r w:rsidRPr="00280C42">
        <w:rPr>
          <w:rFonts w:cs="Arial"/>
          <w:b/>
        </w:rPr>
        <w:t xml:space="preserve"> průměrná výše</w:t>
      </w:r>
      <w:r w:rsidRPr="00280C42">
        <w:rPr>
          <w:rFonts w:cs="Arial"/>
        </w:rPr>
        <w:t xml:space="preserve"> (samostatně vypláceného) </w:t>
      </w:r>
      <w:r w:rsidRPr="00280C42">
        <w:rPr>
          <w:rFonts w:cs="Arial"/>
          <w:b/>
        </w:rPr>
        <w:t>starobního</w:t>
      </w:r>
      <w:r w:rsidRPr="00280C42">
        <w:rPr>
          <w:rFonts w:cs="Arial"/>
        </w:rPr>
        <w:t xml:space="preserve"> </w:t>
      </w:r>
      <w:r w:rsidRPr="00280C42">
        <w:rPr>
          <w:rFonts w:cs="Arial"/>
          <w:b/>
          <w:bCs/>
        </w:rPr>
        <w:t xml:space="preserve">důchodu se </w:t>
      </w:r>
      <w:r w:rsidRPr="00280C42">
        <w:rPr>
          <w:rFonts w:cs="Arial"/>
          <w:bCs/>
        </w:rPr>
        <w:t>v období leden – prosinec 2016 meziročně</w:t>
      </w:r>
      <w:r w:rsidRPr="00280C42">
        <w:rPr>
          <w:rFonts w:cs="Arial"/>
          <w:b/>
          <w:bCs/>
        </w:rPr>
        <w:t xml:space="preserve"> zvýšila </w:t>
      </w:r>
      <w:r w:rsidRPr="00280C42">
        <w:rPr>
          <w:rFonts w:cs="Arial"/>
        </w:rPr>
        <w:t>o 108 Kč (</w:t>
      </w:r>
      <w:r w:rsidRPr="00280C42">
        <w:rPr>
          <w:rFonts w:cs="Arial"/>
          <w:bCs/>
        </w:rPr>
        <w:t>o 1,0 %</w:t>
      </w:r>
      <w:r w:rsidRPr="00280C42">
        <w:rPr>
          <w:rFonts w:cs="Arial"/>
        </w:rPr>
        <w:t xml:space="preserve">) </w:t>
      </w:r>
      <w:r w:rsidRPr="00280C42">
        <w:rPr>
          <w:rFonts w:cs="Arial"/>
          <w:b/>
          <w:bCs/>
        </w:rPr>
        <w:t xml:space="preserve">na 11 439 Kč </w:t>
      </w:r>
      <w:r w:rsidRPr="00280C42">
        <w:rPr>
          <w:rFonts w:cs="Arial"/>
          <w:bCs/>
        </w:rPr>
        <w:t>a </w:t>
      </w:r>
      <w:r w:rsidRPr="00280C42">
        <w:rPr>
          <w:rFonts w:cs="Arial"/>
          <w:b/>
          <w:bCs/>
        </w:rPr>
        <w:t>v reálném vyjádření</w:t>
      </w:r>
      <w:r w:rsidRPr="00280C42">
        <w:rPr>
          <w:rFonts w:cs="Arial"/>
        </w:rPr>
        <w:t xml:space="preserve"> </w:t>
      </w:r>
      <w:r w:rsidRPr="00280C42">
        <w:rPr>
          <w:rFonts w:cs="Arial"/>
          <w:b/>
        </w:rPr>
        <w:t>vzrostla</w:t>
      </w:r>
      <w:r w:rsidRPr="00280C42">
        <w:rPr>
          <w:rFonts w:cs="Arial"/>
        </w:rPr>
        <w:t xml:space="preserve"> </w:t>
      </w:r>
      <w:r w:rsidRPr="00280C42">
        <w:rPr>
          <w:rFonts w:cs="Arial"/>
          <w:b/>
        </w:rPr>
        <w:t>o 0,3 %</w:t>
      </w:r>
      <w:r w:rsidRPr="00280C42">
        <w:rPr>
          <w:rFonts w:cs="Arial"/>
        </w:rPr>
        <w:t xml:space="preserve"> (při</w:t>
      </w:r>
      <w:r w:rsidR="00A07E15">
        <w:rPr>
          <w:rFonts w:cs="Arial"/>
        </w:rPr>
        <w:t xml:space="preserve"> </w:t>
      </w:r>
      <w:r w:rsidRPr="00280C42">
        <w:rPr>
          <w:rFonts w:cs="Arial"/>
        </w:rPr>
        <w:t>použití indexu životních nákladů domácností důchodců 100,6</w:t>
      </w:r>
      <w:r w:rsidR="00A07E15">
        <w:rPr>
          <w:rFonts w:cs="Arial"/>
        </w:rPr>
        <w:t> </w:t>
      </w:r>
      <w:r w:rsidRPr="00280C42">
        <w:rPr>
          <w:rFonts w:cs="Arial"/>
        </w:rPr>
        <w:t xml:space="preserve">%), tak její </w:t>
      </w:r>
      <w:r w:rsidRPr="00280C42">
        <w:rPr>
          <w:rFonts w:cs="Arial"/>
          <w:b/>
        </w:rPr>
        <w:t>podíl na</w:t>
      </w:r>
      <w:r w:rsidRPr="00280C42">
        <w:rPr>
          <w:rFonts w:cs="Arial"/>
        </w:rPr>
        <w:t xml:space="preserve"> průměrné </w:t>
      </w:r>
      <w:r w:rsidRPr="00280C42">
        <w:rPr>
          <w:rFonts w:cs="Arial"/>
          <w:b/>
        </w:rPr>
        <w:t xml:space="preserve">hrubé měsíční nominální mzdě </w:t>
      </w:r>
      <w:r w:rsidRPr="00280C42">
        <w:rPr>
          <w:rFonts w:cs="Arial"/>
        </w:rPr>
        <w:t>na přepočtené počty</w:t>
      </w:r>
      <w:r w:rsidRPr="00280C42">
        <w:rPr>
          <w:rFonts w:cs="Arial"/>
          <w:b/>
        </w:rPr>
        <w:t xml:space="preserve"> </w:t>
      </w:r>
      <w:r w:rsidRPr="00280C42">
        <w:rPr>
          <w:rFonts w:cs="Arial"/>
        </w:rPr>
        <w:t xml:space="preserve">zaměstnanců v národním hospodářství </w:t>
      </w:r>
      <w:r w:rsidRPr="00280C42">
        <w:rPr>
          <w:rFonts w:cs="Arial"/>
          <w:b/>
        </w:rPr>
        <w:t>se snížil</w:t>
      </w:r>
      <w:r w:rsidRPr="00280C42">
        <w:rPr>
          <w:rFonts w:cs="Arial"/>
        </w:rPr>
        <w:t xml:space="preserve"> a </w:t>
      </w:r>
      <w:r w:rsidRPr="00280C42">
        <w:rPr>
          <w:rFonts w:cs="Arial"/>
          <w:b/>
        </w:rPr>
        <w:t xml:space="preserve"> </w:t>
      </w:r>
      <w:r w:rsidRPr="00280C42">
        <w:rPr>
          <w:rFonts w:cs="Arial"/>
        </w:rPr>
        <w:t>představoval</w:t>
      </w:r>
      <w:r w:rsidRPr="00280C42">
        <w:rPr>
          <w:rFonts w:cs="Arial"/>
          <w:b/>
        </w:rPr>
        <w:t xml:space="preserve"> 41,5 % </w:t>
      </w:r>
      <w:r w:rsidR="00A07E15" w:rsidRPr="00280C42">
        <w:rPr>
          <w:rFonts w:cs="Arial"/>
        </w:rPr>
        <w:t>–</w:t>
      </w:r>
      <w:r w:rsidRPr="00280C42">
        <w:rPr>
          <w:rFonts w:cs="Arial"/>
          <w:b/>
        </w:rPr>
        <w:t xml:space="preserve"> o 1,4 p. b. </w:t>
      </w:r>
      <w:proofErr w:type="gramStart"/>
      <w:r w:rsidRPr="00280C42">
        <w:rPr>
          <w:rFonts w:cs="Arial"/>
          <w:b/>
        </w:rPr>
        <w:t>méně</w:t>
      </w:r>
      <w:proofErr w:type="gramEnd"/>
      <w:r w:rsidRPr="00280C42">
        <w:rPr>
          <w:rFonts w:cs="Arial"/>
          <w:b/>
        </w:rPr>
        <w:t xml:space="preserve"> než v roce 2015.</w:t>
      </w:r>
      <w:r w:rsidRPr="00280C42">
        <w:rPr>
          <w:rFonts w:cs="Arial"/>
        </w:rPr>
        <w:t xml:space="preserve"> Nejvyšší průměrný starobní důchod pobírali občané v hl. m. Praze – 12 243 Kč (jeho relace k průměrné mzdě v hl. m. Praze však činila pouze 34,8 %), nejnižší v Olomouckém kraji – 11 111 Kč (relace 45,0 %), v Karlovarském kraji s průměrným důchodem 11 136 Kč představoval jeho podíl na průměrné hrubé mzdě kraje 47,2 %. – viz grafy č. 4 a 5 v příloze.</w:t>
      </w:r>
    </w:p>
    <w:p w:rsidR="003B5D1E" w:rsidRPr="00280C42" w:rsidRDefault="003B5D1E" w:rsidP="00C32FC3">
      <w:pPr>
        <w:spacing w:line="360" w:lineRule="auto"/>
        <w:jc w:val="both"/>
        <w:rPr>
          <w:rFonts w:cs="Arial"/>
        </w:rPr>
      </w:pPr>
    </w:p>
    <w:p w:rsidR="0045189D" w:rsidRPr="00280C42" w:rsidRDefault="0045189D" w:rsidP="00C32FC3">
      <w:pPr>
        <w:spacing w:line="360" w:lineRule="auto"/>
        <w:jc w:val="both"/>
        <w:rPr>
          <w:rFonts w:cs="Arial"/>
        </w:rPr>
      </w:pPr>
    </w:p>
    <w:p w:rsidR="0045189D" w:rsidRPr="00280C42" w:rsidRDefault="0045189D" w:rsidP="00C32FC3">
      <w:pPr>
        <w:spacing w:line="360" w:lineRule="auto"/>
        <w:jc w:val="both"/>
        <w:rPr>
          <w:rFonts w:cs="Arial"/>
        </w:rPr>
      </w:pPr>
    </w:p>
    <w:p w:rsidR="0045189D" w:rsidRPr="00280C42" w:rsidRDefault="0045189D" w:rsidP="00C32FC3">
      <w:pPr>
        <w:spacing w:line="360" w:lineRule="auto"/>
        <w:jc w:val="both"/>
        <w:rPr>
          <w:rFonts w:cs="Arial"/>
        </w:rPr>
      </w:pPr>
    </w:p>
    <w:p w:rsidR="0045189D" w:rsidRPr="00280C42" w:rsidRDefault="0045189D" w:rsidP="00C32FC3">
      <w:pPr>
        <w:spacing w:line="360" w:lineRule="auto"/>
        <w:jc w:val="both"/>
        <w:rPr>
          <w:rFonts w:cs="Arial"/>
        </w:rPr>
      </w:pPr>
    </w:p>
    <w:p w:rsidR="0045189D" w:rsidRPr="00280C42" w:rsidRDefault="0045189D" w:rsidP="00C32FC3">
      <w:pPr>
        <w:spacing w:line="360" w:lineRule="auto"/>
        <w:jc w:val="both"/>
        <w:rPr>
          <w:rFonts w:cs="Arial"/>
        </w:rPr>
      </w:pPr>
    </w:p>
    <w:p w:rsidR="00C32FC3" w:rsidRPr="00280C42" w:rsidRDefault="00C32FC3" w:rsidP="00C32FC3">
      <w:pPr>
        <w:spacing w:line="360" w:lineRule="auto"/>
        <w:jc w:val="both"/>
        <w:rPr>
          <w:rFonts w:cs="Arial"/>
          <w:b/>
        </w:rPr>
      </w:pPr>
      <w:r w:rsidRPr="00280C42">
        <w:rPr>
          <w:rFonts w:cs="Arial"/>
        </w:rPr>
        <w:lastRenderedPageBreak/>
        <w:tab/>
      </w:r>
      <w:r w:rsidRPr="00280C42">
        <w:rPr>
          <w:rFonts w:cs="Arial"/>
          <w:b/>
        </w:rPr>
        <w:t>V prosinci 2016</w:t>
      </w:r>
    </w:p>
    <w:p w:rsidR="00C32FC3" w:rsidRPr="00280C42" w:rsidRDefault="00C32FC3" w:rsidP="0045189D">
      <w:pPr>
        <w:numPr>
          <w:ilvl w:val="0"/>
          <w:numId w:val="13"/>
        </w:numPr>
        <w:spacing w:after="240"/>
        <w:jc w:val="both"/>
        <w:rPr>
          <w:rFonts w:cs="Arial"/>
        </w:rPr>
      </w:pPr>
      <w:r w:rsidRPr="00280C42">
        <w:rPr>
          <w:rFonts w:cs="Arial"/>
        </w:rPr>
        <w:t xml:space="preserve">pobíralo důchod </w:t>
      </w:r>
      <w:r w:rsidRPr="00280C42">
        <w:rPr>
          <w:rFonts w:cs="Arial"/>
          <w:b/>
        </w:rPr>
        <w:t xml:space="preserve">2 892,5 tis. osob, </w:t>
      </w:r>
      <w:r w:rsidRPr="00280C42">
        <w:rPr>
          <w:rFonts w:cs="Arial"/>
        </w:rPr>
        <w:t>přičemž</w:t>
      </w:r>
      <w:r w:rsidRPr="00280C42">
        <w:rPr>
          <w:rFonts w:cs="Arial"/>
          <w:b/>
        </w:rPr>
        <w:t xml:space="preserve"> jejich počet</w:t>
      </w:r>
      <w:r w:rsidRPr="00280C42">
        <w:rPr>
          <w:rFonts w:cs="Arial"/>
        </w:rPr>
        <w:t xml:space="preserve"> se meziročně zvýšil o 18,5 tis.</w:t>
      </w:r>
      <w:r w:rsidRPr="00280C42">
        <w:rPr>
          <w:rFonts w:cs="Arial"/>
          <w:b/>
        </w:rPr>
        <w:t xml:space="preserve"> </w:t>
      </w:r>
      <w:r w:rsidRPr="00280C42">
        <w:rPr>
          <w:rFonts w:cs="Arial"/>
        </w:rPr>
        <w:t>(tj. </w:t>
      </w:r>
      <w:r w:rsidRPr="00280C42">
        <w:rPr>
          <w:rFonts w:cs="Arial"/>
          <w:b/>
        </w:rPr>
        <w:t>o 0,6 %</w:t>
      </w:r>
      <w:r w:rsidRPr="00280C42">
        <w:rPr>
          <w:rFonts w:cs="Arial"/>
        </w:rPr>
        <w:t xml:space="preserve">). </w:t>
      </w:r>
      <w:r w:rsidRPr="00280C42">
        <w:rPr>
          <w:rFonts w:cs="Arial"/>
          <w:b/>
        </w:rPr>
        <w:t>Počet</w:t>
      </w:r>
      <w:r w:rsidRPr="00280C42">
        <w:rPr>
          <w:rFonts w:cs="Arial"/>
        </w:rPr>
        <w:t xml:space="preserve"> </w:t>
      </w:r>
      <w:r w:rsidRPr="00280C42">
        <w:rPr>
          <w:rFonts w:cs="Arial"/>
          <w:b/>
        </w:rPr>
        <w:t xml:space="preserve">důchodců se starobním důchodem </w:t>
      </w:r>
      <w:r w:rsidRPr="00280C42">
        <w:rPr>
          <w:rFonts w:cs="Arial"/>
        </w:rPr>
        <w:t xml:space="preserve">(včetně poměrného starobního) vzrostl o 18,5 tis. (0,8 %) </w:t>
      </w:r>
      <w:r w:rsidRPr="00280C42">
        <w:rPr>
          <w:rFonts w:cs="Arial"/>
          <w:b/>
        </w:rPr>
        <w:t>na 2 395,4 tis. osob,</w:t>
      </w:r>
      <w:r w:rsidRPr="00280C42">
        <w:rPr>
          <w:rFonts w:cs="Arial"/>
        </w:rPr>
        <w:t xml:space="preserve"> v rámci této skupiny důchodců činil počet důchodců </w:t>
      </w:r>
      <w:r w:rsidRPr="00280C42">
        <w:rPr>
          <w:rFonts w:cs="Arial"/>
          <w:b/>
        </w:rPr>
        <w:t xml:space="preserve">s trvale kráceným předčasným důchodem 601,3 tis. </w:t>
      </w:r>
      <w:r w:rsidRPr="00280C42">
        <w:rPr>
          <w:rFonts w:cs="Arial"/>
        </w:rPr>
        <w:t>(oproti stejnému období předchozího roku se zvýšil o 17,6 tis., tj. o 3,0 %). Meziročně se zvýšily počty příjemců invalidních důchodů o 4,1 tis. na 425,8 tis. (o 1,0 %); vdovských a vdoveckých pobíralo o 2,2 tis. osob (o 6,7  %) méně, sirotčí důchod o 1,9 tis. (o 4,5 %) osob méně,</w:t>
      </w:r>
    </w:p>
    <w:p w:rsidR="00C32FC3" w:rsidRPr="00280C42" w:rsidRDefault="00C32FC3" w:rsidP="0045189D">
      <w:pPr>
        <w:numPr>
          <w:ilvl w:val="0"/>
          <w:numId w:val="13"/>
        </w:numPr>
        <w:spacing w:after="240"/>
        <w:jc w:val="both"/>
        <w:rPr>
          <w:rFonts w:cs="Arial"/>
        </w:rPr>
      </w:pPr>
      <w:r w:rsidRPr="00280C42">
        <w:rPr>
          <w:rFonts w:cs="Arial"/>
          <w:b/>
        </w:rPr>
        <w:t xml:space="preserve">průměrný </w:t>
      </w:r>
      <w:r w:rsidRPr="00280C42">
        <w:rPr>
          <w:rFonts w:cs="Arial"/>
        </w:rPr>
        <w:t xml:space="preserve">nominální </w:t>
      </w:r>
      <w:r w:rsidRPr="00280C42">
        <w:rPr>
          <w:rFonts w:cs="Arial"/>
          <w:b/>
        </w:rPr>
        <w:t xml:space="preserve">starobní důchod </w:t>
      </w:r>
      <w:r w:rsidRPr="00280C42">
        <w:rPr>
          <w:rFonts w:cs="Arial"/>
        </w:rPr>
        <w:t xml:space="preserve">(vyplácený samostatně) </w:t>
      </w:r>
      <w:r w:rsidRPr="00280C42">
        <w:rPr>
          <w:rFonts w:cs="Arial"/>
          <w:b/>
        </w:rPr>
        <w:t xml:space="preserve">dosáhl 11 475 Kč </w:t>
      </w:r>
      <w:r w:rsidRPr="00280C42">
        <w:rPr>
          <w:rFonts w:cs="Arial"/>
        </w:rPr>
        <w:t>a</w:t>
      </w:r>
      <w:r w:rsidRPr="00280C42">
        <w:rPr>
          <w:rFonts w:cs="Arial"/>
          <w:b/>
        </w:rPr>
        <w:t xml:space="preserve"> převýšil</w:t>
      </w:r>
      <w:r w:rsidRPr="00280C42">
        <w:rPr>
          <w:rFonts w:cs="Arial"/>
        </w:rPr>
        <w:t xml:space="preserve"> o 112 Kč skutečnost stejného měsíce roku 2015 (viz</w:t>
      </w:r>
      <w:r w:rsidR="00F823B4">
        <w:rPr>
          <w:rFonts w:cs="Arial"/>
        </w:rPr>
        <w:t> </w:t>
      </w:r>
      <w:r w:rsidRPr="00280C42">
        <w:rPr>
          <w:rFonts w:cs="Arial"/>
        </w:rPr>
        <w:t xml:space="preserve">tabulku č. 9). U </w:t>
      </w:r>
      <w:r w:rsidRPr="00280C42">
        <w:rPr>
          <w:rFonts w:cs="Arial"/>
          <w:b/>
        </w:rPr>
        <w:t>žen</w:t>
      </w:r>
      <w:r w:rsidRPr="00280C42">
        <w:rPr>
          <w:rFonts w:cs="Arial"/>
        </w:rPr>
        <w:t xml:space="preserve"> činil 10 416 Kč, čímž představoval </w:t>
      </w:r>
      <w:r w:rsidRPr="00280C42">
        <w:rPr>
          <w:rFonts w:cs="Arial"/>
          <w:b/>
        </w:rPr>
        <w:t>82,2 %</w:t>
      </w:r>
      <w:r w:rsidRPr="00280C42">
        <w:rPr>
          <w:rFonts w:cs="Arial"/>
        </w:rPr>
        <w:t xml:space="preserve"> </w:t>
      </w:r>
      <w:r w:rsidRPr="00280C42">
        <w:rPr>
          <w:rFonts w:cs="Arial"/>
          <w:b/>
        </w:rPr>
        <w:t>průměrného důchodu mužů</w:t>
      </w:r>
      <w:r w:rsidRPr="00280C42">
        <w:rPr>
          <w:rFonts w:cs="Arial"/>
        </w:rPr>
        <w:t xml:space="preserve"> (12 678 Kč). Průměrná výše trvale kráceného předčasného důchodu byla oproti průměrnému starobnímu důchodu o 1 259 Kč nižší a dosáhla 10 216 Kč (o 92 Kč více než ve srovnatelném období předchozího roku), z toho u mužů 11 349 Kč a u žen 9 241 Kč,</w:t>
      </w:r>
    </w:p>
    <w:p w:rsidR="00C32FC3" w:rsidRPr="00280C42" w:rsidRDefault="00C32FC3" w:rsidP="00C32FC3">
      <w:pPr>
        <w:numPr>
          <w:ilvl w:val="0"/>
          <w:numId w:val="13"/>
        </w:numPr>
        <w:jc w:val="both"/>
        <w:rPr>
          <w:rFonts w:cs="Arial"/>
        </w:rPr>
      </w:pPr>
      <w:r w:rsidRPr="00280C42">
        <w:rPr>
          <w:rFonts w:cs="Arial"/>
          <w:b/>
        </w:rPr>
        <w:t xml:space="preserve">pobíralo </w:t>
      </w:r>
      <w:r w:rsidRPr="00280C42">
        <w:rPr>
          <w:rFonts w:cs="Arial"/>
        </w:rPr>
        <w:t xml:space="preserve">samostatně vyplácený starobní důchod </w:t>
      </w:r>
      <w:r w:rsidRPr="00280C42">
        <w:rPr>
          <w:rFonts w:cs="Arial"/>
          <w:b/>
        </w:rPr>
        <w:t>do</w:t>
      </w:r>
      <w:r w:rsidRPr="00280C42">
        <w:rPr>
          <w:rFonts w:cs="Arial"/>
        </w:rPr>
        <w:t xml:space="preserve"> úrovně</w:t>
      </w:r>
      <w:r w:rsidRPr="00280C42">
        <w:rPr>
          <w:rFonts w:cs="Arial"/>
          <w:b/>
        </w:rPr>
        <w:t xml:space="preserve"> 10 999 Kč</w:t>
      </w:r>
      <w:r w:rsidRPr="00280C42">
        <w:rPr>
          <w:rFonts w:cs="Arial"/>
        </w:rPr>
        <w:t xml:space="preserve"> měsíčně </w:t>
      </w:r>
      <w:r w:rsidRPr="00280C42">
        <w:rPr>
          <w:rFonts w:cs="Arial"/>
          <w:b/>
        </w:rPr>
        <w:t>44,4 %</w:t>
      </w:r>
      <w:r w:rsidRPr="00280C42">
        <w:rPr>
          <w:rFonts w:cs="Arial"/>
        </w:rPr>
        <w:t xml:space="preserve"> osob (o 1,7 p. b. </w:t>
      </w:r>
      <w:proofErr w:type="gramStart"/>
      <w:r w:rsidRPr="00280C42">
        <w:rPr>
          <w:rFonts w:cs="Arial"/>
        </w:rPr>
        <w:t>méně</w:t>
      </w:r>
      <w:proofErr w:type="gramEnd"/>
      <w:r w:rsidRPr="00280C42">
        <w:rPr>
          <w:rFonts w:cs="Arial"/>
        </w:rPr>
        <w:t xml:space="preserve"> než v prosinci 2015), ve výši </w:t>
      </w:r>
      <w:r w:rsidRPr="00280C42">
        <w:rPr>
          <w:rFonts w:cs="Arial"/>
          <w:b/>
        </w:rPr>
        <w:t>11 000 Kč – 13 999 Kč</w:t>
      </w:r>
      <w:r w:rsidRPr="00280C42">
        <w:rPr>
          <w:rFonts w:cs="Arial"/>
        </w:rPr>
        <w:t xml:space="preserve"> měsíčně </w:t>
      </w:r>
      <w:r w:rsidRPr="00280C42">
        <w:rPr>
          <w:rFonts w:cs="Arial"/>
          <w:b/>
        </w:rPr>
        <w:t>41,5 %</w:t>
      </w:r>
      <w:r w:rsidRPr="00280C42">
        <w:rPr>
          <w:rFonts w:cs="Arial"/>
        </w:rPr>
        <w:t xml:space="preserve"> osob (o 0,5 p.</w:t>
      </w:r>
      <w:r w:rsidR="00F823B4">
        <w:rPr>
          <w:rFonts w:cs="Arial"/>
        </w:rPr>
        <w:t xml:space="preserve"> </w:t>
      </w:r>
      <w:r w:rsidRPr="00280C42">
        <w:rPr>
          <w:rFonts w:cs="Arial"/>
        </w:rPr>
        <w:t xml:space="preserve">b. více), </w:t>
      </w:r>
      <w:r w:rsidRPr="00280C42">
        <w:rPr>
          <w:rFonts w:cs="Arial"/>
          <w:b/>
        </w:rPr>
        <w:t>vyšší</w:t>
      </w:r>
      <w:r w:rsidRPr="00280C42">
        <w:rPr>
          <w:rFonts w:cs="Arial"/>
        </w:rPr>
        <w:t xml:space="preserve"> důchod </w:t>
      </w:r>
      <w:r w:rsidRPr="00280C42">
        <w:rPr>
          <w:rFonts w:cs="Arial"/>
          <w:b/>
        </w:rPr>
        <w:t>než 14 000 Kč</w:t>
      </w:r>
      <w:r w:rsidRPr="00280C42">
        <w:rPr>
          <w:rFonts w:cs="Arial"/>
        </w:rPr>
        <w:t xml:space="preserve"> měsíčně mělo </w:t>
      </w:r>
      <w:r w:rsidRPr="00280C42">
        <w:rPr>
          <w:rFonts w:cs="Arial"/>
          <w:b/>
        </w:rPr>
        <w:t>14,1 %</w:t>
      </w:r>
      <w:r w:rsidRPr="00280C42">
        <w:rPr>
          <w:rFonts w:cs="Arial"/>
        </w:rPr>
        <w:t xml:space="preserve"> důchodců (o 0,5 p. b. více). Postupné přelévání důchodů do vyšších pásem ukazuje následující graf:</w:t>
      </w:r>
    </w:p>
    <w:p w:rsidR="00C32FC3" w:rsidRPr="00280C42" w:rsidRDefault="00C32FC3" w:rsidP="00C32FC3">
      <w:pPr>
        <w:spacing w:line="360" w:lineRule="auto"/>
        <w:ind w:left="360"/>
        <w:jc w:val="both"/>
        <w:rPr>
          <w:rFonts w:cs="Arial"/>
        </w:rPr>
      </w:pPr>
    </w:p>
    <w:p w:rsidR="0045189D" w:rsidRPr="00280C42" w:rsidRDefault="0045189D" w:rsidP="00C32FC3">
      <w:pPr>
        <w:spacing w:line="360" w:lineRule="auto"/>
        <w:ind w:left="360"/>
        <w:jc w:val="both"/>
        <w:rPr>
          <w:rFonts w:cs="Arial"/>
        </w:rPr>
      </w:pPr>
    </w:p>
    <w:p w:rsidR="00C32FC3" w:rsidRPr="00280C42" w:rsidRDefault="00C32FC3" w:rsidP="00C32FC3">
      <w:pPr>
        <w:spacing w:line="360" w:lineRule="auto"/>
        <w:jc w:val="both"/>
        <w:rPr>
          <w:rFonts w:cs="Arial"/>
        </w:rPr>
      </w:pPr>
      <w:r w:rsidRPr="00280C42">
        <w:rPr>
          <w:noProof/>
        </w:rPr>
        <w:drawing>
          <wp:inline distT="0" distB="0" distL="0" distR="0" wp14:anchorId="0031D69F" wp14:editId="13035054">
            <wp:extent cx="5742940" cy="348742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2940" cy="3487420"/>
                    </a:xfrm>
                    <a:prstGeom prst="rect">
                      <a:avLst/>
                    </a:prstGeom>
                    <a:noFill/>
                  </pic:spPr>
                </pic:pic>
              </a:graphicData>
            </a:graphic>
          </wp:inline>
        </w:drawing>
      </w:r>
    </w:p>
    <w:p w:rsidR="00C32FC3" w:rsidRPr="00280C42" w:rsidRDefault="00C32FC3" w:rsidP="00C32FC3">
      <w:pPr>
        <w:rPr>
          <w:noProof/>
          <w:sz w:val="20"/>
        </w:rPr>
      </w:pPr>
      <w:r w:rsidRPr="00280C42">
        <w:rPr>
          <w:noProof/>
          <w:sz w:val="20"/>
        </w:rPr>
        <w:t>Zpracováno z dat MPSV</w:t>
      </w:r>
    </w:p>
    <w:p w:rsidR="00C32FC3" w:rsidRPr="00280C42" w:rsidRDefault="00C32FC3" w:rsidP="00C32FC3">
      <w:pPr>
        <w:spacing w:line="360" w:lineRule="auto"/>
        <w:ind w:left="1423"/>
        <w:jc w:val="both"/>
        <w:rPr>
          <w:rFonts w:cs="Arial"/>
        </w:rPr>
      </w:pPr>
    </w:p>
    <w:p w:rsidR="00C32FC3" w:rsidRPr="00280C42" w:rsidRDefault="00C32FC3" w:rsidP="00C32FC3">
      <w:pPr>
        <w:numPr>
          <w:ilvl w:val="0"/>
          <w:numId w:val="13"/>
        </w:numPr>
        <w:jc w:val="both"/>
        <w:rPr>
          <w:rFonts w:cs="Arial"/>
        </w:rPr>
      </w:pPr>
      <w:r w:rsidRPr="00280C42">
        <w:rPr>
          <w:rFonts w:cs="Arial"/>
        </w:rPr>
        <w:lastRenderedPageBreak/>
        <w:t xml:space="preserve">relativní rozložení všech druhů samostatně vyplácených důchodů dle pohlaví ukazuje následující graf (z 2,9 mil. důchodců bylo 1,2 mil. mužů a 1,7 mil. žen); ve skupinách s důchodem nižším než 12 000 Kč převládaly výrazně ženy, ve skupinách nad 12 000 Kč muži. </w:t>
      </w:r>
    </w:p>
    <w:p w:rsidR="0045189D" w:rsidRPr="00280C42" w:rsidRDefault="0045189D" w:rsidP="0045189D">
      <w:pPr>
        <w:ind w:left="360"/>
        <w:jc w:val="both"/>
        <w:rPr>
          <w:rFonts w:cs="Arial"/>
        </w:rPr>
      </w:pPr>
    </w:p>
    <w:p w:rsidR="0045189D" w:rsidRPr="00280C42" w:rsidRDefault="0045189D" w:rsidP="0045189D">
      <w:pPr>
        <w:ind w:left="360"/>
        <w:jc w:val="both"/>
        <w:rPr>
          <w:rFonts w:cs="Arial"/>
        </w:rPr>
      </w:pPr>
    </w:p>
    <w:p w:rsidR="0045189D" w:rsidRPr="00280C42" w:rsidRDefault="0045189D" w:rsidP="0045189D">
      <w:pPr>
        <w:ind w:left="360"/>
        <w:jc w:val="both"/>
        <w:rPr>
          <w:rFonts w:cs="Arial"/>
        </w:rPr>
      </w:pPr>
    </w:p>
    <w:p w:rsidR="00C32FC3" w:rsidRPr="00280C42" w:rsidRDefault="00C32FC3" w:rsidP="00C32FC3">
      <w:pPr>
        <w:spacing w:after="200"/>
        <w:jc w:val="center"/>
        <w:rPr>
          <w:rFonts w:cs="Arial"/>
        </w:rPr>
      </w:pPr>
      <w:r w:rsidRPr="00280C42">
        <w:rPr>
          <w:noProof/>
        </w:rPr>
        <w:drawing>
          <wp:inline distT="0" distB="0" distL="0" distR="0" wp14:anchorId="1743C498" wp14:editId="1DD9BA29">
            <wp:extent cx="5715000" cy="3310567"/>
            <wp:effectExtent l="0" t="0" r="0" b="444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15000" cy="3310567"/>
                    </a:xfrm>
                    <a:prstGeom prst="rect">
                      <a:avLst/>
                    </a:prstGeom>
                    <a:noFill/>
                  </pic:spPr>
                </pic:pic>
              </a:graphicData>
            </a:graphic>
          </wp:inline>
        </w:drawing>
      </w:r>
    </w:p>
    <w:p w:rsidR="00C32FC3" w:rsidRPr="00280C42" w:rsidRDefault="00C32FC3" w:rsidP="00C32FC3">
      <w:pPr>
        <w:spacing w:line="276" w:lineRule="auto"/>
        <w:rPr>
          <w:noProof/>
          <w:sz w:val="20"/>
        </w:rPr>
      </w:pPr>
      <w:r w:rsidRPr="00280C42">
        <w:rPr>
          <w:noProof/>
          <w:sz w:val="20"/>
        </w:rPr>
        <w:t>Zpracováno z dat MPSV</w:t>
      </w:r>
    </w:p>
    <w:p w:rsidR="00C32FC3" w:rsidRPr="00280C42" w:rsidRDefault="00C32FC3" w:rsidP="00C32FC3">
      <w:pPr>
        <w:spacing w:after="120" w:line="360" w:lineRule="auto"/>
        <w:jc w:val="both"/>
        <w:rPr>
          <w:rFonts w:cs="Arial"/>
          <w:b/>
        </w:rPr>
      </w:pPr>
    </w:p>
    <w:p w:rsidR="0045189D" w:rsidRPr="00280C42" w:rsidRDefault="0045189D" w:rsidP="00C32FC3">
      <w:pPr>
        <w:spacing w:after="120" w:line="360" w:lineRule="auto"/>
        <w:jc w:val="both"/>
        <w:rPr>
          <w:rFonts w:cs="Arial"/>
          <w:b/>
        </w:rPr>
      </w:pPr>
    </w:p>
    <w:p w:rsidR="0045189D" w:rsidRPr="00280C42" w:rsidRDefault="0045189D" w:rsidP="00C32FC3">
      <w:pPr>
        <w:spacing w:after="120" w:line="360" w:lineRule="auto"/>
        <w:jc w:val="both"/>
        <w:rPr>
          <w:rFonts w:cs="Arial"/>
          <w:b/>
        </w:rPr>
      </w:pPr>
    </w:p>
    <w:p w:rsidR="0045189D" w:rsidRPr="00280C42" w:rsidRDefault="0045189D" w:rsidP="00C32FC3">
      <w:pPr>
        <w:spacing w:after="120" w:line="360" w:lineRule="auto"/>
        <w:jc w:val="both"/>
        <w:rPr>
          <w:rFonts w:cs="Arial"/>
          <w:b/>
        </w:rPr>
      </w:pPr>
    </w:p>
    <w:p w:rsidR="00C32FC3" w:rsidRPr="00280C42" w:rsidRDefault="00C32FC3" w:rsidP="00C32FC3">
      <w:pPr>
        <w:spacing w:line="360" w:lineRule="auto"/>
        <w:jc w:val="both"/>
        <w:rPr>
          <w:rFonts w:cs="Arial"/>
        </w:rPr>
      </w:pPr>
      <w:r w:rsidRPr="00280C42">
        <w:rPr>
          <w:rFonts w:cs="Arial"/>
          <w:b/>
        </w:rPr>
        <w:tab/>
      </w:r>
      <w:r w:rsidRPr="00280C42">
        <w:rPr>
          <w:rFonts w:cs="Arial"/>
        </w:rPr>
        <w:t xml:space="preserve">Na </w:t>
      </w:r>
      <w:r w:rsidRPr="00280C42">
        <w:rPr>
          <w:rFonts w:cs="Arial"/>
          <w:b/>
          <w:bCs/>
          <w:u w:val="single"/>
        </w:rPr>
        <w:t>dávkách státní sociální podpory a pěstounské péče</w:t>
      </w:r>
      <w:r w:rsidRPr="00280C42">
        <w:rPr>
          <w:rFonts w:cs="Arial"/>
          <w:b/>
          <w:bCs/>
        </w:rPr>
        <w:t xml:space="preserve"> </w:t>
      </w:r>
      <w:r w:rsidRPr="00280C42">
        <w:rPr>
          <w:rFonts w:cs="Arial"/>
        </w:rPr>
        <w:t xml:space="preserve">bylo </w:t>
      </w:r>
      <w:r w:rsidRPr="00280C42">
        <w:rPr>
          <w:rFonts w:cs="Arial"/>
          <w:b/>
          <w:bCs/>
        </w:rPr>
        <w:t xml:space="preserve">vyplaceno 37,8 mld. Kč </w:t>
      </w:r>
      <w:r w:rsidRPr="00280C42">
        <w:rPr>
          <w:rFonts w:cs="Arial"/>
        </w:rPr>
        <w:t xml:space="preserve">a zůstaly tak s podílem 7,7 % na celkových sociálních příjmech obyvatel nadále druhou nejvýznamnější složkou sociálních příjmů domácností. V hodnoceném období bylo touto formou vyplaceno meziročně </w:t>
      </w:r>
      <w:r w:rsidRPr="00280C42">
        <w:rPr>
          <w:rFonts w:cs="Arial"/>
          <w:b/>
        </w:rPr>
        <w:t>o 0,2 mld. Kč</w:t>
      </w:r>
      <w:r w:rsidRPr="00280C42">
        <w:rPr>
          <w:rFonts w:cs="Arial"/>
        </w:rPr>
        <w:t xml:space="preserve"> </w:t>
      </w:r>
      <w:r w:rsidRPr="00280C42">
        <w:rPr>
          <w:rFonts w:cs="Arial"/>
          <w:b/>
        </w:rPr>
        <w:t xml:space="preserve">více </w:t>
      </w:r>
      <w:r w:rsidRPr="00280C42">
        <w:rPr>
          <w:rFonts w:cs="Arial"/>
        </w:rPr>
        <w:t>finančních prostředků (</w:t>
      </w:r>
      <w:r w:rsidRPr="00280C42">
        <w:rPr>
          <w:rFonts w:cs="Arial"/>
          <w:b/>
        </w:rPr>
        <w:t>o 0,5 %</w:t>
      </w:r>
      <w:r w:rsidRPr="00280C42">
        <w:rPr>
          <w:rFonts w:cs="Arial"/>
        </w:rPr>
        <w:t>) než ve stejném období předchozího roku – viz tabulky č. 8 a 10 v příloze.</w:t>
      </w:r>
    </w:p>
    <w:p w:rsidR="00C32FC3" w:rsidRPr="00280C42" w:rsidRDefault="00C32FC3" w:rsidP="0045189D">
      <w:pPr>
        <w:spacing w:line="360" w:lineRule="auto"/>
        <w:jc w:val="center"/>
        <w:rPr>
          <w:rFonts w:cs="Arial"/>
        </w:rPr>
      </w:pPr>
      <w:r w:rsidRPr="00280C42">
        <w:rPr>
          <w:noProof/>
        </w:rPr>
        <w:lastRenderedPageBreak/>
        <w:drawing>
          <wp:inline distT="0" distB="0" distL="0" distR="0" wp14:anchorId="229C197A" wp14:editId="598A2EFE">
            <wp:extent cx="5581650" cy="347325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81650" cy="3473255"/>
                    </a:xfrm>
                    <a:prstGeom prst="rect">
                      <a:avLst/>
                    </a:prstGeom>
                    <a:noFill/>
                  </pic:spPr>
                </pic:pic>
              </a:graphicData>
            </a:graphic>
          </wp:inline>
        </w:drawing>
      </w:r>
    </w:p>
    <w:p w:rsidR="00C32FC3" w:rsidRPr="00280C42" w:rsidRDefault="00C32FC3" w:rsidP="0045189D">
      <w:pPr>
        <w:spacing w:after="240" w:line="360" w:lineRule="auto"/>
        <w:jc w:val="both"/>
        <w:rPr>
          <w:sz w:val="20"/>
        </w:rPr>
      </w:pPr>
      <w:r w:rsidRPr="00280C42">
        <w:rPr>
          <w:sz w:val="20"/>
        </w:rPr>
        <w:t>Zpracováno z dat MPSV</w:t>
      </w:r>
    </w:p>
    <w:p w:rsidR="00C32FC3" w:rsidRPr="00280C42" w:rsidRDefault="00C32FC3" w:rsidP="0045189D">
      <w:pPr>
        <w:spacing w:line="360" w:lineRule="auto"/>
        <w:jc w:val="both"/>
        <w:rPr>
          <w:rFonts w:cs="Arial"/>
        </w:rPr>
      </w:pPr>
      <w:r w:rsidRPr="00280C42">
        <w:rPr>
          <w:rFonts w:cs="Arial"/>
          <w:b/>
        </w:rPr>
        <w:tab/>
      </w:r>
      <w:r w:rsidRPr="00280C42">
        <w:rPr>
          <w:rFonts w:cs="Arial"/>
        </w:rPr>
        <w:t xml:space="preserve">Předchozí i následující graf ukazuje na </w:t>
      </w:r>
      <w:r w:rsidRPr="00280C42">
        <w:rPr>
          <w:rFonts w:cs="Arial"/>
          <w:b/>
        </w:rPr>
        <w:t>dlouhodobě klesající tendenci výdajů i počtu příjemců u přídavku na dítě i u rodičovského příspěvku</w:t>
      </w:r>
      <w:r w:rsidRPr="00280C42">
        <w:rPr>
          <w:rFonts w:cs="Arial"/>
        </w:rPr>
        <w:t xml:space="preserve"> (u kterého se tento trend u výdajů v roce 2016 zastavil) a </w:t>
      </w:r>
      <w:r w:rsidRPr="00280C42">
        <w:rPr>
          <w:rFonts w:cs="Arial"/>
          <w:b/>
        </w:rPr>
        <w:t>stoupající tendenci u příspěvku na bydlení.</w:t>
      </w:r>
    </w:p>
    <w:p w:rsidR="00C32FC3" w:rsidRPr="00280C42" w:rsidRDefault="00C32FC3" w:rsidP="00C32FC3">
      <w:pPr>
        <w:spacing w:line="360" w:lineRule="auto"/>
        <w:jc w:val="both"/>
        <w:rPr>
          <w:rFonts w:cs="Arial"/>
        </w:rPr>
      </w:pPr>
      <w:r w:rsidRPr="00280C42">
        <w:rPr>
          <w:noProof/>
        </w:rPr>
        <w:drawing>
          <wp:inline distT="0" distB="0" distL="0" distR="0" wp14:anchorId="3E47E64A" wp14:editId="675A6E03">
            <wp:extent cx="5600700" cy="3611903"/>
            <wp:effectExtent l="0" t="0" r="0" b="762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08453" cy="3616903"/>
                    </a:xfrm>
                    <a:prstGeom prst="rect">
                      <a:avLst/>
                    </a:prstGeom>
                    <a:noFill/>
                  </pic:spPr>
                </pic:pic>
              </a:graphicData>
            </a:graphic>
          </wp:inline>
        </w:drawing>
      </w:r>
    </w:p>
    <w:p w:rsidR="00C32FC3" w:rsidRPr="00280C42" w:rsidRDefault="00C32FC3" w:rsidP="00C32FC3">
      <w:pPr>
        <w:spacing w:line="360" w:lineRule="auto"/>
        <w:jc w:val="both"/>
        <w:rPr>
          <w:rFonts w:cs="Arial"/>
          <w:sz w:val="20"/>
        </w:rPr>
      </w:pPr>
      <w:r w:rsidRPr="00280C42">
        <w:rPr>
          <w:rFonts w:cs="Arial"/>
          <w:sz w:val="20"/>
        </w:rPr>
        <w:t>Zpracováno z dat MPSV</w:t>
      </w:r>
    </w:p>
    <w:p w:rsidR="00C32FC3" w:rsidRPr="00280C42" w:rsidRDefault="00C32FC3" w:rsidP="00C32FC3">
      <w:pPr>
        <w:spacing w:line="360" w:lineRule="auto"/>
        <w:jc w:val="both"/>
        <w:rPr>
          <w:rFonts w:cs="Arial"/>
        </w:rPr>
      </w:pPr>
      <w:r w:rsidRPr="00280C42">
        <w:rPr>
          <w:rFonts w:cs="Arial"/>
        </w:rPr>
        <w:lastRenderedPageBreak/>
        <w:tab/>
      </w:r>
      <w:r w:rsidRPr="00280C42">
        <w:rPr>
          <w:rFonts w:cs="Arial"/>
          <w:b/>
        </w:rPr>
        <w:t>Výdaje na</w:t>
      </w:r>
      <w:r w:rsidRPr="00280C42">
        <w:rPr>
          <w:rFonts w:cs="Arial"/>
        </w:rPr>
        <w:t xml:space="preserve"> rozhodující dávku tohoto systému </w:t>
      </w:r>
      <w:r w:rsidRPr="00280C42">
        <w:rPr>
          <w:rFonts w:cs="Arial"/>
          <w:bCs/>
        </w:rPr>
        <w:t>–</w:t>
      </w:r>
      <w:r w:rsidRPr="00280C42">
        <w:rPr>
          <w:rFonts w:cs="Arial"/>
          <w:b/>
          <w:bCs/>
        </w:rPr>
        <w:t xml:space="preserve"> rodičovský příspěvek </w:t>
      </w:r>
      <w:r w:rsidRPr="00280C42">
        <w:rPr>
          <w:rFonts w:cs="Arial"/>
        </w:rPr>
        <w:t xml:space="preserve">(s podílem 59,8 % na celkovém objemu těchto dávek) </w:t>
      </w:r>
      <w:r w:rsidRPr="00280C42">
        <w:rPr>
          <w:rFonts w:cs="Arial"/>
          <w:b/>
        </w:rPr>
        <w:t>se zvýšily</w:t>
      </w:r>
      <w:r w:rsidRPr="00280C42">
        <w:rPr>
          <w:rFonts w:cs="Arial"/>
          <w:bCs/>
        </w:rPr>
        <w:t xml:space="preserve"> o 0,1 mld. Kč (</w:t>
      </w:r>
      <w:r w:rsidRPr="00280C42">
        <w:rPr>
          <w:rFonts w:cs="Arial"/>
          <w:b/>
          <w:bCs/>
        </w:rPr>
        <w:t>o 0,6 %</w:t>
      </w:r>
      <w:r w:rsidRPr="00280C42">
        <w:rPr>
          <w:rFonts w:cs="Arial"/>
          <w:bCs/>
        </w:rPr>
        <w:t>)</w:t>
      </w:r>
      <w:r w:rsidRPr="00280C42">
        <w:rPr>
          <w:rFonts w:cs="Arial"/>
          <w:b/>
          <w:bCs/>
        </w:rPr>
        <w:t xml:space="preserve"> </w:t>
      </w:r>
      <w:r w:rsidRPr="00280C42">
        <w:rPr>
          <w:rFonts w:cs="Arial"/>
          <w:bCs/>
        </w:rPr>
        <w:t>na</w:t>
      </w:r>
      <w:r w:rsidRPr="00280C42">
        <w:rPr>
          <w:rFonts w:cs="Arial"/>
        </w:rPr>
        <w:t xml:space="preserve"> </w:t>
      </w:r>
      <w:r w:rsidRPr="00280C42">
        <w:rPr>
          <w:rFonts w:cs="Arial"/>
          <w:b/>
        </w:rPr>
        <w:t>22,6 </w:t>
      </w:r>
      <w:r w:rsidRPr="00280C42">
        <w:rPr>
          <w:rFonts w:cs="Arial"/>
          <w:b/>
          <w:bCs/>
        </w:rPr>
        <w:t>mld. Kč.</w:t>
      </w:r>
      <w:r w:rsidRPr="00280C42">
        <w:rPr>
          <w:rFonts w:cs="Arial"/>
        </w:rPr>
        <w:t xml:space="preserve"> Průměrný počet měsíčně vyplacených dávek se snížil o 0,9 %, tj. o 2,6 tis. na 274,8 </w:t>
      </w:r>
      <w:proofErr w:type="gramStart"/>
      <w:r w:rsidRPr="00280C42">
        <w:rPr>
          <w:rFonts w:cs="Arial"/>
        </w:rPr>
        <w:t>tis.– viz</w:t>
      </w:r>
      <w:proofErr w:type="gramEnd"/>
      <w:r w:rsidRPr="00280C42">
        <w:rPr>
          <w:rFonts w:cs="Arial"/>
        </w:rPr>
        <w:t xml:space="preserve"> tabulky č. 10 – 12 v příloze.</w:t>
      </w:r>
    </w:p>
    <w:p w:rsidR="00C32FC3" w:rsidRPr="00280C42" w:rsidRDefault="00C32FC3" w:rsidP="00C32FC3">
      <w:pPr>
        <w:spacing w:line="360" w:lineRule="auto"/>
        <w:jc w:val="both"/>
        <w:rPr>
          <w:rFonts w:cs="Arial"/>
        </w:rPr>
      </w:pPr>
    </w:p>
    <w:p w:rsidR="00C32FC3" w:rsidRPr="00280C42" w:rsidRDefault="00C32FC3" w:rsidP="00C32FC3">
      <w:pPr>
        <w:spacing w:line="360" w:lineRule="auto"/>
        <w:jc w:val="both"/>
        <w:rPr>
          <w:rFonts w:cs="Arial"/>
          <w:szCs w:val="24"/>
        </w:rPr>
      </w:pPr>
      <w:r w:rsidRPr="00280C42">
        <w:rPr>
          <w:rFonts w:cs="Arial"/>
        </w:rPr>
        <w:tab/>
      </w:r>
      <w:r w:rsidRPr="00280C42">
        <w:rPr>
          <w:rFonts w:cs="Arial"/>
          <w:b/>
          <w:bCs/>
          <w:szCs w:val="24"/>
        </w:rPr>
        <w:t>Přírůstek</w:t>
      </w:r>
      <w:r w:rsidRPr="00280C42">
        <w:rPr>
          <w:rFonts w:cs="Arial"/>
          <w:bCs/>
          <w:szCs w:val="24"/>
        </w:rPr>
        <w:t xml:space="preserve"> byl zaznamenán </w:t>
      </w:r>
      <w:r w:rsidRPr="00280C42">
        <w:rPr>
          <w:rFonts w:cs="Arial"/>
          <w:b/>
          <w:bCs/>
          <w:szCs w:val="24"/>
        </w:rPr>
        <w:t>u</w:t>
      </w:r>
      <w:r w:rsidRPr="00280C42">
        <w:rPr>
          <w:rFonts w:cs="Arial"/>
          <w:bCs/>
          <w:szCs w:val="24"/>
        </w:rPr>
        <w:t xml:space="preserve"> </w:t>
      </w:r>
      <w:r w:rsidRPr="00280C42">
        <w:rPr>
          <w:rFonts w:cs="Arial"/>
          <w:b/>
          <w:bCs/>
          <w:szCs w:val="24"/>
        </w:rPr>
        <w:t>příspěvku na bydlení</w:t>
      </w:r>
      <w:r w:rsidRPr="00280C42">
        <w:rPr>
          <w:rFonts w:cs="Arial"/>
          <w:bCs/>
          <w:szCs w:val="24"/>
        </w:rPr>
        <w:t xml:space="preserve"> (jehož podíl na celkové výši výdajů na dávky státní sociální podpory vzrostl ve sledovaném období na 24,5 %). B</w:t>
      </w:r>
      <w:r w:rsidRPr="00280C42">
        <w:rPr>
          <w:rFonts w:cs="Arial"/>
          <w:szCs w:val="24"/>
        </w:rPr>
        <w:t xml:space="preserve">ylo na něj vynaloženo </w:t>
      </w:r>
      <w:r w:rsidRPr="00280C42">
        <w:rPr>
          <w:rFonts w:cs="Arial"/>
          <w:b/>
          <w:szCs w:val="24"/>
        </w:rPr>
        <w:t>9,3 </w:t>
      </w:r>
      <w:r w:rsidRPr="00280C42">
        <w:rPr>
          <w:rFonts w:cs="Arial"/>
          <w:b/>
          <w:bCs/>
          <w:szCs w:val="24"/>
        </w:rPr>
        <w:t>mld. Kč,</w:t>
      </w:r>
      <w:r w:rsidRPr="00280C42">
        <w:rPr>
          <w:rFonts w:cs="Arial"/>
          <w:bCs/>
          <w:szCs w:val="24"/>
        </w:rPr>
        <w:t xml:space="preserve"> tj.</w:t>
      </w:r>
      <w:r w:rsidRPr="00280C42">
        <w:rPr>
          <w:rFonts w:cs="Arial"/>
          <w:b/>
          <w:bCs/>
          <w:szCs w:val="24"/>
        </w:rPr>
        <w:t xml:space="preserve"> </w:t>
      </w:r>
      <w:r w:rsidRPr="00280C42">
        <w:rPr>
          <w:rFonts w:cs="Arial"/>
          <w:b/>
          <w:szCs w:val="24"/>
        </w:rPr>
        <w:t>o 1,1 %</w:t>
      </w:r>
      <w:r w:rsidRPr="00280C42">
        <w:rPr>
          <w:rFonts w:cs="Arial"/>
          <w:szCs w:val="24"/>
        </w:rPr>
        <w:t xml:space="preserve"> (o 0,1 mld. Kč) </w:t>
      </w:r>
      <w:r w:rsidRPr="00280C42">
        <w:rPr>
          <w:rFonts w:cs="Arial"/>
          <w:b/>
          <w:szCs w:val="24"/>
        </w:rPr>
        <w:t>více</w:t>
      </w:r>
      <w:r w:rsidRPr="00280C42">
        <w:rPr>
          <w:rFonts w:cs="Arial"/>
          <w:szCs w:val="24"/>
        </w:rPr>
        <w:t xml:space="preserve"> při sníženém počtu v průměru měsíčně vyplácených dávek (o 2,0 %, tj. o  4,5 tis.) na 220,6 tis., jejichž </w:t>
      </w:r>
      <w:r w:rsidRPr="00280C42">
        <w:rPr>
          <w:rFonts w:cs="Arial"/>
          <w:bCs/>
          <w:szCs w:val="24"/>
        </w:rPr>
        <w:t>průměrná výše vzrostla</w:t>
      </w:r>
      <w:r w:rsidRPr="00280C42">
        <w:rPr>
          <w:rFonts w:cs="Arial"/>
          <w:szCs w:val="24"/>
        </w:rPr>
        <w:t xml:space="preserve"> z 3 410</w:t>
      </w:r>
      <w:r w:rsidRPr="00280C42">
        <w:rPr>
          <w:rFonts w:cs="Arial"/>
          <w:bCs/>
          <w:szCs w:val="24"/>
        </w:rPr>
        <w:t> Kč</w:t>
      </w:r>
      <w:r w:rsidRPr="00280C42">
        <w:rPr>
          <w:rFonts w:cs="Arial"/>
          <w:szCs w:val="24"/>
        </w:rPr>
        <w:t xml:space="preserve"> na 3 518 Kč (o 3,2 %), nejvyšší byla v Praze (4 479 Kč), nejnižší ve Zlínském kraji (2 889 Kč) a Kraji Vysočina (2 945 Kč) – viz tabulky č. 10 – 13 v příloze.</w:t>
      </w:r>
    </w:p>
    <w:p w:rsidR="00C32FC3" w:rsidRPr="00280C42" w:rsidRDefault="00C32FC3" w:rsidP="00C32FC3">
      <w:pPr>
        <w:spacing w:line="360" w:lineRule="auto"/>
        <w:jc w:val="both"/>
        <w:rPr>
          <w:rFonts w:cs="Arial"/>
          <w:szCs w:val="24"/>
        </w:rPr>
      </w:pPr>
    </w:p>
    <w:p w:rsidR="00C32FC3" w:rsidRPr="00280C42" w:rsidRDefault="00C32FC3" w:rsidP="00C32FC3">
      <w:pPr>
        <w:spacing w:line="360" w:lineRule="auto"/>
        <w:jc w:val="both"/>
        <w:rPr>
          <w:rFonts w:cs="Arial"/>
        </w:rPr>
      </w:pPr>
      <w:r w:rsidRPr="00280C42">
        <w:rPr>
          <w:rFonts w:cs="Arial"/>
        </w:rPr>
        <w:tab/>
        <w:t xml:space="preserve">Formou </w:t>
      </w:r>
      <w:r w:rsidRPr="00280C42">
        <w:rPr>
          <w:rFonts w:cs="Arial"/>
          <w:b/>
          <w:bCs/>
        </w:rPr>
        <w:t xml:space="preserve">přídavku na dítě </w:t>
      </w:r>
      <w:r w:rsidRPr="00280C42">
        <w:rPr>
          <w:rFonts w:cs="Arial"/>
          <w:bCs/>
        </w:rPr>
        <w:t>(s podílem 7,5 % na celkovém objemu dávek státní sociální podpory)</w:t>
      </w:r>
      <w:r w:rsidRPr="00280C42">
        <w:rPr>
          <w:rFonts w:cs="Arial"/>
        </w:rPr>
        <w:t xml:space="preserve"> bylo vyplaceno</w:t>
      </w:r>
      <w:r w:rsidRPr="00280C42">
        <w:rPr>
          <w:rFonts w:cs="Arial"/>
          <w:b/>
          <w:bCs/>
        </w:rPr>
        <w:t xml:space="preserve"> 2,8 mld. Kč,</w:t>
      </w:r>
      <w:r w:rsidRPr="00280C42">
        <w:rPr>
          <w:rFonts w:cs="Arial"/>
        </w:rPr>
        <w:t xml:space="preserve"> tj. </w:t>
      </w:r>
      <w:r w:rsidRPr="00280C42">
        <w:rPr>
          <w:rFonts w:cs="Arial"/>
          <w:b/>
        </w:rPr>
        <w:t>o 7,9 % méně</w:t>
      </w:r>
      <w:r w:rsidRPr="00280C42">
        <w:rPr>
          <w:rFonts w:cs="Arial"/>
        </w:rPr>
        <w:t xml:space="preserve"> než ve stejném období předchozího roku. Průměrný měsíční počet vyplacených dávek ve sledovaném období meziročně klesl o 7,5 % – viz tabulky č. 10 – 12 v příloze.</w:t>
      </w:r>
    </w:p>
    <w:p w:rsidR="00C32FC3" w:rsidRPr="00280C42" w:rsidRDefault="00C32FC3" w:rsidP="00C32FC3">
      <w:pPr>
        <w:spacing w:line="360" w:lineRule="auto"/>
        <w:jc w:val="both"/>
        <w:rPr>
          <w:rFonts w:cs="Arial"/>
        </w:rPr>
      </w:pPr>
    </w:p>
    <w:p w:rsidR="00C32FC3" w:rsidRPr="00280C42" w:rsidRDefault="00C32FC3" w:rsidP="00C32FC3">
      <w:pPr>
        <w:spacing w:line="360" w:lineRule="auto"/>
        <w:jc w:val="both"/>
        <w:rPr>
          <w:rFonts w:cs="Arial"/>
          <w:bCs/>
        </w:rPr>
      </w:pPr>
      <w:r w:rsidRPr="00280C42">
        <w:rPr>
          <w:rFonts w:cs="Arial"/>
        </w:rPr>
        <w:tab/>
        <w:t xml:space="preserve">U </w:t>
      </w:r>
      <w:r w:rsidRPr="00280C42">
        <w:rPr>
          <w:rFonts w:cs="Arial"/>
          <w:b/>
          <w:bCs/>
        </w:rPr>
        <w:t>porodného,</w:t>
      </w:r>
      <w:r w:rsidRPr="00280C42">
        <w:rPr>
          <w:rFonts w:cs="Arial"/>
          <w:bCs/>
        </w:rPr>
        <w:t xml:space="preserve"> kde </w:t>
      </w:r>
      <w:r w:rsidRPr="00280C42">
        <w:rPr>
          <w:rFonts w:cs="Arial"/>
        </w:rPr>
        <w:t>došlo v důsledku administrativních změn k výraznému zvýšení v roce 2015</w:t>
      </w:r>
      <w:r w:rsidRPr="00280C42">
        <w:rPr>
          <w:rFonts w:cs="Arial"/>
          <w:bCs/>
        </w:rPr>
        <w:t xml:space="preserve"> (od 1. 1. 2015 vypláceno i na druhé narozené dítě rodinám s příjmy do 2,7 násobku životního minima rodiny), bylo vyčerpáno </w:t>
      </w:r>
      <w:r w:rsidRPr="00280C42">
        <w:rPr>
          <w:rFonts w:cs="Arial"/>
          <w:b/>
          <w:bCs/>
        </w:rPr>
        <w:t>256,3 mil. Kč,</w:t>
      </w:r>
      <w:r w:rsidRPr="00280C42">
        <w:rPr>
          <w:rFonts w:cs="Arial"/>
          <w:bCs/>
        </w:rPr>
        <w:t xml:space="preserve"> tj. </w:t>
      </w:r>
      <w:r w:rsidRPr="00280C42">
        <w:rPr>
          <w:rFonts w:cs="Arial"/>
          <w:b/>
          <w:bCs/>
        </w:rPr>
        <w:t>o 0,2 % více</w:t>
      </w:r>
      <w:r w:rsidRPr="00280C42">
        <w:rPr>
          <w:rFonts w:cs="Arial"/>
          <w:bCs/>
        </w:rPr>
        <w:t xml:space="preserve"> než ve stejném období předchozího roku </w:t>
      </w:r>
      <w:r w:rsidR="00F823B4" w:rsidRPr="00280C42">
        <w:rPr>
          <w:rFonts w:cs="Arial"/>
          <w:szCs w:val="24"/>
        </w:rPr>
        <w:t>–</w:t>
      </w:r>
      <w:r w:rsidRPr="00280C42">
        <w:rPr>
          <w:rFonts w:cs="Arial"/>
          <w:bCs/>
        </w:rPr>
        <w:t xml:space="preserve"> viz tabulky č. 10 a 11 v příloze.</w:t>
      </w:r>
    </w:p>
    <w:p w:rsidR="00C32FC3" w:rsidRPr="00280C42" w:rsidRDefault="00C32FC3" w:rsidP="00C32FC3">
      <w:pPr>
        <w:spacing w:line="360" w:lineRule="auto"/>
        <w:jc w:val="both"/>
        <w:rPr>
          <w:rFonts w:cs="Arial"/>
          <w:bCs/>
        </w:rPr>
      </w:pPr>
    </w:p>
    <w:p w:rsidR="00C32FC3" w:rsidRPr="00280C42" w:rsidRDefault="00C32FC3" w:rsidP="00C32FC3">
      <w:pPr>
        <w:spacing w:line="360" w:lineRule="auto"/>
        <w:jc w:val="both"/>
        <w:rPr>
          <w:rFonts w:cs="Arial"/>
        </w:rPr>
      </w:pPr>
      <w:r w:rsidRPr="00280C42">
        <w:rPr>
          <w:rFonts w:cs="Arial"/>
          <w:bCs/>
        </w:rPr>
        <w:tab/>
      </w:r>
      <w:r w:rsidRPr="00280C42">
        <w:rPr>
          <w:rFonts w:cs="Arial"/>
        </w:rPr>
        <w:t xml:space="preserve">Podle územního členění připadla </w:t>
      </w:r>
      <w:r w:rsidRPr="00280C42">
        <w:rPr>
          <w:rFonts w:cs="Arial"/>
          <w:b/>
          <w:bCs/>
        </w:rPr>
        <w:t xml:space="preserve">nejvyšší částka </w:t>
      </w:r>
      <w:r w:rsidRPr="00280C42">
        <w:rPr>
          <w:rFonts w:cs="Arial"/>
        </w:rPr>
        <w:t>poskytnutá prostřednictvím</w:t>
      </w:r>
      <w:r w:rsidR="00F823B4">
        <w:rPr>
          <w:rFonts w:cs="Arial"/>
        </w:rPr>
        <w:t> </w:t>
      </w:r>
      <w:r w:rsidRPr="00280C42">
        <w:rPr>
          <w:rFonts w:cs="Arial"/>
        </w:rPr>
        <w:t xml:space="preserve">systému státní sociální podpory </w:t>
      </w:r>
      <w:r w:rsidRPr="00280C42">
        <w:rPr>
          <w:rFonts w:cs="Arial"/>
          <w:b/>
          <w:bCs/>
        </w:rPr>
        <w:t>na 1 obyvatele</w:t>
      </w:r>
      <w:r w:rsidRPr="00280C42">
        <w:rPr>
          <w:rFonts w:cs="Arial"/>
        </w:rPr>
        <w:t xml:space="preserve"> v kraji </w:t>
      </w:r>
      <w:r w:rsidRPr="00280C42">
        <w:rPr>
          <w:rFonts w:cs="Arial"/>
          <w:b/>
          <w:bCs/>
        </w:rPr>
        <w:t>Ústeckém a Moravskoslezském, nejnižší v Plzeňském kraji</w:t>
      </w:r>
      <w:r w:rsidRPr="00280C42">
        <w:rPr>
          <w:rFonts w:cs="Arial"/>
        </w:rPr>
        <w:t xml:space="preserve"> </w:t>
      </w:r>
      <w:r w:rsidR="00F823B4" w:rsidRPr="00280C42">
        <w:rPr>
          <w:rFonts w:cs="Arial"/>
          <w:szCs w:val="24"/>
        </w:rPr>
        <w:t>–</w:t>
      </w:r>
      <w:r w:rsidRPr="00280C42">
        <w:rPr>
          <w:rFonts w:cs="Arial"/>
        </w:rPr>
        <w:t xml:space="preserve"> viz tabulku č. 15 v příloze.</w:t>
      </w:r>
    </w:p>
    <w:p w:rsidR="00C32FC3" w:rsidRPr="00280C42" w:rsidRDefault="00C32FC3" w:rsidP="00C32FC3">
      <w:pPr>
        <w:spacing w:line="360" w:lineRule="auto"/>
        <w:jc w:val="both"/>
        <w:rPr>
          <w:rFonts w:cs="Arial"/>
        </w:rPr>
      </w:pPr>
    </w:p>
    <w:p w:rsidR="00C32FC3" w:rsidRPr="00280C42" w:rsidRDefault="00C32FC3" w:rsidP="00C32FC3">
      <w:pPr>
        <w:spacing w:line="360" w:lineRule="auto"/>
        <w:jc w:val="both"/>
        <w:rPr>
          <w:rFonts w:cs="Arial"/>
        </w:rPr>
      </w:pPr>
      <w:r w:rsidRPr="00280C42">
        <w:rPr>
          <w:rFonts w:cs="Arial"/>
        </w:rPr>
        <w:tab/>
        <w:t xml:space="preserve">Na </w:t>
      </w:r>
      <w:r w:rsidRPr="00280C42">
        <w:rPr>
          <w:rFonts w:cs="Arial"/>
          <w:b/>
        </w:rPr>
        <w:t>d</w:t>
      </w:r>
      <w:r w:rsidRPr="00280C42">
        <w:rPr>
          <w:rFonts w:cs="Arial"/>
          <w:b/>
          <w:bCs/>
        </w:rPr>
        <w:t xml:space="preserve">ávky pěstounské péče </w:t>
      </w:r>
      <w:r w:rsidRPr="00280C42">
        <w:rPr>
          <w:rFonts w:cs="Arial"/>
          <w:bCs/>
        </w:rPr>
        <w:t>(7,5 % podíl na celkovém objemu dávek státní sociální podpory a pěstounské péče)</w:t>
      </w:r>
      <w:r w:rsidRPr="00280C42">
        <w:rPr>
          <w:rFonts w:cs="Arial"/>
          <w:b/>
          <w:bCs/>
        </w:rPr>
        <w:t xml:space="preserve"> </w:t>
      </w:r>
      <w:r w:rsidRPr="00280C42">
        <w:rPr>
          <w:rFonts w:cs="Arial"/>
          <w:bCs/>
        </w:rPr>
        <w:t>b</w:t>
      </w:r>
      <w:r w:rsidRPr="00280C42">
        <w:rPr>
          <w:rFonts w:cs="Arial"/>
        </w:rPr>
        <w:t xml:space="preserve">ylo poskytnuto </w:t>
      </w:r>
      <w:r w:rsidRPr="00280C42">
        <w:rPr>
          <w:rFonts w:cs="Arial"/>
          <w:b/>
        </w:rPr>
        <w:t xml:space="preserve">o 6,3 % </w:t>
      </w:r>
      <w:r w:rsidRPr="00280C42">
        <w:rPr>
          <w:rFonts w:cs="Arial"/>
        </w:rPr>
        <w:t xml:space="preserve">(o 0,2 mld. Kč) meziročně </w:t>
      </w:r>
      <w:r w:rsidRPr="00280C42">
        <w:rPr>
          <w:rFonts w:cs="Arial"/>
          <w:b/>
        </w:rPr>
        <w:t>více,</w:t>
      </w:r>
      <w:r w:rsidRPr="00280C42">
        <w:rPr>
          <w:rFonts w:cs="Arial"/>
        </w:rPr>
        <w:t xml:space="preserve"> tedy </w:t>
      </w:r>
      <w:r w:rsidRPr="00280C42">
        <w:rPr>
          <w:rFonts w:cs="Arial"/>
          <w:b/>
        </w:rPr>
        <w:t>2,8 </w:t>
      </w:r>
      <w:r w:rsidRPr="00280C42">
        <w:rPr>
          <w:rFonts w:cs="Arial"/>
          <w:b/>
          <w:bCs/>
        </w:rPr>
        <w:t>mld. Kč</w:t>
      </w:r>
      <w:r w:rsidRPr="00280C42">
        <w:rPr>
          <w:rFonts w:cs="Arial"/>
          <w:b/>
        </w:rPr>
        <w:t>.</w:t>
      </w:r>
      <w:r w:rsidRPr="00280C42">
        <w:rPr>
          <w:rFonts w:cs="Arial"/>
        </w:rPr>
        <w:t xml:space="preserve"> Průměrný počet vyplacených dávek se zvýšil o 5,5 % (na 28,7 tis.) – viz tabulky č. 10 – 12 v příloze.</w:t>
      </w:r>
    </w:p>
    <w:p w:rsidR="00C32FC3" w:rsidRPr="00280C42" w:rsidRDefault="00C32FC3" w:rsidP="00C32FC3">
      <w:pPr>
        <w:spacing w:line="360" w:lineRule="auto"/>
        <w:jc w:val="both"/>
        <w:rPr>
          <w:rFonts w:cs="Arial"/>
        </w:rPr>
      </w:pPr>
    </w:p>
    <w:p w:rsidR="00C32FC3" w:rsidRPr="00280C42" w:rsidRDefault="00C32FC3" w:rsidP="00C32FC3">
      <w:pPr>
        <w:spacing w:line="360" w:lineRule="auto"/>
        <w:jc w:val="both"/>
        <w:rPr>
          <w:rFonts w:cs="Arial"/>
        </w:rPr>
      </w:pPr>
    </w:p>
    <w:p w:rsidR="00C32FC3" w:rsidRPr="00280C42" w:rsidRDefault="00C32FC3" w:rsidP="0045189D">
      <w:pPr>
        <w:spacing w:after="240" w:line="360" w:lineRule="auto"/>
        <w:jc w:val="both"/>
        <w:rPr>
          <w:rFonts w:cs="Arial"/>
        </w:rPr>
      </w:pPr>
      <w:r w:rsidRPr="00280C42">
        <w:rPr>
          <w:rFonts w:cs="Arial"/>
        </w:rPr>
        <w:lastRenderedPageBreak/>
        <w:tab/>
        <w:t xml:space="preserve">V pořadí </w:t>
      </w:r>
      <w:r w:rsidRPr="00280C42">
        <w:rPr>
          <w:rFonts w:cs="Arial"/>
          <w:b/>
        </w:rPr>
        <w:t xml:space="preserve">třetí </w:t>
      </w:r>
      <w:r w:rsidRPr="00280C42">
        <w:rPr>
          <w:rFonts w:cs="Arial"/>
        </w:rPr>
        <w:t xml:space="preserve">objemově </w:t>
      </w:r>
      <w:r w:rsidRPr="00280C42">
        <w:rPr>
          <w:rFonts w:cs="Arial"/>
          <w:b/>
        </w:rPr>
        <w:t xml:space="preserve">největší položku </w:t>
      </w:r>
      <w:r w:rsidRPr="00280C42">
        <w:rPr>
          <w:rFonts w:cs="Arial"/>
        </w:rPr>
        <w:t xml:space="preserve">sociálních příjmů domácností tvořily </w:t>
      </w:r>
      <w:r w:rsidRPr="00280C42">
        <w:rPr>
          <w:rFonts w:cs="Arial"/>
          <w:b/>
          <w:u w:val="single"/>
        </w:rPr>
        <w:t xml:space="preserve">dávky nemocenského pojištění </w:t>
      </w:r>
      <w:r w:rsidRPr="00280C42">
        <w:rPr>
          <w:rFonts w:cs="Arial"/>
        </w:rPr>
        <w:t>(s podílem 5,3 % na celkových sociálních příjmech obyvatel)</w:t>
      </w:r>
      <w:r w:rsidRPr="00280C42">
        <w:rPr>
          <w:rFonts w:cs="Arial"/>
          <w:b/>
        </w:rPr>
        <w:t xml:space="preserve">. </w:t>
      </w:r>
      <w:r w:rsidRPr="00280C42">
        <w:rPr>
          <w:rFonts w:cs="Arial"/>
        </w:rPr>
        <w:t xml:space="preserve">Touto formou bylo v roce 2016 poskytnuto </w:t>
      </w:r>
      <w:r w:rsidRPr="00280C42">
        <w:rPr>
          <w:rFonts w:cs="Arial"/>
          <w:b/>
        </w:rPr>
        <w:t xml:space="preserve">26,3 mld. Kč, </w:t>
      </w:r>
      <w:r w:rsidRPr="00280C42">
        <w:rPr>
          <w:rFonts w:cs="Arial"/>
        </w:rPr>
        <w:t>což bylo o 2,2 mld. Kč (</w:t>
      </w:r>
      <w:r w:rsidRPr="00280C42">
        <w:rPr>
          <w:rFonts w:cs="Arial"/>
          <w:b/>
        </w:rPr>
        <w:t>o 9,0 %</w:t>
      </w:r>
      <w:r w:rsidRPr="00280C42">
        <w:rPr>
          <w:rFonts w:cs="Arial"/>
        </w:rPr>
        <w:t xml:space="preserve">) </w:t>
      </w:r>
      <w:r w:rsidRPr="00280C42">
        <w:rPr>
          <w:rFonts w:cs="Arial"/>
          <w:b/>
        </w:rPr>
        <w:t xml:space="preserve">více </w:t>
      </w:r>
      <w:r w:rsidRPr="00280C42">
        <w:rPr>
          <w:rFonts w:cs="Arial"/>
        </w:rPr>
        <w:t>než ve srovnatelném období předchozího roku – viz tabulku č. 8 v příloze.</w:t>
      </w:r>
    </w:p>
    <w:p w:rsidR="00C32FC3" w:rsidRPr="00280C42" w:rsidRDefault="00C32FC3" w:rsidP="00C32FC3">
      <w:pPr>
        <w:spacing w:after="240" w:line="360" w:lineRule="auto"/>
        <w:jc w:val="both"/>
        <w:rPr>
          <w:rFonts w:cs="Arial"/>
        </w:rPr>
      </w:pPr>
      <w:r w:rsidRPr="00280C42">
        <w:rPr>
          <w:rFonts w:cs="Arial"/>
        </w:rPr>
        <w:tab/>
        <w:t xml:space="preserve">Rozhodující dávkou bylo </w:t>
      </w:r>
      <w:r w:rsidRPr="00280C42">
        <w:rPr>
          <w:rFonts w:cs="Arial"/>
          <w:b/>
        </w:rPr>
        <w:t>nemocenské,</w:t>
      </w:r>
      <w:r w:rsidRPr="00280C42">
        <w:rPr>
          <w:rFonts w:cs="Arial"/>
        </w:rPr>
        <w:t xml:space="preserve"> jehož podíl na dávkách nemocenského pojištění činil 64,6</w:t>
      </w:r>
      <w:r w:rsidR="00F823B4">
        <w:rPr>
          <w:rFonts w:cs="Arial"/>
        </w:rPr>
        <w:t> </w:t>
      </w:r>
      <w:r w:rsidRPr="00280C42">
        <w:rPr>
          <w:rFonts w:cs="Arial"/>
        </w:rPr>
        <w:t xml:space="preserve">% a jehož </w:t>
      </w:r>
      <w:r w:rsidRPr="00280C42">
        <w:rPr>
          <w:rFonts w:cs="Arial"/>
          <w:b/>
          <w:bCs/>
        </w:rPr>
        <w:t xml:space="preserve">objem se zvýšil </w:t>
      </w:r>
      <w:r w:rsidRPr="00280C42">
        <w:rPr>
          <w:rFonts w:cs="Arial"/>
          <w:bCs/>
        </w:rPr>
        <w:t>o</w:t>
      </w:r>
      <w:r w:rsidRPr="00280C42">
        <w:rPr>
          <w:rFonts w:cs="Arial"/>
          <w:b/>
          <w:bCs/>
        </w:rPr>
        <w:t xml:space="preserve"> </w:t>
      </w:r>
      <w:r w:rsidRPr="00280C42">
        <w:rPr>
          <w:rFonts w:cs="Arial"/>
          <w:bCs/>
        </w:rPr>
        <w:t>1,6 mld. Kč</w:t>
      </w:r>
      <w:r w:rsidRPr="00280C42">
        <w:rPr>
          <w:rFonts w:cs="Arial"/>
        </w:rPr>
        <w:t xml:space="preserve"> (</w:t>
      </w:r>
      <w:r w:rsidRPr="00280C42">
        <w:rPr>
          <w:rFonts w:cs="Arial"/>
          <w:b/>
        </w:rPr>
        <w:t>o 10,1 %</w:t>
      </w:r>
      <w:r w:rsidRPr="00280C42">
        <w:rPr>
          <w:rFonts w:cs="Arial"/>
        </w:rPr>
        <w:t xml:space="preserve">) na </w:t>
      </w:r>
      <w:r w:rsidRPr="00280C42">
        <w:rPr>
          <w:rFonts w:cs="Arial"/>
          <w:b/>
        </w:rPr>
        <w:t xml:space="preserve">17,0 mld. Kč </w:t>
      </w:r>
      <w:r w:rsidRPr="00280C42">
        <w:rPr>
          <w:rFonts w:cs="Arial"/>
        </w:rPr>
        <w:t>– viz tabulku č. 15 v příloze.</w:t>
      </w:r>
    </w:p>
    <w:p w:rsidR="00C32FC3" w:rsidRPr="00280C42" w:rsidRDefault="00C32FC3" w:rsidP="00C32FC3">
      <w:pPr>
        <w:spacing w:after="240" w:line="360" w:lineRule="auto"/>
        <w:jc w:val="both"/>
        <w:rPr>
          <w:rFonts w:cs="Arial"/>
        </w:rPr>
      </w:pPr>
      <w:r w:rsidRPr="00280C42">
        <w:rPr>
          <w:rFonts w:cs="Arial"/>
        </w:rPr>
        <w:tab/>
      </w:r>
      <w:r w:rsidRPr="00280C42">
        <w:rPr>
          <w:rFonts w:cs="Arial"/>
          <w:b/>
        </w:rPr>
        <w:t>Na peněžitou pomoc v mateřství</w:t>
      </w:r>
      <w:r w:rsidRPr="00280C42">
        <w:rPr>
          <w:rFonts w:cs="Arial"/>
        </w:rPr>
        <w:t xml:space="preserve"> bylo za leden až prosinec 2016 vyplaceno </w:t>
      </w:r>
      <w:r w:rsidRPr="00280C42">
        <w:rPr>
          <w:rFonts w:cs="Arial"/>
          <w:b/>
        </w:rPr>
        <w:t>8,1 mld. Kč,</w:t>
      </w:r>
      <w:r w:rsidRPr="00280C42">
        <w:rPr>
          <w:rFonts w:cs="Arial"/>
        </w:rPr>
        <w:t xml:space="preserve"> tedy </w:t>
      </w:r>
      <w:r w:rsidRPr="00280C42">
        <w:rPr>
          <w:rFonts w:cs="Arial"/>
          <w:bCs/>
        </w:rPr>
        <w:t>o 0,5 mld. Kč</w:t>
      </w:r>
      <w:r w:rsidRPr="00280C42">
        <w:rPr>
          <w:rFonts w:cs="Arial"/>
          <w:b/>
          <w:bCs/>
        </w:rPr>
        <w:t xml:space="preserve"> </w:t>
      </w:r>
      <w:r w:rsidRPr="00280C42">
        <w:rPr>
          <w:rFonts w:cs="Arial"/>
          <w:bCs/>
        </w:rPr>
        <w:t>(</w:t>
      </w:r>
      <w:r w:rsidRPr="00280C42">
        <w:rPr>
          <w:rFonts w:cs="Arial"/>
          <w:b/>
          <w:bCs/>
        </w:rPr>
        <w:t>o 6,6 %</w:t>
      </w:r>
      <w:r w:rsidRPr="00280C42">
        <w:rPr>
          <w:rFonts w:cs="Arial"/>
          <w:bCs/>
        </w:rPr>
        <w:t>)</w:t>
      </w:r>
      <w:r w:rsidRPr="00280C42">
        <w:rPr>
          <w:rFonts w:cs="Arial"/>
        </w:rPr>
        <w:t xml:space="preserve"> meziročně </w:t>
      </w:r>
      <w:r w:rsidRPr="00280C42">
        <w:rPr>
          <w:rFonts w:cs="Arial"/>
          <w:b/>
        </w:rPr>
        <w:t>více.</w:t>
      </w:r>
      <w:r w:rsidRPr="00280C42">
        <w:rPr>
          <w:rFonts w:cs="Arial"/>
        </w:rPr>
        <w:t xml:space="preserve"> Její podíl na dávkách nemocenského pojištění se vša</w:t>
      </w:r>
      <w:r w:rsidR="00F823B4">
        <w:rPr>
          <w:rFonts w:cs="Arial"/>
        </w:rPr>
        <w:t xml:space="preserve">k snížil o 0,7 p. b. </w:t>
      </w:r>
      <w:proofErr w:type="gramStart"/>
      <w:r w:rsidR="00F823B4">
        <w:rPr>
          <w:rFonts w:cs="Arial"/>
        </w:rPr>
        <w:t>na</w:t>
      </w:r>
      <w:proofErr w:type="gramEnd"/>
      <w:r w:rsidR="00F823B4">
        <w:rPr>
          <w:rFonts w:cs="Arial"/>
        </w:rPr>
        <w:t xml:space="preserve"> 30,9 % </w:t>
      </w:r>
      <w:r w:rsidR="00F823B4" w:rsidRPr="00280C42">
        <w:rPr>
          <w:rFonts w:cs="Arial"/>
          <w:szCs w:val="24"/>
        </w:rPr>
        <w:t>–</w:t>
      </w:r>
      <w:r w:rsidRPr="00280C42">
        <w:rPr>
          <w:rFonts w:cs="Arial"/>
        </w:rPr>
        <w:t xml:space="preserve"> viz tabulku č. 15 v příloze.</w:t>
      </w:r>
    </w:p>
    <w:p w:rsidR="00C32FC3" w:rsidRPr="00280C42" w:rsidRDefault="00C32FC3" w:rsidP="00C32FC3">
      <w:pPr>
        <w:spacing w:after="240" w:line="360" w:lineRule="auto"/>
        <w:jc w:val="both"/>
        <w:rPr>
          <w:rFonts w:cs="Arial"/>
          <w:bCs/>
          <w:szCs w:val="24"/>
        </w:rPr>
      </w:pPr>
      <w:r w:rsidRPr="00280C42">
        <w:rPr>
          <w:rFonts w:cs="Arial"/>
        </w:rPr>
        <w:tab/>
      </w:r>
      <w:r w:rsidRPr="00280C42">
        <w:rPr>
          <w:rFonts w:cs="Arial"/>
          <w:szCs w:val="24"/>
        </w:rPr>
        <w:t xml:space="preserve">Výdaje na </w:t>
      </w:r>
      <w:r w:rsidRPr="00280C42">
        <w:rPr>
          <w:rFonts w:cs="Arial"/>
          <w:b/>
          <w:bCs/>
          <w:szCs w:val="24"/>
        </w:rPr>
        <w:t xml:space="preserve">ošetřovné </w:t>
      </w:r>
      <w:r w:rsidRPr="00280C42">
        <w:rPr>
          <w:rFonts w:cs="Arial"/>
          <w:bCs/>
          <w:szCs w:val="24"/>
        </w:rPr>
        <w:t>se ve</w:t>
      </w:r>
      <w:r w:rsidRPr="00280C42">
        <w:rPr>
          <w:rFonts w:cs="Arial"/>
          <w:b/>
          <w:bCs/>
          <w:szCs w:val="24"/>
        </w:rPr>
        <w:t xml:space="preserve"> </w:t>
      </w:r>
      <w:r w:rsidRPr="00280C42">
        <w:rPr>
          <w:rFonts w:cs="Arial"/>
          <w:bCs/>
          <w:szCs w:val="24"/>
        </w:rPr>
        <w:t xml:space="preserve">sledovaném období </w:t>
      </w:r>
      <w:r w:rsidRPr="00280C42">
        <w:rPr>
          <w:rFonts w:cs="Arial"/>
          <w:b/>
          <w:bCs/>
          <w:szCs w:val="24"/>
        </w:rPr>
        <w:t>zvýšily</w:t>
      </w:r>
      <w:r w:rsidRPr="00280C42">
        <w:rPr>
          <w:rFonts w:cs="Arial"/>
          <w:bCs/>
          <w:szCs w:val="24"/>
        </w:rPr>
        <w:t xml:space="preserve"> na </w:t>
      </w:r>
      <w:r w:rsidRPr="00280C42">
        <w:rPr>
          <w:rFonts w:cs="Arial"/>
          <w:b/>
          <w:bCs/>
          <w:szCs w:val="24"/>
        </w:rPr>
        <w:t>1,2 mld. Kč</w:t>
      </w:r>
      <w:r w:rsidRPr="00280C42">
        <w:rPr>
          <w:rFonts w:cs="Arial"/>
          <w:bCs/>
          <w:szCs w:val="24"/>
        </w:rPr>
        <w:t xml:space="preserve"> (</w:t>
      </w:r>
      <w:r w:rsidRPr="00280C42">
        <w:rPr>
          <w:rFonts w:cs="Arial"/>
          <w:b/>
          <w:bCs/>
          <w:szCs w:val="24"/>
        </w:rPr>
        <w:t>o 11,1 %</w:t>
      </w:r>
      <w:r w:rsidRPr="00280C42">
        <w:rPr>
          <w:rFonts w:cs="Arial"/>
          <w:bCs/>
          <w:szCs w:val="24"/>
        </w:rPr>
        <w:t>).</w:t>
      </w:r>
    </w:p>
    <w:p w:rsidR="00C32FC3" w:rsidRPr="00280C42" w:rsidRDefault="00C32FC3" w:rsidP="00C32FC3">
      <w:pPr>
        <w:spacing w:line="360" w:lineRule="auto"/>
        <w:jc w:val="both"/>
        <w:rPr>
          <w:rFonts w:cs="Arial"/>
          <w:szCs w:val="24"/>
        </w:rPr>
      </w:pPr>
      <w:r w:rsidRPr="00280C42">
        <w:rPr>
          <w:rFonts w:cs="Arial"/>
          <w:bCs/>
          <w:szCs w:val="24"/>
        </w:rPr>
        <w:tab/>
      </w:r>
      <w:r w:rsidRPr="00280C42">
        <w:rPr>
          <w:rFonts w:cs="Arial"/>
          <w:szCs w:val="24"/>
        </w:rPr>
        <w:t xml:space="preserve">Na </w:t>
      </w:r>
      <w:r w:rsidRPr="00280C42">
        <w:rPr>
          <w:rFonts w:cs="Arial"/>
          <w:b/>
          <w:szCs w:val="24"/>
        </w:rPr>
        <w:t xml:space="preserve">vyrovnávacím příspěvku v těhotenství a mateřství, </w:t>
      </w:r>
      <w:r w:rsidRPr="00280C42">
        <w:rPr>
          <w:rFonts w:cs="Arial"/>
          <w:szCs w:val="24"/>
        </w:rPr>
        <w:t>(jehož výše nemá významný vliv na celkový vývoj dávek nemocenského pojištění)</w:t>
      </w:r>
      <w:r w:rsidRPr="00280C42">
        <w:rPr>
          <w:rFonts w:cs="Arial"/>
          <w:b/>
          <w:szCs w:val="24"/>
        </w:rPr>
        <w:t xml:space="preserve"> </w:t>
      </w:r>
      <w:r w:rsidRPr="00280C42">
        <w:rPr>
          <w:rFonts w:cs="Arial"/>
          <w:szCs w:val="24"/>
        </w:rPr>
        <w:t xml:space="preserve">bylo vyplaceno 9,0 mil. Kč (o  1,1 % méně než v roce 2015) </w:t>
      </w:r>
      <w:r w:rsidR="00F823B4" w:rsidRPr="00280C42">
        <w:rPr>
          <w:rFonts w:cs="Arial"/>
          <w:szCs w:val="24"/>
        </w:rPr>
        <w:t>–</w:t>
      </w:r>
      <w:r w:rsidRPr="00280C42">
        <w:rPr>
          <w:rFonts w:cs="Arial"/>
          <w:szCs w:val="24"/>
        </w:rPr>
        <w:t xml:space="preserve"> viz tabulku č. 15 v příloze.</w:t>
      </w:r>
    </w:p>
    <w:p w:rsidR="00C32FC3" w:rsidRPr="00280C42" w:rsidRDefault="00C32FC3" w:rsidP="00C32FC3">
      <w:pPr>
        <w:spacing w:line="360" w:lineRule="auto"/>
        <w:jc w:val="both"/>
        <w:rPr>
          <w:rFonts w:cs="Arial"/>
          <w:szCs w:val="24"/>
        </w:rPr>
      </w:pPr>
    </w:p>
    <w:p w:rsidR="00C32FC3" w:rsidRPr="00280C42" w:rsidRDefault="00C32FC3" w:rsidP="00C32FC3">
      <w:pPr>
        <w:jc w:val="both"/>
        <w:rPr>
          <w:rFonts w:cs="Arial"/>
          <w:szCs w:val="24"/>
        </w:rPr>
      </w:pPr>
    </w:p>
    <w:p w:rsidR="00C32FC3" w:rsidRPr="00280C42" w:rsidRDefault="00C32FC3" w:rsidP="00C32FC3">
      <w:pPr>
        <w:spacing w:after="240" w:line="360" w:lineRule="auto"/>
        <w:jc w:val="both"/>
        <w:rPr>
          <w:rFonts w:cs="Arial"/>
        </w:rPr>
      </w:pPr>
      <w:r w:rsidRPr="00280C42">
        <w:rPr>
          <w:rFonts w:cs="Arial"/>
          <w:szCs w:val="24"/>
        </w:rPr>
        <w:tab/>
      </w:r>
      <w:r w:rsidRPr="00280C42">
        <w:rPr>
          <w:rFonts w:cs="Arial"/>
        </w:rPr>
        <w:t xml:space="preserve">Další významnou složkou sociálních příjmů domácností je </w:t>
      </w:r>
      <w:r w:rsidRPr="00280C42">
        <w:rPr>
          <w:rFonts w:cs="Arial"/>
          <w:b/>
          <w:u w:val="single"/>
        </w:rPr>
        <w:t xml:space="preserve">příspěvek na péči </w:t>
      </w:r>
      <w:r w:rsidRPr="00280C42">
        <w:rPr>
          <w:rFonts w:cs="Arial"/>
        </w:rPr>
        <w:t>s</w:t>
      </w:r>
      <w:r w:rsidRPr="00280C42">
        <w:rPr>
          <w:rFonts w:cs="Arial"/>
          <w:b/>
        </w:rPr>
        <w:t> </w:t>
      </w:r>
      <w:r w:rsidRPr="00280C42">
        <w:rPr>
          <w:rFonts w:cs="Arial"/>
        </w:rPr>
        <w:t>podílem</w:t>
      </w:r>
      <w:r w:rsidRPr="00280C42">
        <w:rPr>
          <w:rFonts w:cs="Arial"/>
          <w:b/>
        </w:rPr>
        <w:t xml:space="preserve"> </w:t>
      </w:r>
      <w:r w:rsidRPr="00280C42">
        <w:rPr>
          <w:rFonts w:cs="Arial"/>
        </w:rPr>
        <w:t>4,7 %</w:t>
      </w:r>
      <w:r w:rsidRPr="00280C42">
        <w:rPr>
          <w:rFonts w:cs="Arial"/>
          <w:b/>
        </w:rPr>
        <w:t xml:space="preserve"> </w:t>
      </w:r>
      <w:r w:rsidRPr="00280C42">
        <w:rPr>
          <w:rFonts w:cs="Arial"/>
        </w:rPr>
        <w:t>na celkových sociálních příjmech obyvatel – viz tabulku č. 8 v příloze.</w:t>
      </w:r>
      <w:r w:rsidRPr="00280C42">
        <w:rPr>
          <w:rFonts w:cs="Arial"/>
          <w:b/>
        </w:rPr>
        <w:t xml:space="preserve"> </w:t>
      </w:r>
      <w:r w:rsidRPr="00280C42">
        <w:rPr>
          <w:rFonts w:cs="Arial"/>
        </w:rPr>
        <w:t xml:space="preserve">V hodnoceném období bylo takto čerpáno </w:t>
      </w:r>
      <w:r w:rsidRPr="00280C42">
        <w:rPr>
          <w:rFonts w:cs="Arial"/>
          <w:b/>
        </w:rPr>
        <w:t>23,0 mld. Kč,</w:t>
      </w:r>
      <w:r w:rsidRPr="00280C42">
        <w:rPr>
          <w:rFonts w:cs="Arial"/>
        </w:rPr>
        <w:t xml:space="preserve"> což bylo </w:t>
      </w:r>
      <w:r w:rsidRPr="00280C42">
        <w:rPr>
          <w:rFonts w:cs="Arial"/>
          <w:b/>
        </w:rPr>
        <w:t>o 8,9 %</w:t>
      </w:r>
      <w:r w:rsidRPr="00280C42">
        <w:rPr>
          <w:rFonts w:cs="Arial"/>
        </w:rPr>
        <w:t xml:space="preserve"> (1,9 mld. Kč) meziročně </w:t>
      </w:r>
      <w:r w:rsidRPr="00280C42">
        <w:rPr>
          <w:rFonts w:cs="Arial"/>
          <w:b/>
        </w:rPr>
        <w:t>více.</w:t>
      </w:r>
      <w:r w:rsidRPr="00280C42">
        <w:rPr>
          <w:rFonts w:cs="Arial"/>
        </w:rPr>
        <w:t xml:space="preserve"> Nejvyšší nárůst výdajů na příspěvky na péči byl zaznamenán v Pardubickém kraji (11,0 %) a Středočeském kraji (10,5%), nejnižší v Ústeckém kraji (6,9 %) – viz tabulku č. 16 v příloze.</w:t>
      </w:r>
    </w:p>
    <w:p w:rsidR="00C32FC3" w:rsidRPr="00280C42" w:rsidRDefault="00C32FC3" w:rsidP="00C32FC3">
      <w:pPr>
        <w:spacing w:line="360" w:lineRule="auto"/>
        <w:jc w:val="both"/>
        <w:rPr>
          <w:rFonts w:cs="Arial"/>
        </w:rPr>
      </w:pPr>
      <w:r w:rsidRPr="00280C42">
        <w:rPr>
          <w:rFonts w:cs="Arial"/>
        </w:rPr>
        <w:tab/>
      </w:r>
      <w:r w:rsidRPr="00280C42">
        <w:rPr>
          <w:rFonts w:cs="Arial"/>
          <w:b/>
        </w:rPr>
        <w:t xml:space="preserve">Měsíčně </w:t>
      </w:r>
      <w:r w:rsidRPr="00280C42">
        <w:rPr>
          <w:rFonts w:cs="Arial"/>
        </w:rPr>
        <w:t xml:space="preserve">bylo v průměru vyplaceno </w:t>
      </w:r>
      <w:r w:rsidRPr="00280C42">
        <w:rPr>
          <w:rFonts w:cs="Arial"/>
          <w:b/>
        </w:rPr>
        <w:t>346,1 tis. dávek,</w:t>
      </w:r>
      <w:r w:rsidRPr="00280C42">
        <w:rPr>
          <w:rFonts w:cs="Arial"/>
        </w:rPr>
        <w:t xml:space="preserve"> tedy o 9,3 tis. (o 2,8 %) více než v roce 2015, z toho 29,9 tis. (8,6%) dětem do 18 let a 316,2 tis. (91,4 %) osobám starším než 18 let. V I. stupni závislosti bylo čerpáno 108,6 tis. (31,4 %), ve II. stupni 113,0 tis. (32,6 %), ve III. stupni 79,0 tis. (22,8 %) a ve IV. stupni 45,6 tis. dávek (13,2 %). Meziroční nárůst průměrného počtu vyplacených příspěvků byl zaznamenán ve II., III., a IV. stupni závislosti, nejvíce ve III. stupni (o 3,7 tis.). </w:t>
      </w:r>
    </w:p>
    <w:p w:rsidR="00C32FC3" w:rsidRPr="00280C42" w:rsidRDefault="00C32FC3" w:rsidP="0045189D">
      <w:pPr>
        <w:spacing w:after="240" w:line="360" w:lineRule="auto"/>
        <w:jc w:val="both"/>
        <w:rPr>
          <w:rFonts w:cs="Arial"/>
        </w:rPr>
      </w:pPr>
      <w:r w:rsidRPr="00280C42">
        <w:rPr>
          <w:rFonts w:cs="Arial"/>
        </w:rPr>
        <w:lastRenderedPageBreak/>
        <w:tab/>
        <w:t xml:space="preserve">Prostředky vyplacené formou </w:t>
      </w:r>
      <w:r w:rsidRPr="00280C42">
        <w:rPr>
          <w:rFonts w:cs="Arial"/>
          <w:b/>
          <w:u w:val="single"/>
        </w:rPr>
        <w:t>podpory v nezaměstnanosti</w:t>
      </w:r>
      <w:r w:rsidRPr="00280C42">
        <w:rPr>
          <w:rFonts w:cs="Arial"/>
          <w:b/>
        </w:rPr>
        <w:t xml:space="preserve"> </w:t>
      </w:r>
      <w:r w:rsidRPr="00280C42">
        <w:rPr>
          <w:rFonts w:cs="Arial"/>
        </w:rPr>
        <w:t xml:space="preserve">se podílely na celkových sociálních příjmech domácností 1,7 %.  V lednu – prosinci 2016 na ně bylo vyčerpáno </w:t>
      </w:r>
      <w:r w:rsidRPr="00280C42">
        <w:rPr>
          <w:rFonts w:cs="Arial"/>
          <w:b/>
        </w:rPr>
        <w:t>8,2 mld. Kč</w:t>
      </w:r>
      <w:r w:rsidRPr="00280C42">
        <w:rPr>
          <w:rFonts w:cs="Arial"/>
        </w:rPr>
        <w:t xml:space="preserve"> při meziročním </w:t>
      </w:r>
      <w:r w:rsidRPr="00280C42">
        <w:rPr>
          <w:rFonts w:cs="Arial"/>
          <w:b/>
        </w:rPr>
        <w:t>poklesu o 0,7 %</w:t>
      </w:r>
      <w:r w:rsidRPr="00280C42">
        <w:rPr>
          <w:rFonts w:cs="Arial"/>
        </w:rPr>
        <w:t xml:space="preserve"> (</w:t>
      </w:r>
      <w:r w:rsidRPr="00280C42">
        <w:rPr>
          <w:rFonts w:cs="Arial"/>
          <w:b/>
        </w:rPr>
        <w:t>o 0,1 mld. Kč</w:t>
      </w:r>
      <w:r w:rsidRPr="00280C42">
        <w:rPr>
          <w:rFonts w:cs="Arial"/>
        </w:rPr>
        <w:t>) – viz tabulku č. 8 v příloze.</w:t>
      </w:r>
    </w:p>
    <w:p w:rsidR="00C32FC3" w:rsidRPr="00280C42" w:rsidRDefault="00C32FC3" w:rsidP="0045189D">
      <w:pPr>
        <w:spacing w:after="240" w:line="360" w:lineRule="auto"/>
        <w:ind w:firstLine="708"/>
        <w:jc w:val="both"/>
        <w:rPr>
          <w:rFonts w:cs="Arial"/>
        </w:rPr>
      </w:pPr>
      <w:r w:rsidRPr="00280C42">
        <w:rPr>
          <w:rFonts w:cs="Arial"/>
        </w:rPr>
        <w:t xml:space="preserve">Ve sledovaném období se snížil </w:t>
      </w:r>
      <w:r w:rsidRPr="00280C42">
        <w:rPr>
          <w:rFonts w:cs="Arial"/>
          <w:b/>
        </w:rPr>
        <w:t>průměrný podíl nezaměstnaných osob</w:t>
      </w:r>
      <w:r w:rsidR="00A37690">
        <w:rPr>
          <w:rFonts w:cs="Arial"/>
          <w:b/>
        </w:rPr>
        <w:t> </w:t>
      </w:r>
      <w:r w:rsidRPr="00280C42">
        <w:rPr>
          <w:rFonts w:cs="Arial"/>
        </w:rPr>
        <w:t>o 1,0 p.</w:t>
      </w:r>
      <w:r w:rsidR="00A37690">
        <w:rPr>
          <w:rFonts w:cs="Arial"/>
        </w:rPr>
        <w:t> </w:t>
      </w:r>
      <w:r w:rsidRPr="00280C42">
        <w:rPr>
          <w:rFonts w:cs="Arial"/>
        </w:rPr>
        <w:t xml:space="preserve">b. </w:t>
      </w:r>
      <w:proofErr w:type="gramStart"/>
      <w:r w:rsidRPr="00280C42">
        <w:rPr>
          <w:rFonts w:cs="Arial"/>
          <w:b/>
        </w:rPr>
        <w:t>na</w:t>
      </w:r>
      <w:proofErr w:type="gramEnd"/>
      <w:r w:rsidRPr="00280C42">
        <w:rPr>
          <w:rFonts w:cs="Arial"/>
          <w:b/>
        </w:rPr>
        <w:t xml:space="preserve"> 5,6</w:t>
      </w:r>
      <w:r w:rsidR="00A37690">
        <w:rPr>
          <w:rFonts w:cs="Arial"/>
          <w:b/>
        </w:rPr>
        <w:t> </w:t>
      </w:r>
      <w:r w:rsidRPr="00280C42">
        <w:rPr>
          <w:rFonts w:cs="Arial"/>
          <w:b/>
        </w:rPr>
        <w:t>%</w:t>
      </w:r>
      <w:r w:rsidRPr="00280C42">
        <w:rPr>
          <w:rFonts w:cs="Arial"/>
        </w:rPr>
        <w:t>. Průměrný počet evidovaných nezaměstnaných se snížil</w:t>
      </w:r>
      <w:r w:rsidR="00A37690">
        <w:rPr>
          <w:rFonts w:cs="Arial"/>
        </w:rPr>
        <w:t> </w:t>
      </w:r>
      <w:r w:rsidRPr="00280C42">
        <w:rPr>
          <w:rFonts w:cs="Arial"/>
        </w:rPr>
        <w:t xml:space="preserve">o 73,0 tis. na 406,0 tis., došlo i k poklesu průměrného počtu evidovaných nezaměstnaných s nárokem na podporu v nezaměstnanosti o 3,9 tis. na 97,9 tis. Podíl žen pobírajících podporu v nezaměstnanosti na celkovém počtu uchazečů s podporou činil 52,2 % (o 0,3 p. b. </w:t>
      </w:r>
      <w:proofErr w:type="gramStart"/>
      <w:r w:rsidRPr="00280C42">
        <w:rPr>
          <w:rFonts w:cs="Arial"/>
        </w:rPr>
        <w:t>více</w:t>
      </w:r>
      <w:proofErr w:type="gramEnd"/>
      <w:r w:rsidRPr="00280C42">
        <w:rPr>
          <w:rFonts w:cs="Arial"/>
        </w:rPr>
        <w:t xml:space="preserve"> než v roce 2015). Na jedno volné pracovní místo připadalo 3,2 uchazeče (oproti 5,3 v roce 2015).</w:t>
      </w:r>
    </w:p>
    <w:p w:rsidR="00C32FC3" w:rsidRPr="00280C42" w:rsidRDefault="00C32FC3" w:rsidP="0045189D">
      <w:pPr>
        <w:spacing w:after="240" w:line="360" w:lineRule="auto"/>
        <w:jc w:val="both"/>
        <w:rPr>
          <w:rFonts w:cs="Arial"/>
        </w:rPr>
      </w:pPr>
      <w:r w:rsidRPr="00280C42">
        <w:rPr>
          <w:rFonts w:cs="Arial"/>
        </w:rPr>
        <w:tab/>
      </w:r>
      <w:r w:rsidRPr="00280C42">
        <w:rPr>
          <w:rFonts w:cs="Arial"/>
          <w:b/>
        </w:rPr>
        <w:t>Průměrná výše podpory v nezaměstnanosti</w:t>
      </w:r>
      <w:r w:rsidRPr="00280C42">
        <w:rPr>
          <w:rFonts w:cs="Arial"/>
        </w:rPr>
        <w:t xml:space="preserve"> se ve sledovaném období </w:t>
      </w:r>
      <w:r w:rsidRPr="00280C42">
        <w:rPr>
          <w:rFonts w:cs="Arial"/>
          <w:b/>
        </w:rPr>
        <w:t>zvýšila</w:t>
      </w:r>
      <w:r w:rsidRPr="00280C42">
        <w:rPr>
          <w:rFonts w:cs="Arial"/>
        </w:rPr>
        <w:t xml:space="preserve"> o 205 Kč na </w:t>
      </w:r>
      <w:r w:rsidRPr="00280C42">
        <w:rPr>
          <w:rFonts w:cs="Arial"/>
          <w:b/>
        </w:rPr>
        <w:t xml:space="preserve">6 376 Kč, </w:t>
      </w:r>
      <w:r w:rsidRPr="00280C42">
        <w:rPr>
          <w:rFonts w:cs="Arial"/>
        </w:rPr>
        <w:t>u mužů činila 7 049 Kč a u žen 5 759 Kč.</w:t>
      </w:r>
    </w:p>
    <w:p w:rsidR="00C32FC3" w:rsidRPr="00280C42" w:rsidRDefault="00C32FC3" w:rsidP="0045189D">
      <w:pPr>
        <w:spacing w:line="360" w:lineRule="auto"/>
        <w:jc w:val="both"/>
        <w:rPr>
          <w:rFonts w:cs="Arial"/>
        </w:rPr>
      </w:pPr>
      <w:r w:rsidRPr="00280C42">
        <w:rPr>
          <w:rFonts w:cs="Arial"/>
        </w:rPr>
        <w:tab/>
        <w:t>Meziroční nárůst průměrné měsíční výše podpory byl zaznamenán ve všech krajích ČR. Nejnižší průměrnou podporu vykázal Ústecký (5 947 Kč) a Zlínský kraj (5 978 Kč), nejvyšší hl. m. Praha (7 840 Kč) – viz grafické vyjádření níže a tabulku č.</w:t>
      </w:r>
      <w:r w:rsidR="0045189D" w:rsidRPr="00280C42">
        <w:rPr>
          <w:rFonts w:cs="Arial"/>
        </w:rPr>
        <w:t> </w:t>
      </w:r>
      <w:r w:rsidRPr="00280C42">
        <w:rPr>
          <w:rFonts w:cs="Arial"/>
        </w:rPr>
        <w:t>17 v příloze.</w:t>
      </w:r>
    </w:p>
    <w:p w:rsidR="00C32FC3" w:rsidRPr="00280C42" w:rsidRDefault="00C32FC3" w:rsidP="0045189D">
      <w:pPr>
        <w:spacing w:line="360" w:lineRule="auto"/>
        <w:jc w:val="center"/>
        <w:rPr>
          <w:noProof/>
        </w:rPr>
      </w:pPr>
      <w:r w:rsidRPr="00280C42">
        <w:rPr>
          <w:noProof/>
        </w:rPr>
        <w:drawing>
          <wp:inline distT="0" distB="0" distL="0" distR="0" wp14:anchorId="42A6CD88" wp14:editId="1427AC75">
            <wp:extent cx="5759821" cy="3676650"/>
            <wp:effectExtent l="19050" t="19050" r="12700" b="19050"/>
            <wp:docPr id="3" name="Obrázek 3" descr="E:\PRÁCE_flash\2016\1_ANALÝZY\Rok 2016\Sociální příjmy2016\mapa podpora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RÁCE_flash\2016\1_ANALÝZY\Rok 2016\Sociální příjmy2016\mapa podpora 201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3677224"/>
                    </a:xfrm>
                    <a:prstGeom prst="rect">
                      <a:avLst/>
                    </a:prstGeom>
                    <a:noFill/>
                    <a:ln>
                      <a:solidFill>
                        <a:sysClr val="windowText" lastClr="000000"/>
                      </a:solidFill>
                    </a:ln>
                  </pic:spPr>
                </pic:pic>
              </a:graphicData>
            </a:graphic>
          </wp:inline>
        </w:drawing>
      </w:r>
    </w:p>
    <w:p w:rsidR="00C32FC3" w:rsidRPr="00280C42" w:rsidRDefault="00C32FC3" w:rsidP="00C32FC3">
      <w:pPr>
        <w:spacing w:line="360" w:lineRule="auto"/>
        <w:jc w:val="both"/>
        <w:rPr>
          <w:noProof/>
          <w:sz w:val="20"/>
        </w:rPr>
      </w:pPr>
      <w:r w:rsidRPr="00280C42">
        <w:rPr>
          <w:noProof/>
          <w:sz w:val="20"/>
        </w:rPr>
        <w:t>Zpracováno z dat MPSV</w:t>
      </w:r>
    </w:p>
    <w:p w:rsidR="00C32FC3" w:rsidRPr="00280C42" w:rsidRDefault="00C32FC3" w:rsidP="00C32FC3">
      <w:pPr>
        <w:spacing w:line="360" w:lineRule="auto"/>
        <w:jc w:val="both"/>
        <w:rPr>
          <w:rFonts w:cs="Arial"/>
        </w:rPr>
      </w:pPr>
      <w:r w:rsidRPr="00280C42">
        <w:rPr>
          <w:rFonts w:cs="Arial"/>
        </w:rPr>
        <w:lastRenderedPageBreak/>
        <w:tab/>
      </w:r>
      <w:r w:rsidRPr="00280C42">
        <w:rPr>
          <w:rFonts w:cs="Arial"/>
          <w:b/>
          <w:u w:val="single"/>
        </w:rPr>
        <w:t>Dávky pomoci v hmotné nouzi</w:t>
      </w:r>
      <w:r w:rsidRPr="00280C42">
        <w:rPr>
          <w:rFonts w:cs="Arial"/>
        </w:rPr>
        <w:t xml:space="preserve"> </w:t>
      </w:r>
      <w:r w:rsidRPr="00280C42">
        <w:rPr>
          <w:rFonts w:cs="Arial"/>
          <w:szCs w:val="24"/>
        </w:rPr>
        <w:t xml:space="preserve">byly čerpány ve </w:t>
      </w:r>
      <w:r w:rsidRPr="00280C42">
        <w:rPr>
          <w:rFonts w:cs="Arial"/>
          <w:b/>
          <w:szCs w:val="24"/>
        </w:rPr>
        <w:t>výši 9,3 mld. Kč.</w:t>
      </w:r>
      <w:r w:rsidRPr="00280C42">
        <w:rPr>
          <w:rFonts w:cs="Arial"/>
          <w:szCs w:val="24"/>
        </w:rPr>
        <w:t xml:space="preserve"> V porovnání s množstvím prostředků</w:t>
      </w:r>
      <w:r w:rsidRPr="00280C42">
        <w:rPr>
          <w:rFonts w:cs="Arial"/>
        </w:rPr>
        <w:t xml:space="preserve"> poskytnutých touto formou v lednu – prosinci 2015 se jednalo o jejich pokles (</w:t>
      </w:r>
      <w:r w:rsidRPr="00280C42">
        <w:rPr>
          <w:rFonts w:cs="Arial"/>
          <w:b/>
        </w:rPr>
        <w:t>o 12,0 %,</w:t>
      </w:r>
      <w:r w:rsidRPr="00280C42">
        <w:rPr>
          <w:rFonts w:cs="Arial"/>
        </w:rPr>
        <w:t xml:space="preserve"> tj. </w:t>
      </w:r>
      <w:r w:rsidRPr="00280C42">
        <w:rPr>
          <w:rFonts w:cs="Arial"/>
          <w:b/>
        </w:rPr>
        <w:t>o 1,3 mld. Kč</w:t>
      </w:r>
      <w:r w:rsidRPr="00280C42">
        <w:rPr>
          <w:rFonts w:cs="Arial"/>
        </w:rPr>
        <w:t>), který byl způsoben zejména snížením počtu příjemců dávek v souvislosti s nižším počtem uchazečů o zaměstnání bez nároku na podporu v nezaměstnanosti a příznivější ekonomickou situací některých typů domácností – viz tabulky č. 8 a 18 v příloze. Vývoj výdajů na jednotlivé dávky ukazuje následující graf:</w:t>
      </w:r>
    </w:p>
    <w:p w:rsidR="00C32FC3" w:rsidRPr="00280C42" w:rsidRDefault="00C32FC3" w:rsidP="00C32FC3">
      <w:pPr>
        <w:spacing w:line="360" w:lineRule="auto"/>
        <w:jc w:val="both"/>
        <w:rPr>
          <w:rFonts w:cs="Arial"/>
        </w:rPr>
      </w:pPr>
    </w:p>
    <w:p w:rsidR="00C32FC3" w:rsidRPr="00280C42" w:rsidRDefault="00C32FC3" w:rsidP="00C32FC3">
      <w:pPr>
        <w:jc w:val="both"/>
      </w:pPr>
      <w:r w:rsidRPr="00280C42">
        <w:rPr>
          <w:noProof/>
        </w:rPr>
        <w:drawing>
          <wp:inline distT="0" distB="0" distL="0" distR="0" wp14:anchorId="18541308" wp14:editId="6C6AC729">
            <wp:extent cx="5600700" cy="351110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00700" cy="3511105"/>
                    </a:xfrm>
                    <a:prstGeom prst="rect">
                      <a:avLst/>
                    </a:prstGeom>
                    <a:noFill/>
                  </pic:spPr>
                </pic:pic>
              </a:graphicData>
            </a:graphic>
          </wp:inline>
        </w:drawing>
      </w:r>
    </w:p>
    <w:p w:rsidR="00C32FC3" w:rsidRPr="00280C42" w:rsidRDefault="00C32FC3" w:rsidP="00C32FC3">
      <w:pPr>
        <w:spacing w:line="360" w:lineRule="auto"/>
        <w:jc w:val="both"/>
        <w:rPr>
          <w:sz w:val="20"/>
        </w:rPr>
      </w:pPr>
    </w:p>
    <w:p w:rsidR="00C32FC3" w:rsidRPr="00280C42" w:rsidRDefault="00C32FC3" w:rsidP="00C32FC3">
      <w:pPr>
        <w:spacing w:line="360" w:lineRule="auto"/>
        <w:jc w:val="both"/>
        <w:rPr>
          <w:sz w:val="20"/>
        </w:rPr>
      </w:pPr>
      <w:r w:rsidRPr="00280C42">
        <w:rPr>
          <w:sz w:val="20"/>
        </w:rPr>
        <w:t>Zpracováno z dat MPSV</w:t>
      </w:r>
    </w:p>
    <w:p w:rsidR="00C32FC3" w:rsidRPr="00280C42" w:rsidRDefault="00C32FC3" w:rsidP="00C32FC3">
      <w:pPr>
        <w:spacing w:line="360" w:lineRule="auto"/>
        <w:jc w:val="both"/>
        <w:rPr>
          <w:rFonts w:cs="Arial"/>
        </w:rPr>
      </w:pPr>
    </w:p>
    <w:p w:rsidR="00C32FC3" w:rsidRPr="00280C42" w:rsidRDefault="00C32FC3" w:rsidP="00C32FC3">
      <w:pPr>
        <w:spacing w:line="360" w:lineRule="auto"/>
        <w:jc w:val="both"/>
        <w:rPr>
          <w:rFonts w:cs="Arial"/>
        </w:rPr>
      </w:pPr>
    </w:p>
    <w:p w:rsidR="00C32FC3" w:rsidRPr="00280C42" w:rsidRDefault="00C32FC3" w:rsidP="00C32FC3">
      <w:pPr>
        <w:spacing w:line="360" w:lineRule="auto"/>
        <w:jc w:val="both"/>
        <w:rPr>
          <w:rFonts w:cs="Arial"/>
          <w:b/>
        </w:rPr>
      </w:pPr>
      <w:r w:rsidRPr="00280C42">
        <w:rPr>
          <w:rFonts w:cs="Arial"/>
        </w:rPr>
        <w:tab/>
      </w:r>
      <w:r w:rsidRPr="00280C42">
        <w:rPr>
          <w:rFonts w:cs="Arial"/>
          <w:bCs/>
        </w:rPr>
        <w:t>Výdaje na</w:t>
      </w:r>
      <w:r w:rsidRPr="00280C42">
        <w:rPr>
          <w:rFonts w:cs="Arial"/>
          <w:b/>
        </w:rPr>
        <w:t xml:space="preserve"> příspěvek na živobytí </w:t>
      </w:r>
      <w:r w:rsidRPr="00280C42">
        <w:rPr>
          <w:rFonts w:cs="Arial"/>
        </w:rPr>
        <w:t xml:space="preserve">(jejichž podíl činil ve sledovaném období 67,2 % z úhrnného objemu prostředků na dávky pomoci v hmotné nouzi) klesly </w:t>
      </w:r>
      <w:r w:rsidRPr="00280C42">
        <w:rPr>
          <w:rFonts w:cs="Arial"/>
          <w:b/>
        </w:rPr>
        <w:t>na 6,2 mld. Kč</w:t>
      </w:r>
      <w:r w:rsidRPr="00280C42">
        <w:rPr>
          <w:rFonts w:cs="Arial"/>
        </w:rPr>
        <w:t xml:space="preserve"> a </w:t>
      </w:r>
      <w:r w:rsidRPr="00280C42">
        <w:rPr>
          <w:rFonts w:cs="Arial"/>
          <w:b/>
        </w:rPr>
        <w:t>byly</w:t>
      </w:r>
      <w:r w:rsidRPr="00280C42">
        <w:rPr>
          <w:rFonts w:cs="Arial"/>
        </w:rPr>
        <w:t xml:space="preserve"> oproti skutečnosti předchozího roku </w:t>
      </w:r>
      <w:r w:rsidRPr="00280C42">
        <w:rPr>
          <w:rFonts w:cs="Arial"/>
          <w:b/>
        </w:rPr>
        <w:t xml:space="preserve">o 1,0 mld. Kč </w:t>
      </w:r>
      <w:r w:rsidRPr="00280C42">
        <w:rPr>
          <w:rFonts w:cs="Arial"/>
        </w:rPr>
        <w:t>(</w:t>
      </w:r>
      <w:r w:rsidRPr="00280C42">
        <w:rPr>
          <w:rFonts w:cs="Arial"/>
          <w:b/>
        </w:rPr>
        <w:t>o 14,1 %</w:t>
      </w:r>
      <w:r w:rsidRPr="00280C42">
        <w:rPr>
          <w:rFonts w:cs="Arial"/>
        </w:rPr>
        <w:t xml:space="preserve">) </w:t>
      </w:r>
      <w:r w:rsidRPr="00280C42">
        <w:rPr>
          <w:rFonts w:cs="Arial"/>
          <w:b/>
        </w:rPr>
        <w:t>nižší</w:t>
      </w:r>
      <w:r w:rsidRPr="00280C42">
        <w:rPr>
          <w:rFonts w:cs="Arial"/>
        </w:rPr>
        <w:t>.</w:t>
      </w:r>
      <w:r w:rsidRPr="00280C42">
        <w:rPr>
          <w:rFonts w:cs="Arial"/>
          <w:b/>
        </w:rPr>
        <w:t xml:space="preserve"> </w:t>
      </w:r>
      <w:r w:rsidRPr="00280C42">
        <w:rPr>
          <w:rFonts w:cs="Arial"/>
        </w:rPr>
        <w:t xml:space="preserve">Meziročně se snížily ve všech krajích - viz tabulku č. 19 v příloze. </w:t>
      </w:r>
      <w:r w:rsidRPr="00280C42">
        <w:rPr>
          <w:rFonts w:cs="Arial"/>
          <w:b/>
        </w:rPr>
        <w:t>Průměrný měsíční počet dávek</w:t>
      </w:r>
      <w:r w:rsidRPr="00280C42">
        <w:rPr>
          <w:rFonts w:cs="Arial"/>
        </w:rPr>
        <w:t xml:space="preserve"> se snížil o 22,2 tis. (o 14,9 %) na</w:t>
      </w:r>
      <w:r w:rsidRPr="00280C42">
        <w:rPr>
          <w:rFonts w:cs="Arial"/>
          <w:b/>
        </w:rPr>
        <w:t xml:space="preserve"> 126,9 tis </w:t>
      </w:r>
      <w:r w:rsidRPr="00280C42">
        <w:rPr>
          <w:rFonts w:cs="Arial"/>
        </w:rPr>
        <w:t>– viz tabulku č. 20 v příloze</w:t>
      </w:r>
      <w:r w:rsidRPr="00280C42">
        <w:rPr>
          <w:rFonts w:cs="Arial"/>
          <w:b/>
        </w:rPr>
        <w:t xml:space="preserve">. </w:t>
      </w:r>
      <w:r w:rsidRPr="00280C42">
        <w:rPr>
          <w:rFonts w:cs="Arial"/>
        </w:rPr>
        <w:t>Zhruba</w:t>
      </w:r>
      <w:r w:rsidRPr="00280C42">
        <w:rPr>
          <w:rFonts w:cs="Arial"/>
          <w:b/>
        </w:rPr>
        <w:t xml:space="preserve"> </w:t>
      </w:r>
      <w:r w:rsidRPr="00280C42">
        <w:rPr>
          <w:rFonts w:cs="Arial"/>
        </w:rPr>
        <w:t xml:space="preserve">46,7 % (o 2,1 p. b. </w:t>
      </w:r>
      <w:proofErr w:type="gramStart"/>
      <w:r w:rsidRPr="00280C42">
        <w:rPr>
          <w:rFonts w:cs="Arial"/>
        </w:rPr>
        <w:t>méně</w:t>
      </w:r>
      <w:proofErr w:type="gramEnd"/>
      <w:r w:rsidRPr="00280C42">
        <w:rPr>
          <w:rFonts w:cs="Arial"/>
        </w:rPr>
        <w:t xml:space="preserve"> než v roce 2015) z celkového počtu dávek přiznaných za minulý rok připadlo na domácnosti jednotlivců, 9,8 % (o 0,5 p. b. více) na domácnosti s 5 a více členy. </w:t>
      </w:r>
      <w:r w:rsidRPr="00280C42">
        <w:rPr>
          <w:rFonts w:cs="Arial"/>
          <w:b/>
        </w:rPr>
        <w:t>Průměrná výše</w:t>
      </w:r>
      <w:r w:rsidRPr="00280C42">
        <w:rPr>
          <w:rFonts w:cs="Arial"/>
        </w:rPr>
        <w:t xml:space="preserve"> vyplacené dávky činila cca</w:t>
      </w:r>
      <w:r w:rsidR="000B0DC5">
        <w:rPr>
          <w:rFonts w:cs="Arial"/>
        </w:rPr>
        <w:t> </w:t>
      </w:r>
      <w:r w:rsidRPr="00280C42">
        <w:rPr>
          <w:rFonts w:cs="Arial"/>
          <w:b/>
        </w:rPr>
        <w:t>4 150 Kč.</w:t>
      </w:r>
    </w:p>
    <w:p w:rsidR="00C32FC3" w:rsidRPr="00280C42" w:rsidRDefault="00C32FC3" w:rsidP="00C32FC3">
      <w:pPr>
        <w:spacing w:line="360" w:lineRule="auto"/>
        <w:jc w:val="both"/>
        <w:rPr>
          <w:rFonts w:cs="Arial"/>
        </w:rPr>
      </w:pPr>
      <w:r w:rsidRPr="00280C42">
        <w:rPr>
          <w:rFonts w:cs="Arial"/>
        </w:rPr>
        <w:lastRenderedPageBreak/>
        <w:tab/>
        <w:t>Na</w:t>
      </w:r>
      <w:r w:rsidRPr="00280C42">
        <w:rPr>
          <w:rFonts w:cs="Arial"/>
          <w:b/>
          <w:bCs/>
        </w:rPr>
        <w:t xml:space="preserve"> doplatku na bydlení</w:t>
      </w:r>
      <w:r w:rsidRPr="00280C42">
        <w:rPr>
          <w:rFonts w:cs="Arial"/>
          <w:b/>
        </w:rPr>
        <w:t>,</w:t>
      </w:r>
      <w:r w:rsidRPr="00280C42">
        <w:rPr>
          <w:rFonts w:cs="Arial"/>
        </w:rPr>
        <w:t xml:space="preserve"> který představoval 31,5 % z úhrnu dávek pomoci v hmotné nouzi, bylo vyplaceno </w:t>
      </w:r>
      <w:r w:rsidRPr="00280C42">
        <w:rPr>
          <w:rFonts w:cs="Arial"/>
          <w:b/>
        </w:rPr>
        <w:t>2,9 mld. Kč,</w:t>
      </w:r>
      <w:r w:rsidRPr="00280C42">
        <w:rPr>
          <w:rFonts w:cs="Arial"/>
        </w:rPr>
        <w:t xml:space="preserve"> tj. </w:t>
      </w:r>
      <w:r w:rsidRPr="00280C42">
        <w:rPr>
          <w:rFonts w:cs="Arial"/>
          <w:b/>
        </w:rPr>
        <w:t>o 0,2 mld. Kč (o 7,0 %) méně</w:t>
      </w:r>
      <w:r w:rsidRPr="00280C42">
        <w:rPr>
          <w:rFonts w:cs="Arial"/>
        </w:rPr>
        <w:t xml:space="preserve"> než ve stejném období roku 2015; došlo ke snížení počtu příjemců této dávky, ale naopak k růstu její průměrné výše. K vyššímu čerpání této dávky proti skutečnosti předchozího roku došlo v hl. m. Praze, ve všech ostatních krajích se výdaje na tuto dávku snížily. </w:t>
      </w:r>
      <w:r w:rsidRPr="00280C42">
        <w:rPr>
          <w:rFonts w:cs="Arial"/>
          <w:b/>
        </w:rPr>
        <w:t xml:space="preserve">V průměru </w:t>
      </w:r>
      <w:r w:rsidRPr="00280C42">
        <w:rPr>
          <w:rFonts w:cs="Arial"/>
        </w:rPr>
        <w:t xml:space="preserve">bylo za leden až prosinec 2016 vyplaceno </w:t>
      </w:r>
      <w:r w:rsidRPr="00280C42">
        <w:rPr>
          <w:rFonts w:cs="Arial"/>
          <w:b/>
        </w:rPr>
        <w:t>64,2 tis. dávek,</w:t>
      </w:r>
      <w:r w:rsidRPr="00280C42">
        <w:rPr>
          <w:rFonts w:cs="Arial"/>
        </w:rPr>
        <w:t xml:space="preserve"> tj. o 5,8 tis. (o 8,3 %) méně než za stejné období roku 2015 – viz tabulky č. 19 a 20 v příloze Z hlediska struktury domácností bylo za minulý rok vyplaceno 47,4 % dávek domácnostem jednotlivců, domácnostem s 5 a více členy 9,4 % dávek. </w:t>
      </w:r>
      <w:r w:rsidRPr="00280C42">
        <w:rPr>
          <w:rFonts w:cs="Arial"/>
          <w:b/>
        </w:rPr>
        <w:t>Průměrná výše</w:t>
      </w:r>
      <w:r w:rsidRPr="00280C42">
        <w:rPr>
          <w:rFonts w:cs="Arial"/>
        </w:rPr>
        <w:t xml:space="preserve"> dávky činila </w:t>
      </w:r>
      <w:r w:rsidRPr="00280C42">
        <w:rPr>
          <w:rFonts w:cs="Arial"/>
          <w:b/>
        </w:rPr>
        <w:t>3 802 Kč</w:t>
      </w:r>
      <w:r w:rsidRPr="00280C42">
        <w:rPr>
          <w:rFonts w:cs="Arial"/>
        </w:rPr>
        <w:t xml:space="preserve"> (o 97 Kč meziročně více).</w:t>
      </w:r>
    </w:p>
    <w:p w:rsidR="00C32FC3" w:rsidRPr="00280C42" w:rsidRDefault="00C32FC3" w:rsidP="00C32FC3">
      <w:pPr>
        <w:spacing w:line="360" w:lineRule="auto"/>
        <w:jc w:val="both"/>
        <w:rPr>
          <w:rFonts w:cs="Arial"/>
        </w:rPr>
      </w:pPr>
    </w:p>
    <w:p w:rsidR="00C32FC3" w:rsidRPr="00280C42" w:rsidRDefault="00C32FC3" w:rsidP="00C32FC3">
      <w:pPr>
        <w:spacing w:line="360" w:lineRule="auto"/>
        <w:jc w:val="both"/>
        <w:rPr>
          <w:rFonts w:cs="Arial"/>
        </w:rPr>
      </w:pPr>
      <w:r w:rsidRPr="00280C42">
        <w:rPr>
          <w:rFonts w:cs="Arial"/>
        </w:rPr>
        <w:tab/>
        <w:t xml:space="preserve">Také </w:t>
      </w:r>
      <w:r w:rsidRPr="00280C42">
        <w:rPr>
          <w:rFonts w:cs="Arial"/>
          <w:b/>
          <w:bCs/>
        </w:rPr>
        <w:t>výdaje na</w:t>
      </w:r>
      <w:r w:rsidRPr="00280C42">
        <w:rPr>
          <w:rFonts w:cs="Arial"/>
        </w:rPr>
        <w:t xml:space="preserve"> </w:t>
      </w:r>
      <w:r w:rsidRPr="00280C42">
        <w:rPr>
          <w:rFonts w:cs="Arial"/>
          <w:b/>
        </w:rPr>
        <w:t>mimořádnou okamžitou pomoc</w:t>
      </w:r>
      <w:r w:rsidRPr="00280C42">
        <w:rPr>
          <w:rFonts w:cs="Arial"/>
        </w:rPr>
        <w:t xml:space="preserve"> (poslední z dávek tohoto systému) se proti roku 2015 </w:t>
      </w:r>
      <w:r w:rsidRPr="00280C42">
        <w:rPr>
          <w:rFonts w:cs="Arial"/>
          <w:b/>
        </w:rPr>
        <w:t>snížily.</w:t>
      </w:r>
      <w:r w:rsidRPr="00280C42">
        <w:rPr>
          <w:rFonts w:cs="Arial"/>
        </w:rPr>
        <w:t xml:space="preserve"> Bylo na nich vyplaceno </w:t>
      </w:r>
      <w:r w:rsidRPr="00280C42">
        <w:rPr>
          <w:rFonts w:cs="Arial"/>
          <w:b/>
        </w:rPr>
        <w:t>117,0 mil. Kč,</w:t>
      </w:r>
      <w:r w:rsidRPr="00280C42">
        <w:rPr>
          <w:rFonts w:cs="Arial"/>
        </w:rPr>
        <w:t xml:space="preserve"> tj. </w:t>
      </w:r>
      <w:r w:rsidRPr="00280C42">
        <w:rPr>
          <w:rFonts w:cs="Arial"/>
          <w:b/>
        </w:rPr>
        <w:t>o  17,4 %</w:t>
      </w:r>
      <w:r w:rsidRPr="00280C42">
        <w:rPr>
          <w:rFonts w:cs="Arial"/>
        </w:rPr>
        <w:t xml:space="preserve"> (24,6 mil. Kč) méně – viz tabulku č. 19 v příloze.</w:t>
      </w:r>
    </w:p>
    <w:p w:rsidR="00C32FC3" w:rsidRPr="00280C42" w:rsidRDefault="00C32FC3" w:rsidP="00C32FC3">
      <w:pPr>
        <w:spacing w:line="360" w:lineRule="auto"/>
        <w:jc w:val="both"/>
        <w:rPr>
          <w:rFonts w:cs="Arial"/>
        </w:rPr>
      </w:pPr>
    </w:p>
    <w:p w:rsidR="00C32FC3" w:rsidRPr="00280C42" w:rsidRDefault="00C32FC3" w:rsidP="00C32FC3">
      <w:pPr>
        <w:spacing w:line="360" w:lineRule="auto"/>
        <w:jc w:val="both"/>
        <w:rPr>
          <w:rFonts w:cs="Arial"/>
        </w:rPr>
      </w:pPr>
    </w:p>
    <w:p w:rsidR="00C32FC3" w:rsidRPr="00280C42" w:rsidRDefault="00C32FC3" w:rsidP="00C32FC3">
      <w:pPr>
        <w:spacing w:line="360" w:lineRule="auto"/>
        <w:jc w:val="both"/>
      </w:pPr>
      <w:r w:rsidRPr="00280C42">
        <w:rPr>
          <w:rFonts w:cs="Arial"/>
        </w:rPr>
        <w:tab/>
      </w:r>
      <w:r w:rsidRPr="00280C42">
        <w:rPr>
          <w:rFonts w:cs="Arial"/>
          <w:b/>
          <w:u w:val="single"/>
        </w:rPr>
        <w:t>Dávky pro osoby se zdravotním postižením</w:t>
      </w:r>
      <w:r w:rsidRPr="00280C42">
        <w:rPr>
          <w:rFonts w:cs="Arial"/>
        </w:rPr>
        <w:t xml:space="preserve"> se podílely na celkových sociálních příjmech pouze 0,4 %. Bylo na nich vyplaceno </w:t>
      </w:r>
      <w:r w:rsidRPr="00280C42">
        <w:rPr>
          <w:rFonts w:cs="Arial"/>
          <w:b/>
        </w:rPr>
        <w:t>2,0 mld. Kč</w:t>
      </w:r>
      <w:r w:rsidRPr="00280C42">
        <w:rPr>
          <w:rFonts w:cs="Arial"/>
        </w:rPr>
        <w:t xml:space="preserve"> (</w:t>
      </w:r>
      <w:r w:rsidRPr="00280C42">
        <w:rPr>
          <w:rFonts w:cs="Arial"/>
          <w:b/>
        </w:rPr>
        <w:t xml:space="preserve">o 3,4 % více </w:t>
      </w:r>
      <w:r w:rsidRPr="00280C42">
        <w:rPr>
          <w:rFonts w:cs="Arial"/>
        </w:rPr>
        <w:t xml:space="preserve">než v roce 2015). V průběhu roku 2016 bylo vyplaceno 7,2 tis. příspěvků </w:t>
      </w:r>
      <w:r w:rsidRPr="00280C42">
        <w:rPr>
          <w:rFonts w:cs="Arial"/>
          <w:b/>
        </w:rPr>
        <w:t>na zvláštní pomůcku</w:t>
      </w:r>
      <w:r w:rsidRPr="00280C42">
        <w:rPr>
          <w:rFonts w:cs="Arial"/>
        </w:rPr>
        <w:t xml:space="preserve"> (z hlediska typu pomůcky bylo nejvíce příspěvků vyplaceno na motorové vozidlo – 2,8 tis.) v úhrnné výši </w:t>
      </w:r>
      <w:r w:rsidRPr="00280C42">
        <w:rPr>
          <w:rFonts w:cs="Arial"/>
          <w:b/>
        </w:rPr>
        <w:t xml:space="preserve">826,9 mil. Kč </w:t>
      </w:r>
      <w:r w:rsidRPr="00280C42">
        <w:rPr>
          <w:rFonts w:cs="Arial"/>
        </w:rPr>
        <w:t xml:space="preserve">(o 5,7 % více). </w:t>
      </w:r>
      <w:r w:rsidRPr="00280C42">
        <w:rPr>
          <w:rFonts w:cs="Arial"/>
          <w:b/>
        </w:rPr>
        <w:t>Příspěvků na mobilitu</w:t>
      </w:r>
      <w:r w:rsidRPr="00280C42">
        <w:rPr>
          <w:rFonts w:cs="Arial"/>
        </w:rPr>
        <w:t xml:space="preserve"> bylo čerpáno v průměru měsíčně 243,7 tis. a bylo na ně vyplaceno za leden až prosinec 2016 celkem </w:t>
      </w:r>
      <w:r w:rsidRPr="00280C42">
        <w:rPr>
          <w:rFonts w:cs="Arial"/>
          <w:b/>
        </w:rPr>
        <w:t>1 166,6 mil. Kč</w:t>
      </w:r>
      <w:r w:rsidRPr="00280C42">
        <w:rPr>
          <w:rFonts w:cs="Arial"/>
        </w:rPr>
        <w:t xml:space="preserve"> (o 1,8 % více) – viz tabulku č. 21 v příloze.</w:t>
      </w:r>
    </w:p>
    <w:p w:rsidR="00C32FC3" w:rsidRPr="00280C42" w:rsidRDefault="00C32FC3" w:rsidP="00C32FC3">
      <w:pPr>
        <w:pStyle w:val="Zkladntext"/>
      </w:pPr>
    </w:p>
    <w:p w:rsidR="00C32FC3" w:rsidRPr="00280C42" w:rsidRDefault="00C32FC3" w:rsidP="00C32FC3">
      <w:pPr>
        <w:spacing w:line="360" w:lineRule="auto"/>
        <w:rPr>
          <w:rFonts w:cs="Arial"/>
        </w:rPr>
      </w:pPr>
    </w:p>
    <w:p w:rsidR="00C32FC3" w:rsidRPr="00627723" w:rsidRDefault="00C32FC3" w:rsidP="00C32FC3">
      <w:pPr>
        <w:pStyle w:val="Zkladntext"/>
      </w:pPr>
    </w:p>
    <w:p w:rsidR="00C32FC3" w:rsidRPr="00627723" w:rsidRDefault="00C32FC3" w:rsidP="00C32FC3">
      <w:pPr>
        <w:spacing w:line="360" w:lineRule="auto"/>
        <w:rPr>
          <w:rFonts w:cs="Arial"/>
        </w:rPr>
      </w:pPr>
    </w:p>
    <w:p w:rsidR="00C32FC3" w:rsidRDefault="00C32FC3" w:rsidP="00C32FC3">
      <w:pPr>
        <w:spacing w:line="360" w:lineRule="auto"/>
        <w:rPr>
          <w:rFonts w:cs="Arial"/>
        </w:rPr>
      </w:pPr>
    </w:p>
    <w:p w:rsidR="00C32FC3" w:rsidRDefault="00C32FC3" w:rsidP="00C32FC3">
      <w:pPr>
        <w:spacing w:line="360" w:lineRule="auto"/>
        <w:rPr>
          <w:rFonts w:cs="Arial"/>
        </w:rPr>
      </w:pPr>
    </w:p>
    <w:p w:rsidR="00C32FC3" w:rsidRDefault="00C32FC3" w:rsidP="00C32FC3">
      <w:pPr>
        <w:spacing w:line="360" w:lineRule="auto"/>
        <w:rPr>
          <w:rFonts w:cs="Arial"/>
        </w:rPr>
      </w:pPr>
    </w:p>
    <w:p w:rsidR="00C32FC3" w:rsidRDefault="00C32FC3" w:rsidP="00C32FC3">
      <w:pPr>
        <w:spacing w:line="360" w:lineRule="auto"/>
        <w:rPr>
          <w:rFonts w:cs="Arial"/>
        </w:rPr>
      </w:pPr>
    </w:p>
    <w:p w:rsidR="00C32FC3" w:rsidRDefault="00C32FC3" w:rsidP="00C32FC3">
      <w:pPr>
        <w:spacing w:line="360" w:lineRule="auto"/>
        <w:rPr>
          <w:rFonts w:cs="Arial"/>
        </w:rPr>
      </w:pPr>
    </w:p>
    <w:p w:rsidR="00C32FC3" w:rsidRDefault="00C32FC3" w:rsidP="00C32FC3">
      <w:pPr>
        <w:spacing w:line="360" w:lineRule="auto"/>
        <w:rPr>
          <w:rFonts w:cs="Arial"/>
        </w:rPr>
      </w:pPr>
    </w:p>
    <w:p w:rsidR="00C32FC3" w:rsidRDefault="00C32FC3" w:rsidP="00C32FC3">
      <w:pPr>
        <w:spacing w:after="120"/>
        <w:rPr>
          <w:sz w:val="20"/>
        </w:rPr>
      </w:pPr>
    </w:p>
    <w:p w:rsidR="00724C33" w:rsidRDefault="00724C33" w:rsidP="00724C33">
      <w:pPr>
        <w:spacing w:line="360" w:lineRule="auto"/>
        <w:jc w:val="both"/>
        <w:rPr>
          <w:rFonts w:cs="Arial"/>
          <w:b/>
          <w:bCs/>
          <w:i/>
          <w:iCs/>
          <w:sz w:val="32"/>
        </w:rPr>
      </w:pPr>
      <w:r>
        <w:rPr>
          <w:rFonts w:cs="Arial"/>
          <w:b/>
          <w:bCs/>
          <w:i/>
          <w:iCs/>
          <w:sz w:val="32"/>
        </w:rPr>
        <w:lastRenderedPageBreak/>
        <w:t xml:space="preserve">1. 4 Ostatní příjmy </w:t>
      </w:r>
    </w:p>
    <w:p w:rsidR="00724C33" w:rsidRDefault="00724C33" w:rsidP="00724C33">
      <w:pPr>
        <w:spacing w:line="360" w:lineRule="auto"/>
        <w:jc w:val="both"/>
      </w:pPr>
    </w:p>
    <w:p w:rsidR="00724C33" w:rsidRDefault="00724C33" w:rsidP="00724C33">
      <w:pPr>
        <w:spacing w:line="360" w:lineRule="auto"/>
        <w:jc w:val="both"/>
      </w:pPr>
    </w:p>
    <w:p w:rsidR="00724C33" w:rsidRDefault="00724C33" w:rsidP="00724C33">
      <w:pPr>
        <w:spacing w:line="360" w:lineRule="auto"/>
        <w:jc w:val="both"/>
        <w:rPr>
          <w:rFonts w:cs="Arial"/>
          <w:b/>
          <w:bCs/>
        </w:rPr>
      </w:pPr>
      <w:r>
        <w:tab/>
      </w:r>
      <w:r>
        <w:rPr>
          <w:rFonts w:cs="Arial"/>
          <w:b/>
          <w:bCs/>
        </w:rPr>
        <w:t xml:space="preserve">Podíl „ostatních“ příjmů </w:t>
      </w:r>
      <w:r>
        <w:rPr>
          <w:rFonts w:cs="Arial"/>
        </w:rPr>
        <w:t xml:space="preserve">(tj. těch, jež nemají charakter příjmů ze závislé pracovní činnosti nebo sociálních příjmů) </w:t>
      </w:r>
      <w:r>
        <w:rPr>
          <w:rFonts w:cs="Arial"/>
          <w:b/>
          <w:bCs/>
        </w:rPr>
        <w:t xml:space="preserve">na celkových příjmech domácností </w:t>
      </w:r>
      <w:r>
        <w:rPr>
          <w:rFonts w:cs="Arial"/>
        </w:rPr>
        <w:t>(v makroekonomickém pohledu)</w:t>
      </w:r>
      <w:r>
        <w:rPr>
          <w:rFonts w:cs="Arial"/>
          <w:b/>
          <w:bCs/>
        </w:rPr>
        <w:t xml:space="preserve"> představoval přibližně 38 – 39 % </w:t>
      </w:r>
      <w:r>
        <w:rPr>
          <w:rFonts w:cs="Arial"/>
        </w:rPr>
        <w:t xml:space="preserve">(zhruba stejně jako v roce 2015). Jejich absolutní </w:t>
      </w:r>
      <w:r>
        <w:rPr>
          <w:rFonts w:cs="Arial"/>
          <w:b/>
          <w:bCs/>
        </w:rPr>
        <w:t xml:space="preserve">objem lze </w:t>
      </w:r>
      <w:r>
        <w:rPr>
          <w:rFonts w:cs="Arial"/>
        </w:rPr>
        <w:t xml:space="preserve">na základě dostupných údajů o výši jednotlivých hlavních položek spadajících do této příjmové skupiny </w:t>
      </w:r>
      <w:r>
        <w:rPr>
          <w:rFonts w:cs="Arial"/>
          <w:b/>
          <w:bCs/>
        </w:rPr>
        <w:t>odhadnout na cca 1 100 – 1 105 mld. Kč.</w:t>
      </w:r>
    </w:p>
    <w:p w:rsidR="00724C33" w:rsidRDefault="00724C33" w:rsidP="00724C33">
      <w:pPr>
        <w:spacing w:after="120" w:line="360" w:lineRule="auto"/>
        <w:jc w:val="both"/>
        <w:rPr>
          <w:rFonts w:cs="Arial"/>
          <w:b/>
          <w:bCs/>
        </w:rPr>
      </w:pPr>
    </w:p>
    <w:p w:rsidR="00724C33" w:rsidRDefault="00724C33" w:rsidP="00724C33">
      <w:pPr>
        <w:spacing w:line="360" w:lineRule="auto"/>
        <w:jc w:val="both"/>
        <w:rPr>
          <w:rFonts w:cs="Arial"/>
          <w:b/>
          <w:bCs/>
        </w:rPr>
      </w:pPr>
      <w:r>
        <w:rPr>
          <w:rFonts w:cs="Arial"/>
          <w:b/>
          <w:bCs/>
        </w:rPr>
        <w:tab/>
        <w:t xml:space="preserve">Nejdůležitějšími </w:t>
      </w:r>
      <w:r>
        <w:rPr>
          <w:rFonts w:cs="Arial"/>
        </w:rPr>
        <w:t xml:space="preserve">položkami příjmů (statisticky zařazenými do kategorie „ostatních“) </w:t>
      </w:r>
      <w:r>
        <w:rPr>
          <w:rFonts w:cs="Arial"/>
          <w:b/>
          <w:bCs/>
        </w:rPr>
        <w:t>jsou zejména</w:t>
      </w:r>
      <w:r w:rsidRPr="004E5D01">
        <w:rPr>
          <w:rFonts w:cs="Arial"/>
          <w:b/>
          <w:bCs/>
        </w:rPr>
        <w:t>:</w:t>
      </w:r>
    </w:p>
    <w:p w:rsidR="00724C33" w:rsidRDefault="00724C33" w:rsidP="00724C33">
      <w:pPr>
        <w:spacing w:line="360" w:lineRule="auto"/>
        <w:jc w:val="both"/>
        <w:rPr>
          <w:rFonts w:cs="Arial"/>
          <w:b/>
          <w:bCs/>
        </w:rPr>
      </w:pPr>
    </w:p>
    <w:p w:rsidR="00724C33" w:rsidRPr="00104553" w:rsidRDefault="00724C33" w:rsidP="00724C33">
      <w:pPr>
        <w:pStyle w:val="Odstavecseseznamem"/>
        <w:numPr>
          <w:ilvl w:val="0"/>
          <w:numId w:val="9"/>
        </w:numPr>
        <w:spacing w:line="360" w:lineRule="auto"/>
        <w:jc w:val="both"/>
        <w:rPr>
          <w:rFonts w:ascii="Arial" w:hAnsi="Arial" w:cs="Arial"/>
          <w:b/>
          <w:bCs/>
          <w:sz w:val="24"/>
        </w:rPr>
      </w:pPr>
      <w:r w:rsidRPr="00104553">
        <w:rPr>
          <w:rFonts w:ascii="Arial" w:hAnsi="Arial" w:cs="Arial"/>
          <w:b/>
          <w:bCs/>
          <w:sz w:val="24"/>
        </w:rPr>
        <w:t xml:space="preserve">příjmy z </w:t>
      </w:r>
      <w:r w:rsidRPr="00104553">
        <w:rPr>
          <w:rFonts w:ascii="Arial" w:hAnsi="Arial" w:cs="Arial"/>
          <w:sz w:val="24"/>
        </w:rPr>
        <w:t xml:space="preserve">(drobného) </w:t>
      </w:r>
      <w:r w:rsidRPr="00104553">
        <w:rPr>
          <w:rFonts w:ascii="Arial" w:hAnsi="Arial" w:cs="Arial"/>
          <w:b/>
          <w:bCs/>
          <w:sz w:val="24"/>
        </w:rPr>
        <w:t>podnikání,</w:t>
      </w:r>
    </w:p>
    <w:p w:rsidR="00724C33" w:rsidRPr="00104553" w:rsidRDefault="00724C33" w:rsidP="00724C33">
      <w:pPr>
        <w:pStyle w:val="Odstavecseseznamem"/>
        <w:numPr>
          <w:ilvl w:val="0"/>
          <w:numId w:val="9"/>
        </w:numPr>
        <w:spacing w:line="360" w:lineRule="auto"/>
        <w:jc w:val="both"/>
        <w:rPr>
          <w:rFonts w:ascii="Arial" w:hAnsi="Arial" w:cs="Arial"/>
          <w:b/>
          <w:bCs/>
          <w:sz w:val="24"/>
        </w:rPr>
      </w:pPr>
      <w:r w:rsidRPr="00104553">
        <w:rPr>
          <w:rFonts w:ascii="Arial" w:hAnsi="Arial" w:cs="Arial"/>
          <w:b/>
          <w:bCs/>
          <w:sz w:val="24"/>
        </w:rPr>
        <w:t xml:space="preserve">příjmy z majetku </w:t>
      </w:r>
      <w:r w:rsidRPr="00104553">
        <w:rPr>
          <w:rFonts w:ascii="Arial" w:hAnsi="Arial" w:cs="Arial"/>
          <w:sz w:val="24"/>
        </w:rPr>
        <w:t>(pronájmy, prodeje, dividendy z cenných papírů, renty apod.),</w:t>
      </w:r>
    </w:p>
    <w:p w:rsidR="00724C33" w:rsidRPr="00104553" w:rsidRDefault="00724C33" w:rsidP="00724C33">
      <w:pPr>
        <w:pStyle w:val="Odstavecseseznamem"/>
        <w:numPr>
          <w:ilvl w:val="0"/>
          <w:numId w:val="9"/>
        </w:numPr>
        <w:spacing w:line="360" w:lineRule="auto"/>
        <w:jc w:val="both"/>
        <w:rPr>
          <w:rFonts w:ascii="Arial" w:hAnsi="Arial" w:cs="Arial"/>
          <w:b/>
          <w:bCs/>
          <w:sz w:val="24"/>
        </w:rPr>
      </w:pPr>
      <w:r w:rsidRPr="00104553">
        <w:rPr>
          <w:rFonts w:ascii="Arial" w:hAnsi="Arial" w:cs="Arial"/>
          <w:b/>
          <w:bCs/>
          <w:sz w:val="24"/>
        </w:rPr>
        <w:t>přijaté půjčky,</w:t>
      </w:r>
    </w:p>
    <w:p w:rsidR="00724C33" w:rsidRPr="00104553" w:rsidRDefault="00724C33" w:rsidP="00724C33">
      <w:pPr>
        <w:pStyle w:val="Odstavecseseznamem"/>
        <w:numPr>
          <w:ilvl w:val="0"/>
          <w:numId w:val="9"/>
        </w:numPr>
        <w:spacing w:line="360" w:lineRule="auto"/>
        <w:jc w:val="both"/>
        <w:rPr>
          <w:rFonts w:ascii="Arial" w:hAnsi="Arial" w:cs="Arial"/>
          <w:b/>
          <w:bCs/>
          <w:sz w:val="24"/>
        </w:rPr>
      </w:pPr>
      <w:r w:rsidRPr="00104553">
        <w:rPr>
          <w:rFonts w:ascii="Arial" w:hAnsi="Arial" w:cs="Arial"/>
          <w:b/>
          <w:bCs/>
          <w:sz w:val="24"/>
        </w:rPr>
        <w:t>příjmy z pojištění,</w:t>
      </w:r>
    </w:p>
    <w:p w:rsidR="00724C33" w:rsidRPr="00104553" w:rsidRDefault="00724C33" w:rsidP="00724C33">
      <w:pPr>
        <w:pStyle w:val="Odstavecseseznamem"/>
        <w:numPr>
          <w:ilvl w:val="0"/>
          <w:numId w:val="9"/>
        </w:numPr>
        <w:spacing w:line="360" w:lineRule="auto"/>
        <w:jc w:val="both"/>
        <w:rPr>
          <w:rFonts w:ascii="Arial" w:hAnsi="Arial" w:cs="Arial"/>
          <w:b/>
          <w:bCs/>
          <w:sz w:val="24"/>
        </w:rPr>
      </w:pPr>
      <w:r w:rsidRPr="00104553">
        <w:rPr>
          <w:rFonts w:ascii="Arial" w:hAnsi="Arial" w:cs="Arial"/>
          <w:b/>
          <w:bCs/>
          <w:sz w:val="24"/>
        </w:rPr>
        <w:t xml:space="preserve">přijaté úroky </w:t>
      </w:r>
      <w:r w:rsidRPr="00104553">
        <w:rPr>
          <w:rFonts w:ascii="Arial" w:hAnsi="Arial" w:cs="Arial"/>
          <w:sz w:val="24"/>
        </w:rPr>
        <w:t>z vkladů, půjček, dluhopisů,</w:t>
      </w:r>
    </w:p>
    <w:p w:rsidR="00724C33" w:rsidRPr="00104553" w:rsidRDefault="00724C33" w:rsidP="00724C33">
      <w:pPr>
        <w:pStyle w:val="Odstavecseseznamem"/>
        <w:numPr>
          <w:ilvl w:val="0"/>
          <w:numId w:val="9"/>
        </w:numPr>
        <w:spacing w:line="360" w:lineRule="auto"/>
        <w:jc w:val="both"/>
        <w:rPr>
          <w:rFonts w:ascii="Arial" w:hAnsi="Arial" w:cs="Arial"/>
          <w:b/>
          <w:bCs/>
          <w:sz w:val="24"/>
        </w:rPr>
      </w:pPr>
      <w:r w:rsidRPr="00104553">
        <w:rPr>
          <w:rFonts w:ascii="Arial" w:hAnsi="Arial" w:cs="Arial"/>
          <w:b/>
          <w:bCs/>
          <w:sz w:val="24"/>
        </w:rPr>
        <w:t>příjmy ze zahraničí,</w:t>
      </w:r>
    </w:p>
    <w:p w:rsidR="00724C33" w:rsidRPr="00104553" w:rsidRDefault="00724C33" w:rsidP="00724C33">
      <w:pPr>
        <w:pStyle w:val="Odstavecseseznamem"/>
        <w:numPr>
          <w:ilvl w:val="0"/>
          <w:numId w:val="9"/>
        </w:numPr>
        <w:spacing w:line="360" w:lineRule="auto"/>
        <w:jc w:val="both"/>
        <w:rPr>
          <w:rFonts w:ascii="Arial" w:hAnsi="Arial" w:cs="Arial"/>
          <w:b/>
          <w:bCs/>
          <w:sz w:val="24"/>
        </w:rPr>
      </w:pPr>
      <w:r w:rsidRPr="00104553">
        <w:rPr>
          <w:rFonts w:ascii="Arial" w:hAnsi="Arial" w:cs="Arial"/>
          <w:b/>
          <w:bCs/>
          <w:sz w:val="24"/>
        </w:rPr>
        <w:t>dary, výhry, stipendia, výživné,</w:t>
      </w:r>
    </w:p>
    <w:p w:rsidR="00724C33" w:rsidRPr="00104553" w:rsidRDefault="00724C33" w:rsidP="00724C33">
      <w:pPr>
        <w:pStyle w:val="Odstavecseseznamem"/>
        <w:numPr>
          <w:ilvl w:val="0"/>
          <w:numId w:val="9"/>
        </w:numPr>
        <w:spacing w:line="360" w:lineRule="auto"/>
        <w:jc w:val="both"/>
        <w:rPr>
          <w:rFonts w:ascii="Arial" w:hAnsi="Arial" w:cs="Arial"/>
          <w:b/>
          <w:bCs/>
          <w:sz w:val="24"/>
        </w:rPr>
      </w:pPr>
      <w:r w:rsidRPr="00104553">
        <w:rPr>
          <w:rFonts w:ascii="Arial" w:hAnsi="Arial" w:cs="Arial"/>
          <w:b/>
          <w:bCs/>
          <w:sz w:val="24"/>
        </w:rPr>
        <w:t>příjmy z dědictví,</w:t>
      </w:r>
    </w:p>
    <w:p w:rsidR="00724C33" w:rsidRPr="00104553" w:rsidRDefault="00724C33" w:rsidP="00724C33">
      <w:pPr>
        <w:pStyle w:val="Odstavecseseznamem"/>
        <w:numPr>
          <w:ilvl w:val="0"/>
          <w:numId w:val="9"/>
        </w:numPr>
        <w:spacing w:line="360" w:lineRule="auto"/>
        <w:jc w:val="both"/>
        <w:rPr>
          <w:rFonts w:ascii="Arial" w:hAnsi="Arial" w:cs="Arial"/>
          <w:b/>
          <w:bCs/>
          <w:sz w:val="24"/>
        </w:rPr>
      </w:pPr>
      <w:r w:rsidRPr="00104553">
        <w:rPr>
          <w:rFonts w:ascii="Arial" w:hAnsi="Arial" w:cs="Arial"/>
          <w:b/>
          <w:bCs/>
          <w:sz w:val="24"/>
        </w:rPr>
        <w:t>příjmy z </w:t>
      </w:r>
      <w:r w:rsidRPr="00104553">
        <w:rPr>
          <w:rFonts w:ascii="Arial" w:hAnsi="Arial" w:cs="Arial"/>
          <w:sz w:val="24"/>
        </w:rPr>
        <w:t>tzv.</w:t>
      </w:r>
      <w:r w:rsidRPr="00104553">
        <w:rPr>
          <w:rFonts w:ascii="Arial" w:hAnsi="Arial" w:cs="Arial"/>
          <w:b/>
          <w:bCs/>
          <w:sz w:val="24"/>
        </w:rPr>
        <w:t xml:space="preserve"> šedé </w:t>
      </w:r>
      <w:r w:rsidRPr="00104553">
        <w:rPr>
          <w:rFonts w:ascii="Arial" w:hAnsi="Arial" w:cs="Arial"/>
          <w:sz w:val="24"/>
        </w:rPr>
        <w:t xml:space="preserve">(„stínové“) </w:t>
      </w:r>
      <w:r w:rsidRPr="00104553">
        <w:rPr>
          <w:rFonts w:ascii="Arial" w:hAnsi="Arial" w:cs="Arial"/>
          <w:b/>
          <w:bCs/>
          <w:sz w:val="24"/>
        </w:rPr>
        <w:t>ekonomiky.</w:t>
      </w:r>
    </w:p>
    <w:p w:rsidR="00724C33" w:rsidRDefault="00724C33" w:rsidP="00724C33">
      <w:pPr>
        <w:spacing w:line="360" w:lineRule="auto"/>
        <w:jc w:val="both"/>
        <w:rPr>
          <w:rFonts w:cs="Arial"/>
        </w:rPr>
      </w:pPr>
    </w:p>
    <w:p w:rsidR="00724C33" w:rsidRDefault="00724C33" w:rsidP="00724C33">
      <w:pPr>
        <w:spacing w:line="360" w:lineRule="auto"/>
        <w:jc w:val="both"/>
        <w:rPr>
          <w:rFonts w:cs="Arial"/>
        </w:rPr>
      </w:pPr>
    </w:p>
    <w:p w:rsidR="00724C33" w:rsidRDefault="00724C33" w:rsidP="00724C33">
      <w:pPr>
        <w:spacing w:line="360" w:lineRule="auto"/>
        <w:jc w:val="both"/>
        <w:rPr>
          <w:rFonts w:cs="Arial"/>
        </w:rPr>
      </w:pPr>
      <w:r>
        <w:rPr>
          <w:rFonts w:cs="Arial"/>
          <w:color w:val="FF0000"/>
        </w:rPr>
        <w:tab/>
      </w:r>
      <w:r>
        <w:rPr>
          <w:rFonts w:cs="Arial"/>
          <w:b/>
          <w:bCs/>
        </w:rPr>
        <w:t xml:space="preserve">Povaha těchto příjmů </w:t>
      </w:r>
      <w:r>
        <w:rPr>
          <w:rFonts w:cs="Arial"/>
        </w:rPr>
        <w:t xml:space="preserve">objektivně </w:t>
      </w:r>
      <w:r>
        <w:rPr>
          <w:rFonts w:cs="Arial"/>
          <w:b/>
          <w:bCs/>
        </w:rPr>
        <w:t xml:space="preserve">neumožňuje komplexní </w:t>
      </w:r>
      <w:r>
        <w:rPr>
          <w:rFonts w:cs="Arial"/>
        </w:rPr>
        <w:t xml:space="preserve">(statistickou) </w:t>
      </w:r>
      <w:r>
        <w:rPr>
          <w:rFonts w:cs="Arial"/>
          <w:b/>
          <w:bCs/>
        </w:rPr>
        <w:t xml:space="preserve">kvantifikaci </w:t>
      </w:r>
      <w:r>
        <w:rPr>
          <w:rFonts w:cs="Arial"/>
        </w:rPr>
        <w:t xml:space="preserve">úrovně a vývoje všech jejich výše uvedených druhů. S využitím dat čerpaných ze statistiky národních účtů ČSÚ a evidence ČNB </w:t>
      </w:r>
      <w:r>
        <w:rPr>
          <w:rFonts w:cs="Arial"/>
          <w:b/>
          <w:bCs/>
        </w:rPr>
        <w:t xml:space="preserve">lze </w:t>
      </w:r>
      <w:r>
        <w:rPr>
          <w:rFonts w:cs="Arial"/>
        </w:rPr>
        <w:t xml:space="preserve">konkrétně </w:t>
      </w:r>
      <w:r>
        <w:rPr>
          <w:rFonts w:cs="Arial"/>
          <w:b/>
          <w:bCs/>
        </w:rPr>
        <w:t xml:space="preserve">specifikovat </w:t>
      </w:r>
      <w:r>
        <w:rPr>
          <w:rFonts w:cs="Arial"/>
        </w:rPr>
        <w:t xml:space="preserve">pouze některé (často do určité míry agregované) </w:t>
      </w:r>
      <w:r>
        <w:rPr>
          <w:rFonts w:cs="Arial"/>
          <w:b/>
          <w:bCs/>
        </w:rPr>
        <w:t xml:space="preserve">klíčové položky </w:t>
      </w:r>
      <w:r>
        <w:rPr>
          <w:rFonts w:cs="Arial"/>
        </w:rPr>
        <w:t>(data představují celkové objemy):</w:t>
      </w:r>
    </w:p>
    <w:p w:rsidR="00724C33" w:rsidRDefault="00724C33" w:rsidP="00724C33">
      <w:pPr>
        <w:spacing w:line="360" w:lineRule="auto"/>
        <w:jc w:val="both"/>
        <w:rPr>
          <w:rFonts w:cs="Arial"/>
        </w:rPr>
      </w:pPr>
    </w:p>
    <w:p w:rsidR="00724C33" w:rsidRPr="00D04375" w:rsidRDefault="00724C33" w:rsidP="00724C33">
      <w:pPr>
        <w:pStyle w:val="Odstavecseseznamem"/>
        <w:numPr>
          <w:ilvl w:val="0"/>
          <w:numId w:val="12"/>
        </w:numPr>
        <w:spacing w:after="0" w:line="360" w:lineRule="auto"/>
        <w:jc w:val="both"/>
        <w:rPr>
          <w:rFonts w:ascii="Arial" w:hAnsi="Arial" w:cs="Arial"/>
          <w:b/>
          <w:bCs/>
          <w:sz w:val="24"/>
        </w:rPr>
      </w:pPr>
      <w:r w:rsidRPr="004E5D01">
        <w:rPr>
          <w:rFonts w:ascii="Arial" w:hAnsi="Arial" w:cs="Arial"/>
          <w:b/>
          <w:bCs/>
          <w:sz w:val="24"/>
        </w:rPr>
        <w:lastRenderedPageBreak/>
        <w:t>hrubý smíšený důchod</w:t>
      </w:r>
      <w:r>
        <w:rPr>
          <w:rFonts w:ascii="Arial" w:hAnsi="Arial" w:cs="Arial"/>
          <w:b/>
          <w:bCs/>
          <w:sz w:val="24"/>
        </w:rPr>
        <w:t xml:space="preserve"> (vč. hrubého provozního přebytku)</w:t>
      </w:r>
      <w:r w:rsidRPr="004E5D01">
        <w:rPr>
          <w:rFonts w:ascii="Arial" w:hAnsi="Arial" w:cs="Arial"/>
          <w:b/>
          <w:bCs/>
          <w:sz w:val="24"/>
        </w:rPr>
        <w:t xml:space="preserve"> </w:t>
      </w:r>
      <w:r w:rsidRPr="004E5D01">
        <w:rPr>
          <w:rFonts w:ascii="Arial" w:hAnsi="Arial" w:cs="Arial"/>
          <w:bCs/>
          <w:sz w:val="24"/>
        </w:rPr>
        <w:t>–</w:t>
      </w:r>
      <w:r w:rsidRPr="004E5D01">
        <w:rPr>
          <w:rFonts w:ascii="Arial" w:hAnsi="Arial" w:cs="Arial"/>
          <w:b/>
          <w:bCs/>
          <w:sz w:val="24"/>
        </w:rPr>
        <w:t xml:space="preserve"> </w:t>
      </w:r>
      <w:r w:rsidRPr="004E5D01">
        <w:rPr>
          <w:rFonts w:ascii="Arial" w:hAnsi="Arial" w:cs="Arial"/>
          <w:sz w:val="24"/>
        </w:rPr>
        <w:t>zahrnující především zisk drobných podnikatelů z výrobních činností a poskytovaných služeb (včetně jejich pracovních důchodů) a rovněž odhadované příjmy ze</w:t>
      </w:r>
      <w:r>
        <w:rPr>
          <w:rFonts w:ascii="Arial" w:hAnsi="Arial" w:cs="Arial"/>
          <w:sz w:val="24"/>
        </w:rPr>
        <w:t> </w:t>
      </w:r>
      <w:r w:rsidRPr="004E5D01">
        <w:rPr>
          <w:rFonts w:ascii="Arial" w:hAnsi="Arial" w:cs="Arial"/>
          <w:sz w:val="24"/>
        </w:rPr>
        <w:t xml:space="preserve">„šedé“ ekonomiky ve výši několika desítek miliard korun </w:t>
      </w:r>
      <w:r w:rsidRPr="004E5D01">
        <w:rPr>
          <w:rFonts w:ascii="Arial" w:hAnsi="Arial" w:cs="Arial"/>
          <w:bCs/>
          <w:sz w:val="24"/>
        </w:rPr>
        <w:t>–</w:t>
      </w:r>
      <w:r w:rsidRPr="004E5D01">
        <w:rPr>
          <w:rFonts w:ascii="Arial" w:hAnsi="Arial" w:cs="Arial"/>
          <w:sz w:val="24"/>
        </w:rPr>
        <w:t xml:space="preserve"> představoval </w:t>
      </w:r>
      <w:r>
        <w:rPr>
          <w:rFonts w:ascii="Arial" w:hAnsi="Arial" w:cs="Arial"/>
          <w:b/>
          <w:bCs/>
          <w:sz w:val="24"/>
        </w:rPr>
        <w:t>693</w:t>
      </w:r>
      <w:r w:rsidRPr="004E5D01">
        <w:rPr>
          <w:rFonts w:ascii="Arial" w:hAnsi="Arial" w:cs="Arial"/>
          <w:b/>
          <w:bCs/>
          <w:sz w:val="24"/>
        </w:rPr>
        <w:t>,</w:t>
      </w:r>
      <w:r>
        <w:rPr>
          <w:rFonts w:ascii="Arial" w:hAnsi="Arial" w:cs="Arial"/>
          <w:b/>
          <w:bCs/>
          <w:sz w:val="24"/>
        </w:rPr>
        <w:t>6</w:t>
      </w:r>
      <w:r w:rsidRPr="004E5D01">
        <w:rPr>
          <w:rFonts w:ascii="Arial" w:hAnsi="Arial" w:cs="Arial"/>
          <w:b/>
          <w:bCs/>
          <w:sz w:val="24"/>
        </w:rPr>
        <w:t xml:space="preserve"> mld. Kč </w:t>
      </w:r>
      <w:r w:rsidRPr="004E5D01">
        <w:rPr>
          <w:rFonts w:ascii="Arial" w:hAnsi="Arial" w:cs="Arial"/>
          <w:sz w:val="24"/>
        </w:rPr>
        <w:t xml:space="preserve">a meziročně (nominálně) </w:t>
      </w:r>
      <w:r>
        <w:rPr>
          <w:rFonts w:ascii="Arial" w:hAnsi="Arial" w:cs="Arial"/>
          <w:b/>
          <w:bCs/>
          <w:sz w:val="24"/>
        </w:rPr>
        <w:t>vzrostl o 1</w:t>
      </w:r>
      <w:r w:rsidRPr="004E5D01">
        <w:rPr>
          <w:rFonts w:ascii="Arial" w:hAnsi="Arial" w:cs="Arial"/>
          <w:b/>
          <w:bCs/>
          <w:sz w:val="24"/>
        </w:rPr>
        <w:t>,</w:t>
      </w:r>
      <w:r>
        <w:rPr>
          <w:rFonts w:ascii="Arial" w:hAnsi="Arial" w:cs="Arial"/>
          <w:b/>
          <w:bCs/>
          <w:sz w:val="24"/>
        </w:rPr>
        <w:t>4</w:t>
      </w:r>
      <w:r w:rsidRPr="004E5D01">
        <w:rPr>
          <w:rFonts w:ascii="Arial" w:hAnsi="Arial" w:cs="Arial"/>
          <w:b/>
          <w:bCs/>
          <w:sz w:val="24"/>
        </w:rPr>
        <w:t xml:space="preserve"> % </w:t>
      </w:r>
      <w:r>
        <w:rPr>
          <w:rFonts w:ascii="Arial" w:hAnsi="Arial" w:cs="Arial"/>
          <w:sz w:val="24"/>
        </w:rPr>
        <w:t>(+9,9</w:t>
      </w:r>
      <w:r w:rsidRPr="004E5D01">
        <w:rPr>
          <w:rFonts w:ascii="Arial" w:hAnsi="Arial" w:cs="Arial"/>
          <w:sz w:val="24"/>
        </w:rPr>
        <w:t> mld. Kč)</w:t>
      </w:r>
      <w:r w:rsidRPr="004E5D01">
        <w:rPr>
          <w:rFonts w:ascii="Arial" w:hAnsi="Arial" w:cs="Arial"/>
          <w:bCs/>
          <w:sz w:val="24"/>
        </w:rPr>
        <w:t>,</w:t>
      </w:r>
    </w:p>
    <w:p w:rsidR="00724C33" w:rsidRPr="00D04375" w:rsidRDefault="00724C33" w:rsidP="00724C33">
      <w:pPr>
        <w:tabs>
          <w:tab w:val="num" w:pos="1985"/>
        </w:tabs>
        <w:ind w:left="357"/>
        <w:jc w:val="both"/>
        <w:rPr>
          <w:rFonts w:cs="Arial"/>
          <w:b/>
          <w:bCs/>
        </w:rPr>
      </w:pPr>
    </w:p>
    <w:p w:rsidR="00724C33" w:rsidRPr="00D04375" w:rsidRDefault="00724C33" w:rsidP="00724C33">
      <w:pPr>
        <w:pStyle w:val="Odstavecseseznamem"/>
        <w:numPr>
          <w:ilvl w:val="0"/>
          <w:numId w:val="12"/>
        </w:numPr>
        <w:spacing w:before="240" w:after="240" w:line="360" w:lineRule="auto"/>
        <w:jc w:val="both"/>
        <w:rPr>
          <w:rFonts w:ascii="Arial" w:hAnsi="Arial" w:cs="Arial"/>
          <w:sz w:val="24"/>
        </w:rPr>
      </w:pPr>
      <w:r w:rsidRPr="00D04375">
        <w:rPr>
          <w:rFonts w:ascii="Arial" w:hAnsi="Arial" w:cs="Arial"/>
          <w:b/>
          <w:bCs/>
          <w:sz w:val="24"/>
        </w:rPr>
        <w:t xml:space="preserve">důchody z vlastnictví </w:t>
      </w:r>
      <w:r w:rsidRPr="00D04375">
        <w:rPr>
          <w:rFonts w:ascii="Arial" w:hAnsi="Arial" w:cs="Arial"/>
          <w:sz w:val="24"/>
        </w:rPr>
        <w:t xml:space="preserve">činily </w:t>
      </w:r>
      <w:r>
        <w:rPr>
          <w:rFonts w:ascii="Arial" w:hAnsi="Arial" w:cs="Arial"/>
          <w:b/>
          <w:bCs/>
          <w:sz w:val="24"/>
        </w:rPr>
        <w:t>163</w:t>
      </w:r>
      <w:r w:rsidRPr="00D04375">
        <w:rPr>
          <w:rFonts w:ascii="Arial" w:hAnsi="Arial" w:cs="Arial"/>
          <w:b/>
          <w:bCs/>
          <w:sz w:val="24"/>
        </w:rPr>
        <w:t>,</w:t>
      </w:r>
      <w:r>
        <w:rPr>
          <w:rFonts w:ascii="Arial" w:hAnsi="Arial" w:cs="Arial"/>
          <w:b/>
          <w:bCs/>
          <w:sz w:val="24"/>
        </w:rPr>
        <w:t>7</w:t>
      </w:r>
      <w:r w:rsidRPr="00D04375">
        <w:rPr>
          <w:rFonts w:ascii="Arial" w:hAnsi="Arial" w:cs="Arial"/>
          <w:b/>
          <w:bCs/>
          <w:sz w:val="24"/>
        </w:rPr>
        <w:t xml:space="preserve"> mld. Kč </w:t>
      </w:r>
      <w:r>
        <w:rPr>
          <w:rFonts w:ascii="Arial" w:hAnsi="Arial" w:cs="Arial"/>
          <w:sz w:val="24"/>
        </w:rPr>
        <w:t>(proti roku 2015</w:t>
      </w:r>
      <w:r w:rsidRPr="00D04375">
        <w:rPr>
          <w:rFonts w:ascii="Arial" w:hAnsi="Arial" w:cs="Arial"/>
          <w:sz w:val="24"/>
        </w:rPr>
        <w:t xml:space="preserve"> </w:t>
      </w:r>
      <w:r w:rsidRPr="00D04375">
        <w:rPr>
          <w:rFonts w:ascii="Arial" w:hAnsi="Arial" w:cs="Arial"/>
          <w:b/>
          <w:sz w:val="24"/>
        </w:rPr>
        <w:t>nominální</w:t>
      </w:r>
      <w:r w:rsidRPr="00D04375">
        <w:rPr>
          <w:rFonts w:ascii="Arial" w:hAnsi="Arial" w:cs="Arial"/>
          <w:sz w:val="24"/>
        </w:rPr>
        <w:t xml:space="preserve"> </w:t>
      </w:r>
      <w:r>
        <w:rPr>
          <w:rFonts w:ascii="Arial" w:hAnsi="Arial" w:cs="Arial"/>
          <w:b/>
          <w:sz w:val="24"/>
        </w:rPr>
        <w:t>růst</w:t>
      </w:r>
      <w:r>
        <w:rPr>
          <w:rFonts w:ascii="Arial" w:hAnsi="Arial" w:cs="Arial"/>
          <w:b/>
          <w:bCs/>
          <w:sz w:val="24"/>
        </w:rPr>
        <w:t xml:space="preserve"> o 0</w:t>
      </w:r>
      <w:r w:rsidRPr="00D04375">
        <w:rPr>
          <w:rFonts w:ascii="Arial" w:hAnsi="Arial" w:cs="Arial"/>
          <w:b/>
          <w:bCs/>
          <w:sz w:val="24"/>
        </w:rPr>
        <w:t>,</w:t>
      </w:r>
      <w:r>
        <w:rPr>
          <w:rFonts w:ascii="Arial" w:hAnsi="Arial" w:cs="Arial"/>
          <w:b/>
          <w:bCs/>
          <w:sz w:val="24"/>
        </w:rPr>
        <w:t>9</w:t>
      </w:r>
      <w:r w:rsidRPr="00D04375">
        <w:rPr>
          <w:rFonts w:ascii="Arial" w:hAnsi="Arial" w:cs="Arial"/>
          <w:b/>
          <w:bCs/>
          <w:sz w:val="24"/>
        </w:rPr>
        <w:t> %</w:t>
      </w:r>
      <w:r w:rsidRPr="00D04375">
        <w:rPr>
          <w:rFonts w:ascii="Arial" w:hAnsi="Arial" w:cs="Arial"/>
          <w:sz w:val="24"/>
        </w:rPr>
        <w:t xml:space="preserve"> </w:t>
      </w:r>
      <w:r w:rsidRPr="00D04375">
        <w:rPr>
          <w:rFonts w:ascii="Arial" w:hAnsi="Arial" w:cs="Arial"/>
          <w:bCs/>
          <w:sz w:val="24"/>
        </w:rPr>
        <w:t xml:space="preserve">– </w:t>
      </w:r>
      <w:r>
        <w:rPr>
          <w:rFonts w:ascii="Arial" w:hAnsi="Arial" w:cs="Arial"/>
          <w:sz w:val="24"/>
        </w:rPr>
        <w:t>v porovnání let 2015/2014 byl vykázán pokles o 2</w:t>
      </w:r>
      <w:r w:rsidRPr="00D04375">
        <w:rPr>
          <w:rFonts w:ascii="Arial" w:hAnsi="Arial" w:cs="Arial"/>
          <w:sz w:val="24"/>
        </w:rPr>
        <w:t>,</w:t>
      </w:r>
      <w:r>
        <w:rPr>
          <w:rFonts w:ascii="Arial" w:hAnsi="Arial" w:cs="Arial"/>
          <w:sz w:val="24"/>
        </w:rPr>
        <w:t>4</w:t>
      </w:r>
      <w:r w:rsidRPr="00D04375">
        <w:rPr>
          <w:rFonts w:ascii="Arial" w:hAnsi="Arial" w:cs="Arial"/>
          <w:sz w:val="24"/>
        </w:rPr>
        <w:t> %);</w:t>
      </w:r>
      <w:r>
        <w:rPr>
          <w:rFonts w:ascii="Arial" w:hAnsi="Arial" w:cs="Arial"/>
          <w:sz w:val="24"/>
        </w:rPr>
        <w:t> </w:t>
      </w:r>
      <w:r w:rsidRPr="00D04375">
        <w:rPr>
          <w:rFonts w:ascii="Arial" w:hAnsi="Arial" w:cs="Arial"/>
          <w:sz w:val="24"/>
        </w:rPr>
        <w:t xml:space="preserve">v jejich rámci </w:t>
      </w:r>
      <w:r w:rsidRPr="00D04375">
        <w:rPr>
          <w:rFonts w:ascii="Arial" w:hAnsi="Arial" w:cs="Arial"/>
          <w:b/>
          <w:bCs/>
          <w:sz w:val="24"/>
        </w:rPr>
        <w:t>došlo k </w:t>
      </w:r>
      <w:r w:rsidRPr="00D04375">
        <w:rPr>
          <w:rFonts w:ascii="Arial" w:hAnsi="Arial" w:cs="Arial"/>
          <w:sz w:val="24"/>
        </w:rPr>
        <w:t xml:space="preserve"> </w:t>
      </w:r>
      <w:r w:rsidRPr="00D04375">
        <w:rPr>
          <w:rFonts w:ascii="Arial" w:hAnsi="Arial" w:cs="Arial"/>
          <w:b/>
          <w:bCs/>
          <w:sz w:val="24"/>
        </w:rPr>
        <w:t xml:space="preserve">reálnému </w:t>
      </w:r>
      <w:r>
        <w:rPr>
          <w:rFonts w:ascii="Arial" w:hAnsi="Arial" w:cs="Arial"/>
          <w:b/>
          <w:sz w:val="24"/>
        </w:rPr>
        <w:t>růst</w:t>
      </w:r>
      <w:r w:rsidRPr="00D04375">
        <w:rPr>
          <w:rFonts w:ascii="Arial" w:hAnsi="Arial" w:cs="Arial"/>
          <w:b/>
          <w:sz w:val="24"/>
        </w:rPr>
        <w:t>u</w:t>
      </w:r>
      <w:r>
        <w:rPr>
          <w:rFonts w:ascii="Arial" w:hAnsi="Arial" w:cs="Arial"/>
          <w:b/>
          <w:sz w:val="24"/>
        </w:rPr>
        <w:t xml:space="preserve"> </w:t>
      </w:r>
      <w:r w:rsidRPr="00BC4ED1">
        <w:rPr>
          <w:rFonts w:ascii="Arial" w:hAnsi="Arial" w:cs="Arial"/>
          <w:sz w:val="24"/>
        </w:rPr>
        <w:t>(+19,8 %)</w:t>
      </w:r>
      <w:r>
        <w:rPr>
          <w:rFonts w:ascii="Arial" w:hAnsi="Arial" w:cs="Arial"/>
          <w:b/>
          <w:sz w:val="24"/>
        </w:rPr>
        <w:t xml:space="preserve"> u položky </w:t>
      </w:r>
      <w:r w:rsidRPr="00D04375">
        <w:rPr>
          <w:rFonts w:ascii="Arial" w:hAnsi="Arial" w:cs="Arial"/>
          <w:b/>
          <w:bCs/>
          <w:sz w:val="24"/>
        </w:rPr>
        <w:t>přijatých úroků</w:t>
      </w:r>
      <w:r>
        <w:rPr>
          <w:rFonts w:ascii="Arial" w:hAnsi="Arial" w:cs="Arial"/>
          <w:b/>
          <w:bCs/>
          <w:sz w:val="24"/>
        </w:rPr>
        <w:t xml:space="preserve"> </w:t>
      </w:r>
      <w:r>
        <w:rPr>
          <w:rFonts w:ascii="Arial" w:hAnsi="Arial" w:cs="Arial"/>
          <w:sz w:val="24"/>
        </w:rPr>
        <w:t>(představovaly celkem 29</w:t>
      </w:r>
      <w:r w:rsidRPr="00D04375">
        <w:rPr>
          <w:rFonts w:ascii="Arial" w:hAnsi="Arial" w:cs="Arial"/>
          <w:sz w:val="24"/>
        </w:rPr>
        <w:t>,</w:t>
      </w:r>
      <w:r>
        <w:rPr>
          <w:rFonts w:ascii="Arial" w:hAnsi="Arial" w:cs="Arial"/>
          <w:sz w:val="24"/>
        </w:rPr>
        <w:t>7 mld.); reálný pokles byl zaznamenán u </w:t>
      </w:r>
      <w:r w:rsidRPr="00D04375">
        <w:rPr>
          <w:rFonts w:ascii="Arial" w:hAnsi="Arial" w:cs="Arial"/>
          <w:b/>
          <w:bCs/>
          <w:sz w:val="24"/>
        </w:rPr>
        <w:t>rozdělovaných důchodů společností</w:t>
      </w:r>
      <w:r>
        <w:rPr>
          <w:rFonts w:ascii="Arial" w:hAnsi="Arial" w:cs="Arial"/>
          <w:b/>
          <w:bCs/>
          <w:sz w:val="24"/>
        </w:rPr>
        <w:t xml:space="preserve"> </w:t>
      </w:r>
      <w:r w:rsidRPr="00D04375">
        <w:rPr>
          <w:rFonts w:ascii="Arial" w:hAnsi="Arial" w:cs="Arial"/>
          <w:bCs/>
          <w:sz w:val="24"/>
        </w:rPr>
        <w:t>(-</w:t>
      </w:r>
      <w:r>
        <w:rPr>
          <w:rFonts w:ascii="Arial" w:hAnsi="Arial" w:cs="Arial"/>
          <w:bCs/>
          <w:sz w:val="24"/>
        </w:rPr>
        <w:t>1</w:t>
      </w:r>
      <w:r w:rsidRPr="00D04375">
        <w:rPr>
          <w:rFonts w:ascii="Arial" w:hAnsi="Arial" w:cs="Arial"/>
          <w:bCs/>
          <w:sz w:val="24"/>
        </w:rPr>
        <w:t>,</w:t>
      </w:r>
      <w:r>
        <w:rPr>
          <w:rFonts w:ascii="Arial" w:hAnsi="Arial" w:cs="Arial"/>
          <w:bCs/>
          <w:sz w:val="24"/>
        </w:rPr>
        <w:t>7</w:t>
      </w:r>
      <w:r w:rsidRPr="00D04375">
        <w:rPr>
          <w:rFonts w:ascii="Arial" w:hAnsi="Arial" w:cs="Arial"/>
          <w:bCs/>
          <w:sz w:val="24"/>
        </w:rPr>
        <w:t> %)</w:t>
      </w:r>
      <w:r w:rsidRPr="00D04375">
        <w:rPr>
          <w:rFonts w:ascii="Arial" w:hAnsi="Arial" w:cs="Arial"/>
          <w:b/>
          <w:bCs/>
          <w:sz w:val="24"/>
        </w:rPr>
        <w:t xml:space="preserve"> </w:t>
      </w:r>
      <w:r w:rsidRPr="00D04375">
        <w:rPr>
          <w:rFonts w:ascii="Arial" w:hAnsi="Arial" w:cs="Arial"/>
          <w:bCs/>
          <w:sz w:val="24"/>
        </w:rPr>
        <w:t>–</w:t>
      </w:r>
      <w:r w:rsidRPr="00D04375">
        <w:rPr>
          <w:rFonts w:ascii="Arial" w:hAnsi="Arial" w:cs="Arial"/>
          <w:sz w:val="24"/>
        </w:rPr>
        <w:t xml:space="preserve"> jde </w:t>
      </w:r>
      <w:r w:rsidRPr="004B0BC7">
        <w:rPr>
          <w:rFonts w:ascii="Arial" w:hAnsi="Arial" w:cs="Arial"/>
          <w:sz w:val="24"/>
        </w:rPr>
        <w:t>hlavně</w:t>
      </w:r>
      <w:r>
        <w:rPr>
          <w:rFonts w:ascii="Arial" w:hAnsi="Arial" w:cs="Arial"/>
          <w:sz w:val="24"/>
        </w:rPr>
        <w:t xml:space="preserve"> o dividendy a </w:t>
      </w:r>
      <w:r w:rsidRPr="00D04375">
        <w:rPr>
          <w:rFonts w:ascii="Arial" w:hAnsi="Arial" w:cs="Arial"/>
          <w:sz w:val="24"/>
        </w:rPr>
        <w:t>jiné důchody z rozdělovaného zisku</w:t>
      </w:r>
      <w:r w:rsidRPr="00D04375">
        <w:rPr>
          <w:rFonts w:ascii="Arial" w:hAnsi="Arial" w:cs="Arial"/>
          <w:b/>
          <w:bCs/>
          <w:sz w:val="24"/>
        </w:rPr>
        <w:t xml:space="preserve"> </w:t>
      </w:r>
      <w:r>
        <w:rPr>
          <w:rFonts w:ascii="Arial" w:hAnsi="Arial" w:cs="Arial"/>
          <w:bCs/>
          <w:sz w:val="24"/>
        </w:rPr>
        <w:t>(celkem činily 102</w:t>
      </w:r>
      <w:r w:rsidRPr="00D04375">
        <w:rPr>
          <w:rFonts w:ascii="Arial" w:hAnsi="Arial" w:cs="Arial"/>
          <w:bCs/>
          <w:sz w:val="24"/>
        </w:rPr>
        <w:t>,</w:t>
      </w:r>
      <w:r>
        <w:rPr>
          <w:rFonts w:ascii="Arial" w:hAnsi="Arial" w:cs="Arial"/>
          <w:bCs/>
          <w:sz w:val="24"/>
        </w:rPr>
        <w:t xml:space="preserve">5 mld. Kč), </w:t>
      </w:r>
      <w:r w:rsidRPr="00B52766">
        <w:rPr>
          <w:rFonts w:ascii="Arial" w:hAnsi="Arial" w:cs="Arial"/>
          <w:b/>
          <w:sz w:val="24"/>
        </w:rPr>
        <w:t>ostatních důchodů z</w:t>
      </w:r>
      <w:r>
        <w:rPr>
          <w:rFonts w:ascii="Arial" w:hAnsi="Arial" w:cs="Arial"/>
          <w:b/>
          <w:sz w:val="24"/>
        </w:rPr>
        <w:t> </w:t>
      </w:r>
      <w:r w:rsidRPr="00B52766">
        <w:rPr>
          <w:rFonts w:ascii="Arial" w:hAnsi="Arial" w:cs="Arial"/>
          <w:b/>
          <w:sz w:val="24"/>
        </w:rPr>
        <w:t>investic</w:t>
      </w:r>
      <w:r>
        <w:rPr>
          <w:rFonts w:ascii="Arial" w:hAnsi="Arial" w:cs="Arial"/>
          <w:b/>
          <w:sz w:val="24"/>
        </w:rPr>
        <w:t xml:space="preserve"> </w:t>
      </w:r>
      <w:r>
        <w:rPr>
          <w:rFonts w:ascii="Arial" w:hAnsi="Arial" w:cs="Arial"/>
          <w:sz w:val="24"/>
        </w:rPr>
        <w:t>(19</w:t>
      </w:r>
      <w:r w:rsidRPr="004B0BC7">
        <w:rPr>
          <w:rFonts w:ascii="Arial" w:hAnsi="Arial" w:cs="Arial"/>
          <w:sz w:val="24"/>
        </w:rPr>
        <w:t>,</w:t>
      </w:r>
      <w:r>
        <w:rPr>
          <w:rFonts w:ascii="Arial" w:hAnsi="Arial" w:cs="Arial"/>
          <w:sz w:val="24"/>
        </w:rPr>
        <w:t>2</w:t>
      </w:r>
      <w:r w:rsidRPr="004B0BC7">
        <w:rPr>
          <w:rFonts w:ascii="Arial" w:hAnsi="Arial" w:cs="Arial"/>
          <w:sz w:val="24"/>
        </w:rPr>
        <w:t xml:space="preserve"> mld. Kč)</w:t>
      </w:r>
      <w:r w:rsidRPr="00BC4ED1">
        <w:rPr>
          <w:rFonts w:ascii="Arial" w:hAnsi="Arial" w:cs="Arial"/>
          <w:bCs/>
          <w:sz w:val="24"/>
        </w:rPr>
        <w:t>,</w:t>
      </w:r>
      <w:r>
        <w:rPr>
          <w:rFonts w:ascii="Arial" w:hAnsi="Arial" w:cs="Arial"/>
          <w:bCs/>
          <w:sz w:val="24"/>
        </w:rPr>
        <w:t xml:space="preserve"> </w:t>
      </w:r>
      <w:r w:rsidRPr="00D04375">
        <w:rPr>
          <w:rFonts w:ascii="Arial" w:hAnsi="Arial" w:cs="Arial"/>
          <w:b/>
          <w:bCs/>
          <w:sz w:val="24"/>
        </w:rPr>
        <w:t xml:space="preserve">důchodů z půdy </w:t>
      </w:r>
      <w:r>
        <w:rPr>
          <w:rFonts w:ascii="Arial" w:hAnsi="Arial" w:cs="Arial"/>
          <w:sz w:val="24"/>
        </w:rPr>
        <w:t>(</w:t>
      </w:r>
      <w:proofErr w:type="spellStart"/>
      <w:r>
        <w:rPr>
          <w:rFonts w:ascii="Arial" w:hAnsi="Arial" w:cs="Arial"/>
          <w:sz w:val="24"/>
        </w:rPr>
        <w:t>pachtovného</w:t>
      </w:r>
      <w:proofErr w:type="spellEnd"/>
      <w:r>
        <w:rPr>
          <w:rFonts w:ascii="Arial" w:hAnsi="Arial" w:cs="Arial"/>
          <w:sz w:val="24"/>
        </w:rPr>
        <w:t xml:space="preserve"> 8,0</w:t>
      </w:r>
      <w:r w:rsidR="004E2B0E">
        <w:rPr>
          <w:rFonts w:ascii="Arial" w:hAnsi="Arial" w:cs="Arial"/>
          <w:sz w:val="24"/>
        </w:rPr>
        <w:t> </w:t>
      </w:r>
      <w:r>
        <w:rPr>
          <w:rFonts w:ascii="Arial" w:hAnsi="Arial" w:cs="Arial"/>
          <w:sz w:val="24"/>
        </w:rPr>
        <w:t>mld.</w:t>
      </w:r>
      <w:r w:rsidR="004E2B0E">
        <w:rPr>
          <w:rFonts w:ascii="Arial" w:hAnsi="Arial" w:cs="Arial"/>
          <w:sz w:val="24"/>
        </w:rPr>
        <w:t> </w:t>
      </w:r>
      <w:r>
        <w:rPr>
          <w:rFonts w:ascii="Arial" w:hAnsi="Arial" w:cs="Arial"/>
          <w:sz w:val="24"/>
        </w:rPr>
        <w:t xml:space="preserve">Kč), </w:t>
      </w:r>
      <w:r w:rsidRPr="00B52766">
        <w:rPr>
          <w:rFonts w:ascii="Arial" w:hAnsi="Arial" w:cs="Arial"/>
          <w:b/>
          <w:sz w:val="24"/>
        </w:rPr>
        <w:t>a</w:t>
      </w:r>
      <w:r>
        <w:rPr>
          <w:rFonts w:ascii="Arial" w:hAnsi="Arial" w:cs="Arial"/>
          <w:b/>
          <w:sz w:val="24"/>
        </w:rPr>
        <w:t> </w:t>
      </w:r>
      <w:r w:rsidRPr="00D04375">
        <w:rPr>
          <w:rFonts w:ascii="Arial" w:hAnsi="Arial" w:cs="Arial"/>
          <w:sz w:val="24"/>
        </w:rPr>
        <w:t>méně významných</w:t>
      </w:r>
      <w:r w:rsidRPr="00F64A7B">
        <w:rPr>
          <w:rFonts w:ascii="Arial" w:hAnsi="Arial" w:cs="Arial"/>
          <w:b/>
          <w:bCs/>
          <w:sz w:val="24"/>
        </w:rPr>
        <w:t xml:space="preserve"> reinvestovaných zisků z přímých zahraničních investic</w:t>
      </w:r>
      <w:r w:rsidR="004E2B0E">
        <w:rPr>
          <w:rFonts w:ascii="Arial" w:hAnsi="Arial" w:cs="Arial"/>
          <w:b/>
          <w:bCs/>
          <w:sz w:val="24"/>
        </w:rPr>
        <w:t xml:space="preserve"> </w:t>
      </w:r>
      <w:r>
        <w:rPr>
          <w:rFonts w:ascii="Arial" w:hAnsi="Arial" w:cs="Arial"/>
          <w:sz w:val="24"/>
        </w:rPr>
        <w:t>– v absolutním vyjádření „jen“ 4,4</w:t>
      </w:r>
      <w:r w:rsidRPr="00D04375">
        <w:rPr>
          <w:rFonts w:ascii="Arial" w:hAnsi="Arial" w:cs="Arial"/>
          <w:sz w:val="24"/>
        </w:rPr>
        <w:t> mld. Kč</w:t>
      </w:r>
      <w:r>
        <w:rPr>
          <w:rFonts w:ascii="Arial" w:hAnsi="Arial" w:cs="Arial"/>
          <w:sz w:val="24"/>
        </w:rPr>
        <w:t>, a to</w:t>
      </w:r>
      <w:r w:rsidR="004E2B0E">
        <w:rPr>
          <w:rFonts w:ascii="Arial" w:hAnsi="Arial" w:cs="Arial"/>
          <w:sz w:val="24"/>
        </w:rPr>
        <w:t xml:space="preserve"> </w:t>
      </w:r>
      <w:r>
        <w:rPr>
          <w:rFonts w:ascii="Arial" w:hAnsi="Arial" w:cs="Arial"/>
          <w:sz w:val="24"/>
        </w:rPr>
        <w:t>o</w:t>
      </w:r>
      <w:r w:rsidR="004E2B0E">
        <w:rPr>
          <w:rFonts w:ascii="Arial" w:hAnsi="Arial" w:cs="Arial"/>
          <w:sz w:val="24"/>
        </w:rPr>
        <w:t> </w:t>
      </w:r>
      <w:r>
        <w:rPr>
          <w:rFonts w:ascii="Arial" w:hAnsi="Arial" w:cs="Arial"/>
          <w:sz w:val="24"/>
        </w:rPr>
        <w:t>2,7</w:t>
      </w:r>
      <w:r w:rsidR="004E2B0E">
        <w:rPr>
          <w:rFonts w:ascii="Arial" w:hAnsi="Arial" w:cs="Arial"/>
          <w:sz w:val="24"/>
        </w:rPr>
        <w:t> </w:t>
      </w:r>
      <w:r>
        <w:rPr>
          <w:rFonts w:ascii="Arial" w:hAnsi="Arial" w:cs="Arial"/>
          <w:sz w:val="24"/>
        </w:rPr>
        <w:t>%, 0,2 %, resp. o 35,4</w:t>
      </w:r>
      <w:r w:rsidRPr="00D04375">
        <w:rPr>
          <w:rFonts w:ascii="Arial" w:hAnsi="Arial" w:cs="Arial"/>
          <w:sz w:val="24"/>
        </w:rPr>
        <w:t xml:space="preserve"> %,</w:t>
      </w:r>
    </w:p>
    <w:p w:rsidR="00724C33" w:rsidRPr="00425054" w:rsidRDefault="00724C33" w:rsidP="00724C33">
      <w:pPr>
        <w:pStyle w:val="Odstavecseseznamem"/>
        <w:spacing w:before="240" w:after="240" w:line="360" w:lineRule="auto"/>
        <w:jc w:val="both"/>
        <w:rPr>
          <w:rFonts w:cs="Arial"/>
        </w:rPr>
      </w:pPr>
    </w:p>
    <w:p w:rsidR="00724C33" w:rsidRDefault="00724C33" w:rsidP="00724C33">
      <w:pPr>
        <w:pStyle w:val="Odstavecseseznamem"/>
        <w:numPr>
          <w:ilvl w:val="0"/>
          <w:numId w:val="12"/>
        </w:numPr>
        <w:spacing w:line="360" w:lineRule="auto"/>
        <w:jc w:val="both"/>
        <w:rPr>
          <w:rFonts w:ascii="Arial" w:hAnsi="Arial" w:cs="Arial"/>
          <w:sz w:val="24"/>
        </w:rPr>
      </w:pPr>
      <w:r w:rsidRPr="004E5D01">
        <w:rPr>
          <w:rFonts w:ascii="Arial" w:hAnsi="Arial" w:cs="Arial"/>
          <w:b/>
          <w:bCs/>
          <w:sz w:val="24"/>
        </w:rPr>
        <w:t>tzv.</w:t>
      </w:r>
      <w:r>
        <w:rPr>
          <w:rFonts w:ascii="Arial" w:hAnsi="Arial" w:cs="Arial"/>
          <w:b/>
          <w:bCs/>
          <w:sz w:val="24"/>
        </w:rPr>
        <w:t> </w:t>
      </w:r>
      <w:r w:rsidRPr="004E5D01">
        <w:rPr>
          <w:rFonts w:ascii="Arial" w:hAnsi="Arial" w:cs="Arial"/>
          <w:b/>
          <w:bCs/>
          <w:sz w:val="24"/>
        </w:rPr>
        <w:t xml:space="preserve">ostatní běžné příjmy </w:t>
      </w:r>
      <w:r w:rsidRPr="004E5D01">
        <w:rPr>
          <w:rFonts w:ascii="Arial" w:hAnsi="Arial" w:cs="Arial"/>
          <w:sz w:val="24"/>
        </w:rPr>
        <w:t xml:space="preserve">(transfery) v celkové výši </w:t>
      </w:r>
      <w:r>
        <w:rPr>
          <w:rFonts w:ascii="Arial" w:hAnsi="Arial" w:cs="Arial"/>
          <w:b/>
          <w:bCs/>
          <w:sz w:val="24"/>
        </w:rPr>
        <w:t>149</w:t>
      </w:r>
      <w:r w:rsidRPr="004E5D01">
        <w:rPr>
          <w:rFonts w:ascii="Arial" w:hAnsi="Arial" w:cs="Arial"/>
          <w:b/>
          <w:bCs/>
          <w:sz w:val="24"/>
        </w:rPr>
        <w:t>,</w:t>
      </w:r>
      <w:r>
        <w:rPr>
          <w:rFonts w:ascii="Arial" w:hAnsi="Arial" w:cs="Arial"/>
          <w:b/>
          <w:bCs/>
          <w:sz w:val="24"/>
        </w:rPr>
        <w:t>3 </w:t>
      </w:r>
      <w:r w:rsidRPr="004E5D01">
        <w:rPr>
          <w:rFonts w:ascii="Arial" w:hAnsi="Arial" w:cs="Arial"/>
          <w:b/>
          <w:bCs/>
          <w:sz w:val="24"/>
        </w:rPr>
        <w:t>mld.</w:t>
      </w:r>
      <w:r>
        <w:rPr>
          <w:rFonts w:ascii="Arial" w:hAnsi="Arial" w:cs="Arial"/>
          <w:b/>
          <w:bCs/>
          <w:sz w:val="24"/>
        </w:rPr>
        <w:t> </w:t>
      </w:r>
      <w:proofErr w:type="gramStart"/>
      <w:r>
        <w:rPr>
          <w:rFonts w:ascii="Arial" w:hAnsi="Arial" w:cs="Arial"/>
          <w:b/>
          <w:bCs/>
          <w:sz w:val="24"/>
        </w:rPr>
        <w:t xml:space="preserve">Kč  </w:t>
      </w:r>
      <w:r w:rsidRPr="004E5D01">
        <w:rPr>
          <w:rFonts w:ascii="Arial" w:hAnsi="Arial" w:cs="Arial"/>
          <w:sz w:val="24"/>
        </w:rPr>
        <w:t>meziročně</w:t>
      </w:r>
      <w:proofErr w:type="gramEnd"/>
      <w:r w:rsidRPr="004E5D01">
        <w:rPr>
          <w:rFonts w:ascii="Arial" w:hAnsi="Arial" w:cs="Arial"/>
          <w:sz w:val="24"/>
        </w:rPr>
        <w:t xml:space="preserve"> </w:t>
      </w:r>
      <w:r>
        <w:rPr>
          <w:rFonts w:ascii="Arial" w:hAnsi="Arial" w:cs="Arial"/>
          <w:b/>
          <w:bCs/>
          <w:sz w:val="24"/>
        </w:rPr>
        <w:t>pokles</w:t>
      </w:r>
      <w:r w:rsidRPr="004E5D01">
        <w:rPr>
          <w:rFonts w:ascii="Arial" w:hAnsi="Arial" w:cs="Arial"/>
          <w:b/>
          <w:bCs/>
          <w:sz w:val="24"/>
        </w:rPr>
        <w:t xml:space="preserve">ly o </w:t>
      </w:r>
      <w:r>
        <w:rPr>
          <w:rFonts w:ascii="Arial" w:hAnsi="Arial" w:cs="Arial"/>
          <w:b/>
          <w:bCs/>
          <w:sz w:val="24"/>
        </w:rPr>
        <w:t>17</w:t>
      </w:r>
      <w:r w:rsidRPr="004E5D01">
        <w:rPr>
          <w:rFonts w:ascii="Arial" w:hAnsi="Arial" w:cs="Arial"/>
          <w:b/>
          <w:bCs/>
          <w:sz w:val="24"/>
        </w:rPr>
        <w:t>,</w:t>
      </w:r>
      <w:r>
        <w:rPr>
          <w:rFonts w:ascii="Arial" w:hAnsi="Arial" w:cs="Arial"/>
          <w:b/>
          <w:bCs/>
          <w:sz w:val="24"/>
        </w:rPr>
        <w:t>6 </w:t>
      </w:r>
      <w:r w:rsidRPr="004E5D01">
        <w:rPr>
          <w:rFonts w:ascii="Arial" w:hAnsi="Arial" w:cs="Arial"/>
          <w:b/>
          <w:bCs/>
          <w:sz w:val="24"/>
        </w:rPr>
        <w:t xml:space="preserve">% </w:t>
      </w:r>
      <w:r w:rsidRPr="004E5D01">
        <w:rPr>
          <w:rFonts w:ascii="Arial" w:hAnsi="Arial" w:cs="Arial"/>
          <w:sz w:val="24"/>
        </w:rPr>
        <w:t>(v roce 201</w:t>
      </w:r>
      <w:r>
        <w:rPr>
          <w:rFonts w:ascii="Arial" w:hAnsi="Arial" w:cs="Arial"/>
          <w:sz w:val="24"/>
        </w:rPr>
        <w:t>5</w:t>
      </w:r>
      <w:r w:rsidRPr="004E5D01">
        <w:rPr>
          <w:rFonts w:ascii="Arial" w:hAnsi="Arial" w:cs="Arial"/>
          <w:sz w:val="24"/>
        </w:rPr>
        <w:t xml:space="preserve"> proti roku 201</w:t>
      </w:r>
      <w:r>
        <w:rPr>
          <w:rFonts w:ascii="Arial" w:hAnsi="Arial" w:cs="Arial"/>
          <w:sz w:val="24"/>
        </w:rPr>
        <w:t>4 vzrostly o 13</w:t>
      </w:r>
      <w:r w:rsidRPr="004E5D01">
        <w:rPr>
          <w:rFonts w:ascii="Arial" w:hAnsi="Arial" w:cs="Arial"/>
          <w:sz w:val="24"/>
        </w:rPr>
        <w:t>,</w:t>
      </w:r>
      <w:r>
        <w:rPr>
          <w:rFonts w:ascii="Arial" w:hAnsi="Arial" w:cs="Arial"/>
          <w:sz w:val="24"/>
        </w:rPr>
        <w:t>3 </w:t>
      </w:r>
      <w:r w:rsidRPr="004E5D01">
        <w:rPr>
          <w:rFonts w:ascii="Arial" w:hAnsi="Arial" w:cs="Arial"/>
          <w:sz w:val="24"/>
        </w:rPr>
        <w:t xml:space="preserve">%); z toho </w:t>
      </w:r>
      <w:r>
        <w:rPr>
          <w:rFonts w:ascii="Arial" w:hAnsi="Arial" w:cs="Arial"/>
          <w:b/>
          <w:bCs/>
          <w:sz w:val="24"/>
        </w:rPr>
        <w:t>19</w:t>
      </w:r>
      <w:r w:rsidRPr="004E5D01">
        <w:rPr>
          <w:rFonts w:ascii="Arial" w:hAnsi="Arial" w:cs="Arial"/>
          <w:b/>
          <w:bCs/>
          <w:sz w:val="24"/>
        </w:rPr>
        <w:t>,</w:t>
      </w:r>
      <w:r>
        <w:rPr>
          <w:rFonts w:ascii="Arial" w:hAnsi="Arial" w:cs="Arial"/>
          <w:b/>
          <w:bCs/>
          <w:sz w:val="24"/>
        </w:rPr>
        <w:t>4</w:t>
      </w:r>
      <w:r w:rsidRPr="004E5D01">
        <w:rPr>
          <w:rFonts w:ascii="Arial" w:hAnsi="Arial" w:cs="Arial"/>
          <w:b/>
          <w:bCs/>
          <w:sz w:val="24"/>
        </w:rPr>
        <w:t> mld. Kč</w:t>
      </w:r>
      <w:r w:rsidRPr="004E5D01">
        <w:rPr>
          <w:rFonts w:ascii="Arial" w:hAnsi="Arial" w:cs="Arial"/>
          <w:sz w:val="24"/>
        </w:rPr>
        <w:t xml:space="preserve"> představovaly </w:t>
      </w:r>
      <w:r w:rsidRPr="004E5D01">
        <w:rPr>
          <w:rFonts w:ascii="Arial" w:hAnsi="Arial" w:cs="Arial"/>
          <w:b/>
          <w:bCs/>
          <w:sz w:val="24"/>
        </w:rPr>
        <w:t xml:space="preserve">náhrady z neživotního pojištění </w:t>
      </w:r>
      <w:r w:rsidRPr="004E5D01">
        <w:rPr>
          <w:rFonts w:ascii="Arial" w:hAnsi="Arial" w:cs="Arial"/>
          <w:sz w:val="24"/>
        </w:rPr>
        <w:t>(ve</w:t>
      </w:r>
      <w:r>
        <w:rPr>
          <w:rFonts w:ascii="Arial" w:hAnsi="Arial" w:cs="Arial"/>
          <w:sz w:val="24"/>
        </w:rPr>
        <w:t> </w:t>
      </w:r>
      <w:r w:rsidRPr="004E5D01">
        <w:rPr>
          <w:rFonts w:ascii="Arial" w:hAnsi="Arial" w:cs="Arial"/>
          <w:sz w:val="24"/>
        </w:rPr>
        <w:t>srovnání s rokem 201</w:t>
      </w:r>
      <w:r>
        <w:rPr>
          <w:rFonts w:ascii="Arial" w:hAnsi="Arial" w:cs="Arial"/>
          <w:sz w:val="24"/>
        </w:rPr>
        <w:t>5 to znamenalo reálný pokles jejich objemu o 3</w:t>
      </w:r>
      <w:r w:rsidRPr="004E5D01">
        <w:rPr>
          <w:rFonts w:ascii="Arial" w:hAnsi="Arial" w:cs="Arial"/>
          <w:sz w:val="24"/>
        </w:rPr>
        <w:t>,</w:t>
      </w:r>
      <w:r>
        <w:rPr>
          <w:rFonts w:ascii="Arial" w:hAnsi="Arial" w:cs="Arial"/>
          <w:sz w:val="24"/>
        </w:rPr>
        <w:t>1 </w:t>
      </w:r>
      <w:r w:rsidRPr="004E5D01">
        <w:rPr>
          <w:rFonts w:ascii="Arial" w:hAnsi="Arial" w:cs="Arial"/>
          <w:sz w:val="24"/>
        </w:rPr>
        <w:t xml:space="preserve">%) </w:t>
      </w:r>
      <w:r>
        <w:rPr>
          <w:rFonts w:ascii="Arial" w:hAnsi="Arial" w:cs="Arial"/>
          <w:b/>
          <w:bCs/>
          <w:sz w:val="24"/>
        </w:rPr>
        <w:t>a 129</w:t>
      </w:r>
      <w:r w:rsidRPr="004E5D01">
        <w:rPr>
          <w:rFonts w:ascii="Arial" w:hAnsi="Arial" w:cs="Arial"/>
          <w:b/>
          <w:bCs/>
          <w:sz w:val="24"/>
        </w:rPr>
        <w:t>,</w:t>
      </w:r>
      <w:r>
        <w:rPr>
          <w:rFonts w:ascii="Arial" w:hAnsi="Arial" w:cs="Arial"/>
          <w:b/>
          <w:bCs/>
          <w:sz w:val="24"/>
        </w:rPr>
        <w:t>8 </w:t>
      </w:r>
      <w:r w:rsidRPr="004E5D01">
        <w:rPr>
          <w:rFonts w:ascii="Arial" w:hAnsi="Arial" w:cs="Arial"/>
          <w:b/>
          <w:bCs/>
          <w:sz w:val="24"/>
        </w:rPr>
        <w:t>mld.</w:t>
      </w:r>
      <w:r>
        <w:rPr>
          <w:rFonts w:ascii="Arial" w:hAnsi="Arial" w:cs="Arial"/>
          <w:b/>
          <w:bCs/>
          <w:sz w:val="24"/>
        </w:rPr>
        <w:t> </w:t>
      </w:r>
      <w:r w:rsidRPr="004E5D01">
        <w:rPr>
          <w:rFonts w:ascii="Arial" w:hAnsi="Arial" w:cs="Arial"/>
          <w:b/>
          <w:bCs/>
          <w:sz w:val="24"/>
        </w:rPr>
        <w:t>Kč</w:t>
      </w:r>
      <w:r w:rsidRPr="004E5D01">
        <w:rPr>
          <w:rFonts w:ascii="Arial" w:hAnsi="Arial" w:cs="Arial"/>
          <w:sz w:val="24"/>
        </w:rPr>
        <w:t xml:space="preserve"> </w:t>
      </w:r>
      <w:r w:rsidRPr="004E5D01">
        <w:rPr>
          <w:rFonts w:ascii="Arial" w:hAnsi="Arial" w:cs="Arial"/>
          <w:b/>
          <w:bCs/>
          <w:sz w:val="24"/>
        </w:rPr>
        <w:t xml:space="preserve">„jiné“ běžné transfery </w:t>
      </w:r>
      <w:r w:rsidRPr="004E5D01">
        <w:rPr>
          <w:rFonts w:ascii="Arial" w:hAnsi="Arial" w:cs="Arial"/>
          <w:sz w:val="24"/>
        </w:rPr>
        <w:t xml:space="preserve">(mj. výhry, stipendia, výživné, dary, převody ze zahraničí a příjmy plynoucí z odškodnění obětí nacistické perzekuce, účastníků zahraničního a národního odboje a politických vězňů); jejich objem v reálném vyjádření </w:t>
      </w:r>
      <w:r>
        <w:rPr>
          <w:rFonts w:ascii="Arial" w:hAnsi="Arial" w:cs="Arial"/>
          <w:sz w:val="24"/>
        </w:rPr>
        <w:t>poklesl o 20</w:t>
      </w:r>
      <w:r w:rsidRPr="004E5D01">
        <w:rPr>
          <w:rFonts w:ascii="Arial" w:hAnsi="Arial" w:cs="Arial"/>
          <w:sz w:val="24"/>
        </w:rPr>
        <w:t>,</w:t>
      </w:r>
      <w:r>
        <w:rPr>
          <w:rFonts w:ascii="Arial" w:hAnsi="Arial" w:cs="Arial"/>
          <w:sz w:val="24"/>
        </w:rPr>
        <w:t>1</w:t>
      </w:r>
      <w:r w:rsidRPr="004E5D01">
        <w:rPr>
          <w:rFonts w:ascii="Arial" w:hAnsi="Arial" w:cs="Arial"/>
          <w:sz w:val="24"/>
        </w:rPr>
        <w:t> %.</w:t>
      </w:r>
    </w:p>
    <w:p w:rsidR="00724C33" w:rsidRDefault="00724C33" w:rsidP="00724C33">
      <w:pPr>
        <w:spacing w:line="360" w:lineRule="auto"/>
        <w:jc w:val="both"/>
        <w:rPr>
          <w:rFonts w:cs="Arial"/>
        </w:rPr>
      </w:pPr>
    </w:p>
    <w:p w:rsidR="00724C33" w:rsidRDefault="00724C33" w:rsidP="00724C33">
      <w:pPr>
        <w:spacing w:line="360" w:lineRule="auto"/>
        <w:jc w:val="both"/>
        <w:rPr>
          <w:rFonts w:cs="Arial"/>
        </w:rPr>
      </w:pPr>
    </w:p>
    <w:p w:rsidR="00724C33" w:rsidRDefault="00724C33" w:rsidP="00724C33">
      <w:pPr>
        <w:spacing w:line="360" w:lineRule="auto"/>
        <w:jc w:val="both"/>
        <w:rPr>
          <w:rFonts w:cs="Arial"/>
        </w:rPr>
      </w:pPr>
    </w:p>
    <w:p w:rsidR="00724C33" w:rsidRDefault="00724C33" w:rsidP="00724C33">
      <w:pPr>
        <w:spacing w:line="360" w:lineRule="auto"/>
        <w:jc w:val="both"/>
        <w:rPr>
          <w:rFonts w:cs="Arial"/>
        </w:rPr>
      </w:pPr>
    </w:p>
    <w:p w:rsidR="00724C33" w:rsidRDefault="00724C33" w:rsidP="00724C33">
      <w:pPr>
        <w:spacing w:line="360" w:lineRule="auto"/>
        <w:rPr>
          <w:rFonts w:cs="Arial"/>
          <w:b/>
          <w:szCs w:val="36"/>
        </w:rPr>
      </w:pPr>
    </w:p>
    <w:p w:rsidR="00724C33" w:rsidRDefault="00724C33" w:rsidP="00724C33">
      <w:pPr>
        <w:spacing w:line="360" w:lineRule="auto"/>
        <w:rPr>
          <w:rFonts w:cs="Arial"/>
          <w:b/>
          <w:szCs w:val="36"/>
        </w:rPr>
      </w:pPr>
    </w:p>
    <w:p w:rsidR="00724C33" w:rsidRDefault="00724C33" w:rsidP="00724C33">
      <w:pPr>
        <w:spacing w:line="360" w:lineRule="auto"/>
        <w:rPr>
          <w:rFonts w:cs="Arial"/>
          <w:b/>
          <w:szCs w:val="36"/>
        </w:rPr>
      </w:pPr>
    </w:p>
    <w:p w:rsidR="00724C33" w:rsidRDefault="00724C33" w:rsidP="00724C33">
      <w:pPr>
        <w:spacing w:line="360" w:lineRule="auto"/>
        <w:rPr>
          <w:rFonts w:cs="Arial"/>
          <w:b/>
          <w:szCs w:val="36"/>
        </w:rPr>
      </w:pPr>
    </w:p>
    <w:p w:rsidR="00711D57" w:rsidRPr="003E3577" w:rsidRDefault="00711D57" w:rsidP="00711D57">
      <w:pPr>
        <w:rPr>
          <w:rFonts w:cs="Arial"/>
          <w:b/>
          <w:iCs/>
          <w:sz w:val="36"/>
          <w:szCs w:val="36"/>
        </w:rPr>
      </w:pPr>
      <w:r w:rsidRPr="003E3577">
        <w:rPr>
          <w:rFonts w:cs="Arial"/>
          <w:b/>
          <w:iCs/>
          <w:sz w:val="36"/>
          <w:szCs w:val="36"/>
        </w:rPr>
        <w:lastRenderedPageBreak/>
        <w:t xml:space="preserve">2. Spotřebitelské ceny a životní náklady </w:t>
      </w:r>
    </w:p>
    <w:p w:rsidR="00711D57" w:rsidRDefault="00711D57" w:rsidP="00711D57">
      <w:pPr>
        <w:spacing w:line="360" w:lineRule="auto"/>
        <w:jc w:val="both"/>
        <w:rPr>
          <w:rFonts w:cs="Arial"/>
          <w:b/>
          <w:szCs w:val="36"/>
        </w:rPr>
      </w:pPr>
    </w:p>
    <w:p w:rsidR="00711D57" w:rsidRPr="006B4DCB" w:rsidRDefault="00711D57" w:rsidP="00711D57">
      <w:pPr>
        <w:spacing w:after="240" w:line="360" w:lineRule="auto"/>
        <w:jc w:val="both"/>
        <w:rPr>
          <w:rFonts w:cs="Arial"/>
          <w:szCs w:val="28"/>
        </w:rPr>
      </w:pPr>
      <w:r>
        <w:rPr>
          <w:rFonts w:cs="Arial"/>
          <w:b/>
          <w:szCs w:val="36"/>
        </w:rPr>
        <w:tab/>
      </w:r>
      <w:r w:rsidRPr="00964021">
        <w:rPr>
          <w:rFonts w:cs="Arial"/>
          <w:b/>
          <w:szCs w:val="36"/>
        </w:rPr>
        <w:t>Průměrná m</w:t>
      </w:r>
      <w:r w:rsidRPr="00964021">
        <w:rPr>
          <w:rFonts w:cs="Arial"/>
          <w:b/>
          <w:bCs/>
          <w:szCs w:val="28"/>
        </w:rPr>
        <w:t>eziroční</w:t>
      </w:r>
      <w:r w:rsidRPr="00964021">
        <w:rPr>
          <w:rFonts w:cs="Arial"/>
          <w:szCs w:val="28"/>
        </w:rPr>
        <w:t xml:space="preserve"> </w:t>
      </w:r>
      <w:r w:rsidRPr="00964021">
        <w:rPr>
          <w:rFonts w:cs="Arial"/>
          <w:b/>
          <w:szCs w:val="28"/>
        </w:rPr>
        <w:t xml:space="preserve">míra cenové inflace </w:t>
      </w:r>
      <w:r w:rsidRPr="00964021">
        <w:rPr>
          <w:rFonts w:cs="Arial"/>
          <w:szCs w:val="28"/>
        </w:rPr>
        <w:t>byla v</w:t>
      </w:r>
      <w:r>
        <w:rPr>
          <w:rFonts w:cs="Arial"/>
          <w:szCs w:val="28"/>
        </w:rPr>
        <w:t xml:space="preserve"> </w:t>
      </w:r>
      <w:r w:rsidRPr="00964021">
        <w:rPr>
          <w:rFonts w:cs="Arial"/>
          <w:szCs w:val="28"/>
        </w:rPr>
        <w:t xml:space="preserve">roce 2016 o 0,4 p. b. </w:t>
      </w:r>
      <w:proofErr w:type="gramStart"/>
      <w:r w:rsidRPr="00964021">
        <w:rPr>
          <w:rFonts w:cs="Arial"/>
          <w:szCs w:val="28"/>
        </w:rPr>
        <w:t>vyšší</w:t>
      </w:r>
      <w:proofErr w:type="gramEnd"/>
      <w:r w:rsidRPr="00964021">
        <w:rPr>
          <w:rFonts w:cs="Arial"/>
          <w:szCs w:val="28"/>
        </w:rPr>
        <w:t xml:space="preserve"> než v</w:t>
      </w:r>
      <w:r>
        <w:rPr>
          <w:rFonts w:cs="Arial"/>
          <w:szCs w:val="28"/>
        </w:rPr>
        <w:t xml:space="preserve"> </w:t>
      </w:r>
      <w:r w:rsidRPr="00964021">
        <w:rPr>
          <w:rFonts w:cs="Arial"/>
          <w:szCs w:val="28"/>
        </w:rPr>
        <w:t xml:space="preserve">roce 2015 a </w:t>
      </w:r>
      <w:r w:rsidRPr="00964021">
        <w:rPr>
          <w:rFonts w:cs="Arial"/>
          <w:b/>
          <w:szCs w:val="28"/>
        </w:rPr>
        <w:t>činila</w:t>
      </w:r>
      <w:r w:rsidRPr="00964021">
        <w:rPr>
          <w:rFonts w:cs="Arial"/>
          <w:szCs w:val="28"/>
        </w:rPr>
        <w:t xml:space="preserve"> </w:t>
      </w:r>
      <w:r w:rsidRPr="00964021">
        <w:rPr>
          <w:rFonts w:cs="Arial"/>
          <w:b/>
          <w:szCs w:val="28"/>
        </w:rPr>
        <w:t>0,7 %</w:t>
      </w:r>
      <w:r>
        <w:rPr>
          <w:rFonts w:cs="Arial"/>
          <w:b/>
          <w:szCs w:val="28"/>
        </w:rPr>
        <w:t xml:space="preserve">. </w:t>
      </w:r>
      <w:r w:rsidRPr="006B4DCB">
        <w:rPr>
          <w:rFonts w:cs="Arial"/>
          <w:szCs w:val="28"/>
        </w:rPr>
        <w:t xml:space="preserve">Jak ukazuje následující graf, </w:t>
      </w:r>
      <w:r w:rsidRPr="006B4DCB">
        <w:rPr>
          <w:rFonts w:cs="Arial"/>
          <w:b/>
          <w:szCs w:val="28"/>
        </w:rPr>
        <w:t>mírně nižší</w:t>
      </w:r>
      <w:r w:rsidRPr="006B4DCB">
        <w:rPr>
          <w:rFonts w:cs="Arial"/>
          <w:szCs w:val="28"/>
        </w:rPr>
        <w:t xml:space="preserve"> </w:t>
      </w:r>
      <w:r w:rsidRPr="006B4DCB">
        <w:rPr>
          <w:rFonts w:cs="Arial"/>
          <w:b/>
          <w:szCs w:val="28"/>
        </w:rPr>
        <w:t>byl</w:t>
      </w:r>
      <w:r w:rsidRPr="006B4DCB">
        <w:rPr>
          <w:rFonts w:cs="Arial"/>
          <w:szCs w:val="28"/>
        </w:rPr>
        <w:t xml:space="preserve"> v minulém roce </w:t>
      </w:r>
      <w:r w:rsidRPr="006B4DCB">
        <w:rPr>
          <w:rFonts w:cs="Arial"/>
          <w:b/>
          <w:szCs w:val="28"/>
        </w:rPr>
        <w:t>nárůst cenové inflace domácností důchodců,</w:t>
      </w:r>
      <w:r w:rsidRPr="006B4DCB">
        <w:rPr>
          <w:rFonts w:cs="Arial"/>
          <w:szCs w:val="28"/>
        </w:rPr>
        <w:t xml:space="preserve"> zatímco </w:t>
      </w:r>
      <w:r w:rsidRPr="006B4DCB">
        <w:rPr>
          <w:rFonts w:cs="Arial"/>
          <w:b/>
          <w:szCs w:val="28"/>
        </w:rPr>
        <w:t>životní náklady</w:t>
      </w:r>
      <w:r w:rsidRPr="006B4DCB">
        <w:rPr>
          <w:rFonts w:cs="Arial"/>
          <w:szCs w:val="28"/>
        </w:rPr>
        <w:t xml:space="preserve"> domácností</w:t>
      </w:r>
      <w:r w:rsidRPr="006B4DCB">
        <w:rPr>
          <w:rFonts w:cs="Arial"/>
          <w:b/>
          <w:szCs w:val="28"/>
        </w:rPr>
        <w:t xml:space="preserve"> v</w:t>
      </w:r>
      <w:r>
        <w:rPr>
          <w:rFonts w:cs="Arial"/>
          <w:b/>
          <w:szCs w:val="28"/>
        </w:rPr>
        <w:t xml:space="preserve"> </w:t>
      </w:r>
      <w:r w:rsidRPr="006B4DCB">
        <w:rPr>
          <w:rFonts w:cs="Arial"/>
          <w:b/>
          <w:szCs w:val="28"/>
        </w:rPr>
        <w:t xml:space="preserve">hl. m. Praze vykázaly stejný meziroční růst jako průměrná meziroční míra inflace za domácnosti celkem </w:t>
      </w:r>
      <w:r w:rsidRPr="006B4DCB">
        <w:rPr>
          <w:rFonts w:cs="Arial"/>
          <w:szCs w:val="28"/>
        </w:rPr>
        <w:t>(průměrné meziroční nárůsty v %):</w:t>
      </w:r>
    </w:p>
    <w:p w:rsidR="00711D57" w:rsidRDefault="00711D57" w:rsidP="00711D57">
      <w:pPr>
        <w:spacing w:line="360" w:lineRule="auto"/>
        <w:jc w:val="center"/>
        <w:rPr>
          <w:noProof/>
        </w:rPr>
      </w:pPr>
      <w:r>
        <w:rPr>
          <w:noProof/>
        </w:rPr>
        <w:drawing>
          <wp:inline distT="0" distB="0" distL="0" distR="0" wp14:anchorId="46D2B5A5" wp14:editId="1C8F431A">
            <wp:extent cx="5800725" cy="3364196"/>
            <wp:effectExtent l="0" t="0" r="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06540" cy="3367569"/>
                    </a:xfrm>
                    <a:prstGeom prst="rect">
                      <a:avLst/>
                    </a:prstGeom>
                    <a:noFill/>
                  </pic:spPr>
                </pic:pic>
              </a:graphicData>
            </a:graphic>
          </wp:inline>
        </w:drawing>
      </w:r>
    </w:p>
    <w:p w:rsidR="00711D57" w:rsidRPr="005670E5" w:rsidRDefault="00711D57" w:rsidP="00711D57">
      <w:pPr>
        <w:spacing w:after="240" w:line="360" w:lineRule="auto"/>
        <w:jc w:val="both"/>
        <w:rPr>
          <w:rFonts w:cs="Arial"/>
          <w:bCs/>
          <w:sz w:val="20"/>
          <w:szCs w:val="28"/>
        </w:rPr>
      </w:pPr>
      <w:r>
        <w:rPr>
          <w:rFonts w:cs="Arial"/>
          <w:bCs/>
          <w:sz w:val="20"/>
          <w:szCs w:val="28"/>
        </w:rPr>
        <w:t>Zpracováno z dat ČSÚ</w:t>
      </w:r>
    </w:p>
    <w:p w:rsidR="00711D57" w:rsidRPr="00711D57" w:rsidRDefault="00711D57" w:rsidP="00711D57">
      <w:pPr>
        <w:spacing w:after="240" w:line="360" w:lineRule="auto"/>
        <w:jc w:val="both"/>
        <w:rPr>
          <w:rFonts w:cs="Arial"/>
          <w:bCs/>
          <w:szCs w:val="28"/>
        </w:rPr>
      </w:pPr>
      <w:r>
        <w:rPr>
          <w:rFonts w:cs="Arial"/>
          <w:b/>
          <w:szCs w:val="36"/>
        </w:rPr>
        <w:tab/>
      </w:r>
      <w:r w:rsidRPr="00C42DD6">
        <w:rPr>
          <w:rFonts w:cs="Arial"/>
          <w:szCs w:val="28"/>
        </w:rPr>
        <w:t>V</w:t>
      </w:r>
      <w:r>
        <w:rPr>
          <w:rFonts w:cs="Arial"/>
          <w:szCs w:val="28"/>
        </w:rPr>
        <w:t xml:space="preserve"> </w:t>
      </w:r>
      <w:r w:rsidRPr="00C42DD6">
        <w:rPr>
          <w:rFonts w:cs="Arial"/>
          <w:szCs w:val="28"/>
        </w:rPr>
        <w:t>porovnání</w:t>
      </w:r>
      <w:r w:rsidRPr="00C42DD6">
        <w:rPr>
          <w:rFonts w:cs="Arial"/>
          <w:b/>
          <w:szCs w:val="28"/>
        </w:rPr>
        <w:t xml:space="preserve"> prosinec 2016 / </w:t>
      </w:r>
      <w:r w:rsidRPr="00711D57">
        <w:rPr>
          <w:rFonts w:cs="Arial"/>
          <w:b/>
          <w:szCs w:val="28"/>
        </w:rPr>
        <w:t xml:space="preserve">prosinec 2015 vzrostla </w:t>
      </w:r>
      <w:r w:rsidRPr="00711D57">
        <w:rPr>
          <w:rFonts w:cs="Arial"/>
          <w:szCs w:val="28"/>
        </w:rPr>
        <w:t xml:space="preserve">úhrnná </w:t>
      </w:r>
      <w:r w:rsidRPr="00711D57">
        <w:rPr>
          <w:rFonts w:cs="Arial"/>
          <w:b/>
          <w:szCs w:val="28"/>
        </w:rPr>
        <w:t>cenová hladina o 2,0</w:t>
      </w:r>
      <w:r w:rsidRPr="00711D57">
        <w:t> </w:t>
      </w:r>
      <w:r w:rsidRPr="00711D57">
        <w:rPr>
          <w:rFonts w:cs="Arial"/>
          <w:b/>
          <w:szCs w:val="28"/>
        </w:rPr>
        <w:t xml:space="preserve">% </w:t>
      </w:r>
      <w:r w:rsidRPr="00711D57">
        <w:rPr>
          <w:rFonts w:cs="Arial"/>
          <w:bCs/>
          <w:szCs w:val="28"/>
        </w:rPr>
        <w:t>(viz tabulku č. 22 v příloze).</w:t>
      </w:r>
    </w:p>
    <w:p w:rsidR="00711D57" w:rsidRPr="00711D57" w:rsidRDefault="00711D57" w:rsidP="00711D57">
      <w:pPr>
        <w:spacing w:after="240" w:line="360" w:lineRule="auto"/>
        <w:jc w:val="both"/>
        <w:rPr>
          <w:rFonts w:cs="Arial"/>
          <w:bCs/>
          <w:szCs w:val="28"/>
        </w:rPr>
      </w:pPr>
      <w:r w:rsidRPr="00711D57">
        <w:rPr>
          <w:rFonts w:cs="Arial"/>
          <w:bCs/>
          <w:szCs w:val="28"/>
        </w:rPr>
        <w:tab/>
      </w:r>
      <w:proofErr w:type="spellStart"/>
      <w:r w:rsidRPr="00711D57">
        <w:rPr>
          <w:rFonts w:cs="Arial"/>
          <w:b/>
          <w:bCs/>
          <w:szCs w:val="28"/>
        </w:rPr>
        <w:t>Mezičtvrtletně</w:t>
      </w:r>
      <w:proofErr w:type="spellEnd"/>
      <w:r w:rsidRPr="00711D57">
        <w:rPr>
          <w:rFonts w:cs="Arial"/>
          <w:bCs/>
          <w:szCs w:val="28"/>
        </w:rPr>
        <w:t xml:space="preserve"> </w:t>
      </w:r>
      <w:r w:rsidRPr="00711D57">
        <w:rPr>
          <w:rFonts w:cs="Arial"/>
          <w:b/>
          <w:bCs/>
          <w:szCs w:val="28"/>
        </w:rPr>
        <w:t>se</w:t>
      </w:r>
      <w:r w:rsidRPr="00711D57">
        <w:rPr>
          <w:rFonts w:cs="Arial"/>
          <w:bCs/>
          <w:szCs w:val="28"/>
        </w:rPr>
        <w:t xml:space="preserve"> v úhrnu </w:t>
      </w:r>
      <w:r w:rsidRPr="00711D57">
        <w:rPr>
          <w:rFonts w:cs="Arial"/>
          <w:b/>
          <w:bCs/>
          <w:szCs w:val="28"/>
        </w:rPr>
        <w:t>s</w:t>
      </w:r>
      <w:r w:rsidRPr="00711D57">
        <w:rPr>
          <w:b/>
        </w:rPr>
        <w:t>potřebitelské</w:t>
      </w:r>
      <w:r w:rsidRPr="00711D57">
        <w:t xml:space="preserve"> </w:t>
      </w:r>
      <w:r w:rsidRPr="00711D57">
        <w:rPr>
          <w:b/>
          <w:bCs/>
        </w:rPr>
        <w:t xml:space="preserve">ceny </w:t>
      </w:r>
      <w:r w:rsidRPr="00711D57">
        <w:rPr>
          <w:bCs/>
        </w:rPr>
        <w:t>v průběhu</w:t>
      </w:r>
      <w:r w:rsidRPr="00711D57">
        <w:rPr>
          <w:b/>
          <w:bCs/>
        </w:rPr>
        <w:t xml:space="preserve"> </w:t>
      </w:r>
      <w:r w:rsidRPr="00711D57">
        <w:rPr>
          <w:bCs/>
        </w:rPr>
        <w:t>roku 2016,</w:t>
      </w:r>
      <w:r w:rsidRPr="00711D57">
        <w:rPr>
          <w:b/>
          <w:bCs/>
        </w:rPr>
        <w:t xml:space="preserve"> </w:t>
      </w:r>
      <w:r w:rsidRPr="00711D57">
        <w:rPr>
          <w:bCs/>
        </w:rPr>
        <w:t>s výjimkou třetího čtvrtletí (0,2 %),</w:t>
      </w:r>
      <w:r w:rsidRPr="00711D57">
        <w:rPr>
          <w:b/>
          <w:bCs/>
        </w:rPr>
        <w:t xml:space="preserve"> vyvíjely rovnoměrně.</w:t>
      </w:r>
      <w:r w:rsidRPr="00711D57">
        <w:rPr>
          <w:bCs/>
        </w:rPr>
        <w:t xml:space="preserve"> Odlišná však byla dynamika jednotlivých oddílů a to</w:t>
      </w:r>
      <w:r w:rsidRPr="00711D57">
        <w:rPr>
          <w:b/>
          <w:bCs/>
        </w:rPr>
        <w:t xml:space="preserve"> </w:t>
      </w:r>
      <w:r w:rsidRPr="00711D57">
        <w:rPr>
          <w:bCs/>
        </w:rPr>
        <w:t>zejména v oblasti cen pohonných hmot, potravin, stravování a alkoholických nápojů a tabáku.</w:t>
      </w:r>
      <w:r w:rsidRPr="00711D57">
        <w:rPr>
          <w:b/>
          <w:bCs/>
        </w:rPr>
        <w:t xml:space="preserve"> Nejvyšší</w:t>
      </w:r>
      <w:r w:rsidRPr="00711D57">
        <w:rPr>
          <w:bCs/>
        </w:rPr>
        <w:t xml:space="preserve"> </w:t>
      </w:r>
      <w:r w:rsidRPr="00711D57">
        <w:rPr>
          <w:b/>
          <w:bCs/>
        </w:rPr>
        <w:t>nárůst úhrnné inflace</w:t>
      </w:r>
      <w:r w:rsidRPr="00711D57">
        <w:rPr>
          <w:bCs/>
        </w:rPr>
        <w:t xml:space="preserve"> (0,5 %) </w:t>
      </w:r>
      <w:r w:rsidRPr="00711D57">
        <w:rPr>
          <w:b/>
          <w:bCs/>
        </w:rPr>
        <w:t xml:space="preserve">byl vykázán ve 2. čtvrtletí, </w:t>
      </w:r>
      <w:r w:rsidRPr="00711D57">
        <w:rPr>
          <w:bCs/>
        </w:rPr>
        <w:t>v 1. čtvrtletí</w:t>
      </w:r>
      <w:r w:rsidRPr="00711D57">
        <w:rPr>
          <w:b/>
          <w:bCs/>
        </w:rPr>
        <w:t xml:space="preserve"> </w:t>
      </w:r>
      <w:r w:rsidRPr="00711D57">
        <w:rPr>
          <w:bCs/>
        </w:rPr>
        <w:t>vzrostly ceny o 0,4 %.</w:t>
      </w:r>
      <w:r w:rsidRPr="00711D57">
        <w:rPr>
          <w:b/>
          <w:bCs/>
        </w:rPr>
        <w:t xml:space="preserve"> V posledním čtvrtletí minulého roku ovlivnily nárůst spotřebitelských cen </w:t>
      </w:r>
      <w:r w:rsidRPr="00711D57">
        <w:rPr>
          <w:bCs/>
        </w:rPr>
        <w:t>(0,4 %)</w:t>
      </w:r>
      <w:r w:rsidRPr="00711D57">
        <w:rPr>
          <w:b/>
          <w:bCs/>
        </w:rPr>
        <w:t xml:space="preserve"> </w:t>
      </w:r>
      <w:r w:rsidRPr="00711D57">
        <w:rPr>
          <w:bCs/>
        </w:rPr>
        <w:t>zejména</w:t>
      </w:r>
      <w:r w:rsidRPr="00711D57">
        <w:rPr>
          <w:b/>
          <w:bCs/>
        </w:rPr>
        <w:t xml:space="preserve"> pohonné hmoty, potraviny a nealkoholické nápoje, stravování a ubytování </w:t>
      </w:r>
      <w:r w:rsidRPr="00711D57">
        <w:rPr>
          <w:bCs/>
        </w:rPr>
        <w:t>a </w:t>
      </w:r>
      <w:r w:rsidRPr="00711D57">
        <w:rPr>
          <w:b/>
          <w:bCs/>
        </w:rPr>
        <w:t xml:space="preserve">odívání a obuv. </w:t>
      </w:r>
      <w:r w:rsidRPr="00711D57">
        <w:rPr>
          <w:bCs/>
        </w:rPr>
        <w:t>Protisměrně působil</w:t>
      </w:r>
      <w:r w:rsidRPr="00711D57">
        <w:rPr>
          <w:b/>
          <w:bCs/>
        </w:rPr>
        <w:t xml:space="preserve"> pokles cen v oddíle rekreace a kultura. </w:t>
      </w:r>
    </w:p>
    <w:p w:rsidR="00711D57" w:rsidRPr="00711D57" w:rsidRDefault="00711D57" w:rsidP="00711D57">
      <w:pPr>
        <w:spacing w:after="240" w:line="360" w:lineRule="auto"/>
        <w:jc w:val="both"/>
        <w:rPr>
          <w:rFonts w:cs="Arial"/>
          <w:szCs w:val="28"/>
        </w:rPr>
      </w:pPr>
      <w:r w:rsidRPr="00711D57">
        <w:rPr>
          <w:b/>
          <w:bCs/>
        </w:rPr>
        <w:lastRenderedPageBreak/>
        <w:tab/>
      </w:r>
      <w:r w:rsidRPr="00711D57">
        <w:rPr>
          <w:rFonts w:cs="Arial"/>
          <w:b/>
          <w:szCs w:val="28"/>
        </w:rPr>
        <w:t>K meziročnímu přírůstku</w:t>
      </w:r>
      <w:r w:rsidRPr="00711D57">
        <w:rPr>
          <w:rFonts w:cs="Arial"/>
          <w:szCs w:val="28"/>
        </w:rPr>
        <w:t xml:space="preserve"> úhrnného indexu </w:t>
      </w:r>
      <w:r w:rsidRPr="00711D57">
        <w:rPr>
          <w:rFonts w:cs="Arial"/>
          <w:b/>
          <w:szCs w:val="28"/>
        </w:rPr>
        <w:t>spotřebitelských cen</w:t>
      </w:r>
      <w:r w:rsidRPr="00711D57">
        <w:rPr>
          <w:rFonts w:cs="Arial"/>
          <w:szCs w:val="28"/>
        </w:rPr>
        <w:t xml:space="preserve"> </w:t>
      </w:r>
      <w:r w:rsidRPr="00711D57">
        <w:rPr>
          <w:rFonts w:cs="Arial"/>
          <w:b/>
          <w:szCs w:val="28"/>
        </w:rPr>
        <w:t>přispěly</w:t>
      </w:r>
      <w:r w:rsidRPr="00711D57">
        <w:rPr>
          <w:rFonts w:cs="Arial"/>
          <w:szCs w:val="28"/>
        </w:rPr>
        <w:t xml:space="preserve"> (vzhledem k dříve uvedeným skutečnostem) jednotlivé agregované </w:t>
      </w:r>
      <w:r w:rsidRPr="00711D57">
        <w:rPr>
          <w:rFonts w:cs="Arial"/>
          <w:b/>
          <w:szCs w:val="28"/>
        </w:rPr>
        <w:t xml:space="preserve">oddíly </w:t>
      </w:r>
      <w:r w:rsidRPr="00711D57">
        <w:rPr>
          <w:rFonts w:cs="Arial"/>
          <w:szCs w:val="28"/>
        </w:rPr>
        <w:t xml:space="preserve">spotřebního koše </w:t>
      </w:r>
      <w:r w:rsidRPr="00711D57">
        <w:rPr>
          <w:rFonts w:cs="Arial"/>
          <w:b/>
          <w:szCs w:val="28"/>
        </w:rPr>
        <w:t xml:space="preserve">následovně </w:t>
      </w:r>
      <w:r w:rsidRPr="00711D57">
        <w:rPr>
          <w:rFonts w:cs="Arial"/>
          <w:szCs w:val="28"/>
        </w:rPr>
        <w:t>(zaokrouhleno na 1 desetinné místo):</w:t>
      </w:r>
    </w:p>
    <w:tbl>
      <w:tblPr>
        <w:tblW w:w="7595" w:type="dxa"/>
        <w:jc w:val="center"/>
        <w:tblCellMar>
          <w:left w:w="70" w:type="dxa"/>
          <w:right w:w="70" w:type="dxa"/>
        </w:tblCellMar>
        <w:tblLook w:val="04A0" w:firstRow="1" w:lastRow="0" w:firstColumn="1" w:lastColumn="0" w:noHBand="0" w:noVBand="1"/>
      </w:tblPr>
      <w:tblGrid>
        <w:gridCol w:w="6633"/>
        <w:gridCol w:w="962"/>
      </w:tblGrid>
      <w:tr w:rsidR="00711D57" w:rsidRPr="00711D57" w:rsidTr="007A5AFB">
        <w:trPr>
          <w:trHeight w:val="284"/>
          <w:jc w:val="center"/>
        </w:trPr>
        <w:tc>
          <w:tcPr>
            <w:tcW w:w="6633" w:type="dxa"/>
            <w:tcBorders>
              <w:top w:val="double" w:sz="6" w:space="0" w:color="auto"/>
              <w:left w:val="double" w:sz="6" w:space="0" w:color="auto"/>
              <w:bottom w:val="double" w:sz="6" w:space="0" w:color="auto"/>
              <w:right w:val="single" w:sz="4" w:space="0" w:color="auto"/>
            </w:tcBorders>
            <w:shd w:val="clear" w:color="auto" w:fill="auto"/>
            <w:vAlign w:val="center"/>
            <w:hideMark/>
          </w:tcPr>
          <w:p w:rsidR="00711D57" w:rsidRPr="00711D57" w:rsidRDefault="00711D57" w:rsidP="007A5AFB">
            <w:pPr>
              <w:rPr>
                <w:rFonts w:cs="Arial"/>
                <w:b/>
                <w:bCs/>
                <w:sz w:val="20"/>
              </w:rPr>
            </w:pPr>
            <w:r w:rsidRPr="00711D57">
              <w:rPr>
                <w:rFonts w:cs="Arial"/>
                <w:b/>
                <w:bCs/>
                <w:sz w:val="20"/>
                <w:szCs w:val="24"/>
              </w:rPr>
              <w:t xml:space="preserve"> Úhrnný meziroční index spotřebitelských cen v roce 2016 (v %)</w:t>
            </w:r>
          </w:p>
        </w:tc>
        <w:tc>
          <w:tcPr>
            <w:tcW w:w="962" w:type="dxa"/>
            <w:tcBorders>
              <w:top w:val="double" w:sz="6" w:space="0" w:color="auto"/>
              <w:left w:val="nil"/>
              <w:bottom w:val="double" w:sz="6" w:space="0" w:color="auto"/>
              <w:right w:val="double" w:sz="6" w:space="0" w:color="auto"/>
            </w:tcBorders>
            <w:shd w:val="clear" w:color="auto" w:fill="auto"/>
            <w:noWrap/>
            <w:vAlign w:val="center"/>
            <w:hideMark/>
          </w:tcPr>
          <w:p w:rsidR="00711D57" w:rsidRPr="00711D57" w:rsidRDefault="00711D57" w:rsidP="007A5AFB">
            <w:pPr>
              <w:jc w:val="center"/>
              <w:rPr>
                <w:rFonts w:cs="Arial"/>
                <w:b/>
                <w:sz w:val="20"/>
              </w:rPr>
            </w:pPr>
            <w:r w:rsidRPr="00711D57">
              <w:rPr>
                <w:rFonts w:cs="Arial"/>
                <w:b/>
                <w:sz w:val="20"/>
              </w:rPr>
              <w:t>100,7</w:t>
            </w:r>
          </w:p>
        </w:tc>
      </w:tr>
      <w:tr w:rsidR="00711D57" w:rsidRPr="00711D57" w:rsidTr="007A5AFB">
        <w:trPr>
          <w:trHeight w:val="284"/>
          <w:jc w:val="center"/>
        </w:trPr>
        <w:tc>
          <w:tcPr>
            <w:tcW w:w="6633" w:type="dxa"/>
            <w:tcBorders>
              <w:top w:val="double" w:sz="6" w:space="0" w:color="auto"/>
              <w:left w:val="double" w:sz="6" w:space="0" w:color="auto"/>
              <w:bottom w:val="single" w:sz="4" w:space="0" w:color="auto"/>
              <w:right w:val="single" w:sz="4" w:space="0" w:color="auto"/>
            </w:tcBorders>
            <w:shd w:val="clear" w:color="auto" w:fill="auto"/>
            <w:vAlign w:val="center"/>
            <w:hideMark/>
          </w:tcPr>
          <w:p w:rsidR="00711D57" w:rsidRPr="00711D57" w:rsidRDefault="00711D57" w:rsidP="007A5AFB">
            <w:pPr>
              <w:rPr>
                <w:rFonts w:cs="Arial"/>
                <w:b/>
                <w:bCs/>
                <w:sz w:val="20"/>
              </w:rPr>
            </w:pPr>
            <w:r w:rsidRPr="00711D57">
              <w:rPr>
                <w:rFonts w:cs="Arial"/>
                <w:b/>
                <w:bCs/>
                <w:sz w:val="20"/>
              </w:rPr>
              <w:t xml:space="preserve"> Pořadí oddílů podle výše vlivu (v procentních bodech):</w:t>
            </w:r>
          </w:p>
        </w:tc>
        <w:tc>
          <w:tcPr>
            <w:tcW w:w="962" w:type="dxa"/>
            <w:tcBorders>
              <w:top w:val="double" w:sz="6" w:space="0" w:color="auto"/>
              <w:left w:val="nil"/>
              <w:bottom w:val="single" w:sz="4" w:space="0" w:color="auto"/>
              <w:right w:val="double" w:sz="6" w:space="0" w:color="auto"/>
            </w:tcBorders>
            <w:shd w:val="clear" w:color="auto" w:fill="auto"/>
            <w:noWrap/>
            <w:vAlign w:val="center"/>
            <w:hideMark/>
          </w:tcPr>
          <w:p w:rsidR="00711D57" w:rsidRPr="00711D57" w:rsidRDefault="00711D57" w:rsidP="007A5AFB">
            <w:pPr>
              <w:jc w:val="center"/>
              <w:rPr>
                <w:rFonts w:cs="Arial"/>
                <w:sz w:val="20"/>
              </w:rPr>
            </w:pPr>
          </w:p>
        </w:tc>
      </w:tr>
      <w:tr w:rsidR="00711D57" w:rsidRPr="00711D57" w:rsidTr="007A5AFB">
        <w:trPr>
          <w:trHeight w:val="284"/>
          <w:jc w:val="center"/>
        </w:trPr>
        <w:tc>
          <w:tcPr>
            <w:tcW w:w="6633"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711D57" w:rsidRPr="00711D57" w:rsidRDefault="00711D57" w:rsidP="007A5AFB">
            <w:pPr>
              <w:tabs>
                <w:tab w:val="left" w:pos="43"/>
              </w:tabs>
              <w:ind w:firstLine="43"/>
              <w:jc w:val="both"/>
              <w:rPr>
                <w:rFonts w:cs="Arial"/>
                <w:sz w:val="20"/>
              </w:rPr>
            </w:pPr>
            <w:r w:rsidRPr="00711D57">
              <w:rPr>
                <w:rFonts w:cs="Arial"/>
                <w:sz w:val="20"/>
                <w:szCs w:val="28"/>
              </w:rPr>
              <w:t>Alkoholické nápoje, tabák</w:t>
            </w:r>
          </w:p>
        </w:tc>
        <w:tc>
          <w:tcPr>
            <w:tcW w:w="962" w:type="dxa"/>
            <w:tcBorders>
              <w:top w:val="single" w:sz="4" w:space="0" w:color="auto"/>
              <w:left w:val="nil"/>
              <w:bottom w:val="single" w:sz="4" w:space="0" w:color="auto"/>
              <w:right w:val="double" w:sz="6" w:space="0" w:color="auto"/>
            </w:tcBorders>
            <w:shd w:val="clear" w:color="auto" w:fill="auto"/>
            <w:vAlign w:val="center"/>
            <w:hideMark/>
          </w:tcPr>
          <w:p w:rsidR="00711D57" w:rsidRPr="00711D57" w:rsidRDefault="00711D57" w:rsidP="007A5AFB">
            <w:pPr>
              <w:jc w:val="center"/>
              <w:rPr>
                <w:rFonts w:cs="Arial"/>
                <w:sz w:val="20"/>
              </w:rPr>
            </w:pPr>
            <w:r w:rsidRPr="00711D57">
              <w:rPr>
                <w:rFonts w:cs="Arial"/>
                <w:sz w:val="20"/>
                <w:szCs w:val="28"/>
              </w:rPr>
              <w:t>+0,4</w:t>
            </w:r>
          </w:p>
        </w:tc>
      </w:tr>
      <w:tr w:rsidR="00711D57" w:rsidRPr="00711D57" w:rsidTr="007A5AFB">
        <w:trPr>
          <w:trHeight w:val="284"/>
          <w:jc w:val="center"/>
        </w:trPr>
        <w:tc>
          <w:tcPr>
            <w:tcW w:w="6633" w:type="dxa"/>
            <w:tcBorders>
              <w:top w:val="nil"/>
              <w:left w:val="double" w:sz="6" w:space="0" w:color="auto"/>
              <w:bottom w:val="single" w:sz="4" w:space="0" w:color="auto"/>
              <w:right w:val="single" w:sz="4" w:space="0" w:color="auto"/>
            </w:tcBorders>
            <w:shd w:val="clear" w:color="auto" w:fill="auto"/>
            <w:vAlign w:val="center"/>
            <w:hideMark/>
          </w:tcPr>
          <w:p w:rsidR="00711D57" w:rsidRPr="00711D57" w:rsidRDefault="00711D57" w:rsidP="007A5AFB">
            <w:pPr>
              <w:rPr>
                <w:rFonts w:cs="Arial"/>
                <w:sz w:val="20"/>
              </w:rPr>
            </w:pPr>
            <w:r w:rsidRPr="00711D57">
              <w:rPr>
                <w:rFonts w:cs="Arial"/>
                <w:sz w:val="20"/>
                <w:szCs w:val="28"/>
              </w:rPr>
              <w:t xml:space="preserve"> Bydlení, voda, energie, paliva</w:t>
            </w:r>
          </w:p>
        </w:tc>
        <w:tc>
          <w:tcPr>
            <w:tcW w:w="962" w:type="dxa"/>
            <w:tcBorders>
              <w:top w:val="nil"/>
              <w:left w:val="nil"/>
              <w:bottom w:val="single" w:sz="4" w:space="0" w:color="auto"/>
              <w:right w:val="double" w:sz="6" w:space="0" w:color="auto"/>
            </w:tcBorders>
            <w:shd w:val="clear" w:color="auto" w:fill="auto"/>
            <w:vAlign w:val="center"/>
            <w:hideMark/>
          </w:tcPr>
          <w:p w:rsidR="00711D57" w:rsidRPr="00711D57" w:rsidRDefault="00711D57" w:rsidP="007A5AFB">
            <w:pPr>
              <w:jc w:val="center"/>
              <w:rPr>
                <w:rFonts w:cs="Arial"/>
                <w:sz w:val="20"/>
              </w:rPr>
            </w:pPr>
            <w:r w:rsidRPr="00711D57">
              <w:rPr>
                <w:rFonts w:cs="Arial"/>
                <w:sz w:val="20"/>
                <w:szCs w:val="28"/>
              </w:rPr>
              <w:t>+0,2</w:t>
            </w:r>
          </w:p>
        </w:tc>
      </w:tr>
      <w:tr w:rsidR="00711D57" w:rsidRPr="00711D57" w:rsidTr="007A5AFB">
        <w:trPr>
          <w:trHeight w:val="284"/>
          <w:jc w:val="center"/>
        </w:trPr>
        <w:tc>
          <w:tcPr>
            <w:tcW w:w="6633" w:type="dxa"/>
            <w:tcBorders>
              <w:top w:val="nil"/>
              <w:left w:val="double" w:sz="6" w:space="0" w:color="auto"/>
              <w:bottom w:val="single" w:sz="4" w:space="0" w:color="auto"/>
              <w:right w:val="single" w:sz="4" w:space="0" w:color="auto"/>
            </w:tcBorders>
            <w:shd w:val="clear" w:color="auto" w:fill="auto"/>
            <w:vAlign w:val="center"/>
          </w:tcPr>
          <w:p w:rsidR="00711D57" w:rsidRPr="00711D57" w:rsidRDefault="00711D57" w:rsidP="007A5AFB">
            <w:pPr>
              <w:rPr>
                <w:rFonts w:cs="Arial"/>
                <w:sz w:val="20"/>
              </w:rPr>
            </w:pPr>
            <w:r w:rsidRPr="00711D57">
              <w:rPr>
                <w:rFonts w:cs="Arial"/>
                <w:sz w:val="20"/>
                <w:szCs w:val="28"/>
              </w:rPr>
              <w:t xml:space="preserve"> Rekreace a kultura</w:t>
            </w:r>
          </w:p>
        </w:tc>
        <w:tc>
          <w:tcPr>
            <w:tcW w:w="962" w:type="dxa"/>
            <w:tcBorders>
              <w:top w:val="nil"/>
              <w:left w:val="nil"/>
              <w:bottom w:val="single" w:sz="4" w:space="0" w:color="auto"/>
              <w:right w:val="double" w:sz="6" w:space="0" w:color="auto"/>
            </w:tcBorders>
            <w:shd w:val="clear" w:color="auto" w:fill="auto"/>
            <w:vAlign w:val="center"/>
          </w:tcPr>
          <w:p w:rsidR="00711D57" w:rsidRPr="00711D57" w:rsidRDefault="00711D57" w:rsidP="007A5AFB">
            <w:pPr>
              <w:jc w:val="center"/>
              <w:rPr>
                <w:rFonts w:cs="Arial"/>
                <w:sz w:val="20"/>
              </w:rPr>
            </w:pPr>
            <w:r w:rsidRPr="00711D57">
              <w:rPr>
                <w:rFonts w:cs="Arial"/>
                <w:sz w:val="20"/>
              </w:rPr>
              <w:t>+0,1</w:t>
            </w:r>
          </w:p>
        </w:tc>
      </w:tr>
      <w:tr w:rsidR="00711D57" w:rsidRPr="00711D57" w:rsidTr="007A5AFB">
        <w:trPr>
          <w:trHeight w:val="284"/>
          <w:jc w:val="center"/>
        </w:trPr>
        <w:tc>
          <w:tcPr>
            <w:tcW w:w="6633" w:type="dxa"/>
            <w:tcBorders>
              <w:top w:val="nil"/>
              <w:left w:val="double" w:sz="6" w:space="0" w:color="auto"/>
              <w:bottom w:val="single" w:sz="4" w:space="0" w:color="auto"/>
              <w:right w:val="single" w:sz="4" w:space="0" w:color="auto"/>
            </w:tcBorders>
            <w:shd w:val="clear" w:color="auto" w:fill="auto"/>
            <w:vAlign w:val="center"/>
            <w:hideMark/>
          </w:tcPr>
          <w:p w:rsidR="00711D57" w:rsidRPr="00711D57" w:rsidRDefault="00711D57" w:rsidP="007A5AFB">
            <w:pPr>
              <w:rPr>
                <w:rFonts w:cs="Arial"/>
                <w:sz w:val="20"/>
              </w:rPr>
            </w:pPr>
            <w:r w:rsidRPr="00711D57">
              <w:rPr>
                <w:rFonts w:cs="Arial"/>
                <w:sz w:val="20"/>
                <w:szCs w:val="28"/>
              </w:rPr>
              <w:t xml:space="preserve"> Ostatní zboží a služby</w:t>
            </w:r>
          </w:p>
        </w:tc>
        <w:tc>
          <w:tcPr>
            <w:tcW w:w="962" w:type="dxa"/>
            <w:tcBorders>
              <w:top w:val="nil"/>
              <w:left w:val="nil"/>
              <w:bottom w:val="single" w:sz="4" w:space="0" w:color="auto"/>
              <w:right w:val="double" w:sz="6" w:space="0" w:color="auto"/>
            </w:tcBorders>
            <w:shd w:val="clear" w:color="auto" w:fill="auto"/>
            <w:vAlign w:val="center"/>
            <w:hideMark/>
          </w:tcPr>
          <w:p w:rsidR="00711D57" w:rsidRPr="00711D57" w:rsidRDefault="00711D57" w:rsidP="007A5AFB">
            <w:pPr>
              <w:jc w:val="center"/>
              <w:rPr>
                <w:rFonts w:cs="Arial"/>
                <w:sz w:val="20"/>
              </w:rPr>
            </w:pPr>
            <w:r w:rsidRPr="00711D57">
              <w:rPr>
                <w:rFonts w:cs="Arial"/>
                <w:sz w:val="20"/>
                <w:szCs w:val="28"/>
              </w:rPr>
              <w:t>+0,1</w:t>
            </w:r>
          </w:p>
        </w:tc>
      </w:tr>
      <w:tr w:rsidR="00711D57" w:rsidRPr="00711D57" w:rsidTr="007A5AFB">
        <w:trPr>
          <w:trHeight w:val="284"/>
          <w:jc w:val="center"/>
        </w:trPr>
        <w:tc>
          <w:tcPr>
            <w:tcW w:w="6633" w:type="dxa"/>
            <w:tcBorders>
              <w:top w:val="nil"/>
              <w:left w:val="double" w:sz="6" w:space="0" w:color="auto"/>
              <w:bottom w:val="single" w:sz="4" w:space="0" w:color="auto"/>
              <w:right w:val="single" w:sz="4" w:space="0" w:color="auto"/>
            </w:tcBorders>
            <w:shd w:val="clear" w:color="auto" w:fill="auto"/>
            <w:vAlign w:val="center"/>
            <w:hideMark/>
          </w:tcPr>
          <w:p w:rsidR="00711D57" w:rsidRPr="00711D57" w:rsidRDefault="00711D57" w:rsidP="007A5AFB">
            <w:pPr>
              <w:rPr>
                <w:rFonts w:cs="Arial"/>
                <w:sz w:val="20"/>
              </w:rPr>
            </w:pPr>
            <w:r w:rsidRPr="00711D57">
              <w:rPr>
                <w:rFonts w:cs="Arial"/>
                <w:sz w:val="20"/>
                <w:szCs w:val="28"/>
              </w:rPr>
              <w:t xml:space="preserve"> Stravování a ubytování</w:t>
            </w:r>
          </w:p>
        </w:tc>
        <w:tc>
          <w:tcPr>
            <w:tcW w:w="962" w:type="dxa"/>
            <w:tcBorders>
              <w:top w:val="nil"/>
              <w:left w:val="nil"/>
              <w:bottom w:val="single" w:sz="4" w:space="0" w:color="auto"/>
              <w:right w:val="double" w:sz="6" w:space="0" w:color="auto"/>
            </w:tcBorders>
            <w:shd w:val="clear" w:color="auto" w:fill="auto"/>
            <w:vAlign w:val="center"/>
            <w:hideMark/>
          </w:tcPr>
          <w:p w:rsidR="00711D57" w:rsidRPr="00711D57" w:rsidRDefault="00711D57" w:rsidP="007A5AFB">
            <w:pPr>
              <w:jc w:val="center"/>
              <w:rPr>
                <w:rFonts w:cs="Arial"/>
                <w:sz w:val="20"/>
              </w:rPr>
            </w:pPr>
            <w:r w:rsidRPr="00711D57">
              <w:rPr>
                <w:rFonts w:cs="Arial"/>
                <w:sz w:val="20"/>
                <w:szCs w:val="28"/>
              </w:rPr>
              <w:t>+0,1</w:t>
            </w:r>
          </w:p>
        </w:tc>
      </w:tr>
      <w:tr w:rsidR="00711D57" w:rsidRPr="00711D57" w:rsidTr="007A5AFB">
        <w:trPr>
          <w:trHeight w:val="284"/>
          <w:jc w:val="center"/>
        </w:trPr>
        <w:tc>
          <w:tcPr>
            <w:tcW w:w="6633" w:type="dxa"/>
            <w:tcBorders>
              <w:top w:val="single" w:sz="4" w:space="0" w:color="auto"/>
              <w:left w:val="double" w:sz="6" w:space="0" w:color="auto"/>
              <w:bottom w:val="single" w:sz="12" w:space="0" w:color="auto"/>
              <w:right w:val="single" w:sz="4" w:space="0" w:color="auto"/>
            </w:tcBorders>
            <w:shd w:val="clear" w:color="auto" w:fill="auto"/>
            <w:vAlign w:val="center"/>
          </w:tcPr>
          <w:p w:rsidR="00711D57" w:rsidRPr="00711D57" w:rsidRDefault="00711D57" w:rsidP="007A5AFB">
            <w:pPr>
              <w:rPr>
                <w:rFonts w:cs="Arial"/>
                <w:sz w:val="20"/>
              </w:rPr>
            </w:pPr>
            <w:r w:rsidRPr="00711D57">
              <w:rPr>
                <w:rFonts w:cs="Arial"/>
                <w:sz w:val="20"/>
                <w:szCs w:val="28"/>
              </w:rPr>
              <w:t xml:space="preserve"> Odívání a obuv</w:t>
            </w:r>
          </w:p>
        </w:tc>
        <w:tc>
          <w:tcPr>
            <w:tcW w:w="962" w:type="dxa"/>
            <w:tcBorders>
              <w:top w:val="single" w:sz="4" w:space="0" w:color="auto"/>
              <w:left w:val="nil"/>
              <w:bottom w:val="single" w:sz="12" w:space="0" w:color="auto"/>
              <w:right w:val="double" w:sz="6" w:space="0" w:color="auto"/>
            </w:tcBorders>
            <w:shd w:val="clear" w:color="auto" w:fill="auto"/>
            <w:vAlign w:val="center"/>
          </w:tcPr>
          <w:p w:rsidR="00711D57" w:rsidRPr="00711D57" w:rsidRDefault="00711D57" w:rsidP="007A5AFB">
            <w:pPr>
              <w:jc w:val="center"/>
              <w:rPr>
                <w:rFonts w:cs="Arial"/>
                <w:sz w:val="20"/>
              </w:rPr>
            </w:pPr>
            <w:r w:rsidRPr="00711D57">
              <w:rPr>
                <w:rFonts w:cs="Arial"/>
                <w:sz w:val="20"/>
              </w:rPr>
              <w:t>+0,1</w:t>
            </w:r>
          </w:p>
        </w:tc>
      </w:tr>
      <w:tr w:rsidR="00711D57" w:rsidRPr="00711D57" w:rsidTr="007A5AFB">
        <w:trPr>
          <w:trHeight w:val="284"/>
          <w:jc w:val="center"/>
        </w:trPr>
        <w:tc>
          <w:tcPr>
            <w:tcW w:w="6633" w:type="dxa"/>
            <w:tcBorders>
              <w:top w:val="single" w:sz="12" w:space="0" w:color="auto"/>
              <w:left w:val="double" w:sz="6" w:space="0" w:color="auto"/>
              <w:bottom w:val="single" w:sz="4" w:space="0" w:color="auto"/>
              <w:right w:val="single" w:sz="4" w:space="0" w:color="auto"/>
            </w:tcBorders>
            <w:shd w:val="clear" w:color="auto" w:fill="auto"/>
            <w:vAlign w:val="center"/>
            <w:hideMark/>
          </w:tcPr>
          <w:p w:rsidR="00711D57" w:rsidRPr="00711D57" w:rsidRDefault="00711D57" w:rsidP="007A5AFB">
            <w:pPr>
              <w:rPr>
                <w:rFonts w:cs="Arial"/>
                <w:sz w:val="20"/>
              </w:rPr>
            </w:pPr>
            <w:r w:rsidRPr="00711D57">
              <w:rPr>
                <w:rFonts w:cs="Arial"/>
                <w:sz w:val="20"/>
                <w:szCs w:val="28"/>
              </w:rPr>
              <w:t xml:space="preserve"> Bytové vybavení, zařízení domácnosti, opravy</w:t>
            </w:r>
          </w:p>
        </w:tc>
        <w:tc>
          <w:tcPr>
            <w:tcW w:w="962" w:type="dxa"/>
            <w:tcBorders>
              <w:top w:val="single" w:sz="12" w:space="0" w:color="auto"/>
              <w:left w:val="nil"/>
              <w:bottom w:val="single" w:sz="4" w:space="0" w:color="auto"/>
              <w:right w:val="double" w:sz="6" w:space="0" w:color="auto"/>
            </w:tcBorders>
            <w:shd w:val="clear" w:color="auto" w:fill="auto"/>
            <w:vAlign w:val="center"/>
            <w:hideMark/>
          </w:tcPr>
          <w:p w:rsidR="00711D57" w:rsidRPr="00711D57" w:rsidRDefault="00711D57" w:rsidP="007A5AFB">
            <w:pPr>
              <w:jc w:val="center"/>
              <w:rPr>
                <w:rFonts w:cs="Arial"/>
                <w:sz w:val="20"/>
              </w:rPr>
            </w:pPr>
            <w:r w:rsidRPr="00711D57">
              <w:rPr>
                <w:rFonts w:cs="Arial"/>
                <w:sz w:val="20"/>
                <w:szCs w:val="28"/>
              </w:rPr>
              <w:t xml:space="preserve"> 0,0</w:t>
            </w:r>
          </w:p>
        </w:tc>
      </w:tr>
      <w:tr w:rsidR="00711D57" w:rsidRPr="00711D57" w:rsidTr="007A5AFB">
        <w:trPr>
          <w:trHeight w:val="284"/>
          <w:jc w:val="center"/>
        </w:trPr>
        <w:tc>
          <w:tcPr>
            <w:tcW w:w="6633" w:type="dxa"/>
            <w:tcBorders>
              <w:top w:val="nil"/>
              <w:left w:val="double" w:sz="6" w:space="0" w:color="auto"/>
              <w:bottom w:val="single" w:sz="4" w:space="0" w:color="auto"/>
              <w:right w:val="single" w:sz="4" w:space="0" w:color="auto"/>
            </w:tcBorders>
            <w:shd w:val="clear" w:color="auto" w:fill="auto"/>
            <w:vAlign w:val="center"/>
          </w:tcPr>
          <w:p w:rsidR="00711D57" w:rsidRPr="00711D57" w:rsidRDefault="00711D57" w:rsidP="007A5AFB">
            <w:pPr>
              <w:rPr>
                <w:rFonts w:cs="Arial"/>
                <w:sz w:val="20"/>
              </w:rPr>
            </w:pPr>
            <w:r w:rsidRPr="00711D57">
              <w:rPr>
                <w:rFonts w:cs="Arial"/>
                <w:sz w:val="20"/>
                <w:szCs w:val="28"/>
              </w:rPr>
              <w:t xml:space="preserve"> Pošty a telekomunikace</w:t>
            </w:r>
            <w:r w:rsidRPr="00711D57">
              <w:rPr>
                <w:rFonts w:cs="Arial"/>
                <w:sz w:val="20"/>
              </w:rPr>
              <w:t xml:space="preserve"> </w:t>
            </w:r>
          </w:p>
        </w:tc>
        <w:tc>
          <w:tcPr>
            <w:tcW w:w="962" w:type="dxa"/>
            <w:tcBorders>
              <w:top w:val="nil"/>
              <w:left w:val="nil"/>
              <w:bottom w:val="single" w:sz="4" w:space="0" w:color="auto"/>
              <w:right w:val="double" w:sz="6" w:space="0" w:color="auto"/>
            </w:tcBorders>
            <w:shd w:val="clear" w:color="auto" w:fill="auto"/>
            <w:vAlign w:val="center"/>
          </w:tcPr>
          <w:p w:rsidR="00711D57" w:rsidRPr="00711D57" w:rsidRDefault="00711D57" w:rsidP="007A5AFB">
            <w:pPr>
              <w:jc w:val="center"/>
              <w:rPr>
                <w:rFonts w:cs="Arial"/>
                <w:sz w:val="20"/>
              </w:rPr>
            </w:pPr>
            <w:r w:rsidRPr="00711D57">
              <w:rPr>
                <w:rFonts w:cs="Arial"/>
                <w:sz w:val="20"/>
                <w:szCs w:val="28"/>
              </w:rPr>
              <w:t xml:space="preserve"> 0,0</w:t>
            </w:r>
          </w:p>
        </w:tc>
      </w:tr>
      <w:tr w:rsidR="00711D57" w:rsidRPr="00711D57" w:rsidTr="007A5AFB">
        <w:trPr>
          <w:trHeight w:val="284"/>
          <w:jc w:val="center"/>
        </w:trPr>
        <w:tc>
          <w:tcPr>
            <w:tcW w:w="6633" w:type="dxa"/>
            <w:tcBorders>
              <w:top w:val="single" w:sz="4" w:space="0" w:color="auto"/>
              <w:left w:val="double" w:sz="6" w:space="0" w:color="auto"/>
              <w:bottom w:val="single" w:sz="4" w:space="0" w:color="auto"/>
              <w:right w:val="single" w:sz="4" w:space="0" w:color="auto"/>
            </w:tcBorders>
            <w:shd w:val="clear" w:color="auto" w:fill="auto"/>
            <w:vAlign w:val="center"/>
          </w:tcPr>
          <w:p w:rsidR="00711D57" w:rsidRPr="00711D57" w:rsidRDefault="00711D57" w:rsidP="007A5AFB">
            <w:pPr>
              <w:rPr>
                <w:rFonts w:cs="Arial"/>
                <w:sz w:val="20"/>
              </w:rPr>
            </w:pPr>
            <w:r w:rsidRPr="00711D57">
              <w:rPr>
                <w:rFonts w:cs="Arial"/>
                <w:sz w:val="20"/>
              </w:rPr>
              <w:t xml:space="preserve"> </w:t>
            </w:r>
            <w:r w:rsidRPr="00711D57">
              <w:rPr>
                <w:rFonts w:cs="Arial"/>
                <w:sz w:val="20"/>
                <w:szCs w:val="28"/>
              </w:rPr>
              <w:t>Zdraví</w:t>
            </w:r>
          </w:p>
        </w:tc>
        <w:tc>
          <w:tcPr>
            <w:tcW w:w="962" w:type="dxa"/>
            <w:tcBorders>
              <w:top w:val="single" w:sz="4" w:space="0" w:color="auto"/>
              <w:left w:val="nil"/>
              <w:bottom w:val="single" w:sz="4" w:space="0" w:color="auto"/>
              <w:right w:val="double" w:sz="6" w:space="0" w:color="auto"/>
            </w:tcBorders>
            <w:shd w:val="clear" w:color="auto" w:fill="auto"/>
            <w:vAlign w:val="center"/>
          </w:tcPr>
          <w:p w:rsidR="00711D57" w:rsidRPr="00711D57" w:rsidRDefault="00711D57" w:rsidP="007A5AFB">
            <w:pPr>
              <w:jc w:val="center"/>
              <w:rPr>
                <w:rFonts w:cs="Arial"/>
                <w:sz w:val="20"/>
              </w:rPr>
            </w:pPr>
            <w:r w:rsidRPr="00711D57">
              <w:rPr>
                <w:rFonts w:cs="Arial"/>
                <w:sz w:val="20"/>
              </w:rPr>
              <w:t xml:space="preserve"> 0,0</w:t>
            </w:r>
          </w:p>
        </w:tc>
      </w:tr>
      <w:tr w:rsidR="00711D57" w:rsidRPr="00711D57" w:rsidTr="007A5AFB">
        <w:trPr>
          <w:trHeight w:val="284"/>
          <w:jc w:val="center"/>
        </w:trPr>
        <w:tc>
          <w:tcPr>
            <w:tcW w:w="6633" w:type="dxa"/>
            <w:tcBorders>
              <w:top w:val="single" w:sz="4" w:space="0" w:color="auto"/>
              <w:left w:val="double" w:sz="6" w:space="0" w:color="auto"/>
              <w:bottom w:val="single" w:sz="4" w:space="0" w:color="auto"/>
              <w:right w:val="single" w:sz="4" w:space="0" w:color="auto"/>
            </w:tcBorders>
            <w:shd w:val="clear" w:color="auto" w:fill="auto"/>
            <w:vAlign w:val="center"/>
          </w:tcPr>
          <w:p w:rsidR="00711D57" w:rsidRPr="00711D57" w:rsidRDefault="00711D57" w:rsidP="007A5AFB">
            <w:pPr>
              <w:rPr>
                <w:rFonts w:cs="Arial"/>
                <w:sz w:val="20"/>
              </w:rPr>
            </w:pPr>
            <w:r w:rsidRPr="00711D57">
              <w:rPr>
                <w:rFonts w:cs="Arial"/>
                <w:sz w:val="20"/>
                <w:szCs w:val="28"/>
              </w:rPr>
              <w:t xml:space="preserve"> </w:t>
            </w:r>
            <w:r w:rsidRPr="00711D57">
              <w:rPr>
                <w:rFonts w:cs="Arial"/>
                <w:sz w:val="20"/>
              </w:rPr>
              <w:t>Vzdělávání</w:t>
            </w:r>
          </w:p>
        </w:tc>
        <w:tc>
          <w:tcPr>
            <w:tcW w:w="962" w:type="dxa"/>
            <w:tcBorders>
              <w:top w:val="single" w:sz="4" w:space="0" w:color="auto"/>
              <w:left w:val="nil"/>
              <w:bottom w:val="single" w:sz="4" w:space="0" w:color="auto"/>
              <w:right w:val="double" w:sz="6" w:space="0" w:color="auto"/>
            </w:tcBorders>
            <w:shd w:val="clear" w:color="auto" w:fill="auto"/>
            <w:vAlign w:val="center"/>
          </w:tcPr>
          <w:p w:rsidR="00711D57" w:rsidRPr="00711D57" w:rsidRDefault="00711D57" w:rsidP="007A5AFB">
            <w:pPr>
              <w:jc w:val="center"/>
              <w:rPr>
                <w:rFonts w:cs="Arial"/>
                <w:sz w:val="20"/>
              </w:rPr>
            </w:pPr>
            <w:r w:rsidRPr="00711D57">
              <w:rPr>
                <w:rFonts w:cs="Arial"/>
                <w:sz w:val="20"/>
                <w:szCs w:val="28"/>
              </w:rPr>
              <w:t xml:space="preserve"> 0,0</w:t>
            </w:r>
          </w:p>
        </w:tc>
      </w:tr>
      <w:tr w:rsidR="00711D57" w:rsidRPr="00711D57" w:rsidTr="007A5AFB">
        <w:trPr>
          <w:trHeight w:val="284"/>
          <w:jc w:val="center"/>
        </w:trPr>
        <w:tc>
          <w:tcPr>
            <w:tcW w:w="6633" w:type="dxa"/>
            <w:tcBorders>
              <w:top w:val="single" w:sz="4" w:space="0" w:color="auto"/>
              <w:left w:val="double" w:sz="6" w:space="0" w:color="auto"/>
              <w:bottom w:val="single" w:sz="4" w:space="0" w:color="auto"/>
              <w:right w:val="single" w:sz="4" w:space="0" w:color="auto"/>
            </w:tcBorders>
            <w:shd w:val="clear" w:color="auto" w:fill="auto"/>
            <w:vAlign w:val="center"/>
            <w:hideMark/>
          </w:tcPr>
          <w:p w:rsidR="00711D57" w:rsidRPr="00711D57" w:rsidRDefault="00711D57" w:rsidP="007A5AFB">
            <w:pPr>
              <w:jc w:val="both"/>
              <w:rPr>
                <w:rFonts w:cs="Arial"/>
                <w:sz w:val="20"/>
              </w:rPr>
            </w:pPr>
            <w:r w:rsidRPr="00711D57">
              <w:rPr>
                <w:rFonts w:cs="Arial"/>
                <w:sz w:val="20"/>
                <w:szCs w:val="28"/>
              </w:rPr>
              <w:t xml:space="preserve"> Potraviny, nealkoholické nápoje </w:t>
            </w:r>
          </w:p>
        </w:tc>
        <w:tc>
          <w:tcPr>
            <w:tcW w:w="962" w:type="dxa"/>
            <w:tcBorders>
              <w:top w:val="single" w:sz="4" w:space="0" w:color="auto"/>
              <w:left w:val="nil"/>
              <w:bottom w:val="single" w:sz="4" w:space="0" w:color="auto"/>
              <w:right w:val="double" w:sz="6" w:space="0" w:color="auto"/>
            </w:tcBorders>
            <w:shd w:val="clear" w:color="auto" w:fill="auto"/>
            <w:vAlign w:val="center"/>
            <w:hideMark/>
          </w:tcPr>
          <w:p w:rsidR="00711D57" w:rsidRPr="00711D57" w:rsidRDefault="00711D57" w:rsidP="007A5AFB">
            <w:pPr>
              <w:jc w:val="center"/>
              <w:rPr>
                <w:rFonts w:cs="Arial"/>
                <w:sz w:val="20"/>
              </w:rPr>
            </w:pPr>
            <w:r w:rsidRPr="00711D57">
              <w:rPr>
                <w:rFonts w:cs="Arial"/>
                <w:sz w:val="20"/>
                <w:szCs w:val="28"/>
              </w:rPr>
              <w:t>-0,1</w:t>
            </w:r>
          </w:p>
        </w:tc>
      </w:tr>
      <w:tr w:rsidR="00711D57" w:rsidRPr="00711D57" w:rsidTr="007A5AFB">
        <w:trPr>
          <w:trHeight w:val="284"/>
          <w:jc w:val="center"/>
        </w:trPr>
        <w:tc>
          <w:tcPr>
            <w:tcW w:w="6633" w:type="dxa"/>
            <w:tcBorders>
              <w:top w:val="nil"/>
              <w:left w:val="double" w:sz="6" w:space="0" w:color="auto"/>
              <w:bottom w:val="double" w:sz="6" w:space="0" w:color="auto"/>
              <w:right w:val="single" w:sz="4" w:space="0" w:color="auto"/>
            </w:tcBorders>
            <w:shd w:val="clear" w:color="auto" w:fill="auto"/>
            <w:vAlign w:val="center"/>
            <w:hideMark/>
          </w:tcPr>
          <w:p w:rsidR="00711D57" w:rsidRPr="00711D57" w:rsidRDefault="00711D57" w:rsidP="007A5AFB">
            <w:pPr>
              <w:rPr>
                <w:rFonts w:cs="Arial"/>
                <w:sz w:val="20"/>
              </w:rPr>
            </w:pPr>
            <w:r w:rsidRPr="00711D57">
              <w:rPr>
                <w:rFonts w:cs="Arial"/>
                <w:sz w:val="20"/>
                <w:szCs w:val="28"/>
              </w:rPr>
              <w:t xml:space="preserve"> Doprava</w:t>
            </w:r>
          </w:p>
        </w:tc>
        <w:tc>
          <w:tcPr>
            <w:tcW w:w="962" w:type="dxa"/>
            <w:tcBorders>
              <w:top w:val="nil"/>
              <w:left w:val="nil"/>
              <w:bottom w:val="double" w:sz="6" w:space="0" w:color="auto"/>
              <w:right w:val="double" w:sz="6" w:space="0" w:color="auto"/>
            </w:tcBorders>
            <w:shd w:val="clear" w:color="auto" w:fill="auto"/>
            <w:vAlign w:val="center"/>
            <w:hideMark/>
          </w:tcPr>
          <w:p w:rsidR="00711D57" w:rsidRPr="00711D57" w:rsidRDefault="00711D57" w:rsidP="007A5AFB">
            <w:pPr>
              <w:jc w:val="center"/>
              <w:rPr>
                <w:rFonts w:cs="Arial"/>
                <w:sz w:val="20"/>
              </w:rPr>
            </w:pPr>
            <w:r w:rsidRPr="00711D57">
              <w:rPr>
                <w:rFonts w:cs="Arial"/>
                <w:sz w:val="20"/>
                <w:szCs w:val="28"/>
              </w:rPr>
              <w:t>-0,2</w:t>
            </w:r>
          </w:p>
        </w:tc>
      </w:tr>
    </w:tbl>
    <w:p w:rsidR="00711D57" w:rsidRPr="00711D57" w:rsidRDefault="00711D57" w:rsidP="00711D57">
      <w:pPr>
        <w:spacing w:before="240" w:line="360" w:lineRule="auto"/>
        <w:ind w:firstLine="708"/>
        <w:jc w:val="both"/>
        <w:rPr>
          <w:rFonts w:cs="Arial"/>
          <w:sz w:val="20"/>
          <w:szCs w:val="28"/>
        </w:rPr>
      </w:pPr>
      <w:r w:rsidRPr="00711D57">
        <w:rPr>
          <w:rFonts w:cs="Arial"/>
          <w:sz w:val="20"/>
          <w:szCs w:val="28"/>
        </w:rPr>
        <w:t>Zpracováno z dat ČSÚ</w:t>
      </w:r>
    </w:p>
    <w:p w:rsidR="000B0DC5" w:rsidRDefault="000B0DC5" w:rsidP="000B0DC5">
      <w:pPr>
        <w:spacing w:line="360" w:lineRule="auto"/>
        <w:jc w:val="both"/>
        <w:rPr>
          <w:rFonts w:cs="Arial"/>
          <w:b/>
          <w:szCs w:val="28"/>
        </w:rPr>
      </w:pPr>
    </w:p>
    <w:p w:rsidR="00711D57" w:rsidRDefault="00711D57" w:rsidP="000B0DC5">
      <w:pPr>
        <w:spacing w:line="360" w:lineRule="auto"/>
        <w:jc w:val="both"/>
        <w:rPr>
          <w:rFonts w:cs="Arial"/>
          <w:szCs w:val="28"/>
        </w:rPr>
      </w:pPr>
      <w:r w:rsidRPr="00711D57">
        <w:rPr>
          <w:rFonts w:cs="Arial"/>
          <w:b/>
          <w:szCs w:val="28"/>
        </w:rPr>
        <w:tab/>
      </w:r>
      <w:r w:rsidRPr="00711D57">
        <w:rPr>
          <w:rFonts w:cs="Arial"/>
          <w:szCs w:val="28"/>
        </w:rPr>
        <w:t>Z přehledu je zřejmé, že</w:t>
      </w:r>
      <w:r w:rsidRPr="00711D57">
        <w:rPr>
          <w:rFonts w:cs="Arial"/>
          <w:b/>
          <w:szCs w:val="28"/>
        </w:rPr>
        <w:t xml:space="preserve"> největší vliv na růst cenové hladiny v roce 2016 měly ceny alkoholických nápojů, tabáku </w:t>
      </w:r>
      <w:r w:rsidRPr="00711D57">
        <w:rPr>
          <w:rFonts w:cs="Arial"/>
          <w:szCs w:val="28"/>
        </w:rPr>
        <w:t xml:space="preserve">(kumulace vlivu zvýšení spotřebních daní z tabáku a tržního pohybu cen u alkoholu), </w:t>
      </w:r>
      <w:r w:rsidRPr="00711D57">
        <w:rPr>
          <w:rFonts w:cs="Arial"/>
          <w:b/>
          <w:szCs w:val="28"/>
        </w:rPr>
        <w:t xml:space="preserve">elektřiny, čistého nájemného, vodného, stočného </w:t>
      </w:r>
      <w:r w:rsidRPr="00711D57">
        <w:rPr>
          <w:rFonts w:cs="Arial"/>
          <w:szCs w:val="28"/>
        </w:rPr>
        <w:t>a</w:t>
      </w:r>
      <w:r w:rsidRPr="00711D57">
        <w:rPr>
          <w:rFonts w:cs="Arial"/>
          <w:b/>
          <w:szCs w:val="28"/>
        </w:rPr>
        <w:t xml:space="preserve"> tepla a teplé vody.</w:t>
      </w:r>
      <w:r w:rsidRPr="00711D57">
        <w:rPr>
          <w:rFonts w:cs="Arial"/>
          <w:szCs w:val="28"/>
        </w:rPr>
        <w:t xml:space="preserve"> V opačném směru vyrovnávaly cenový vývoj</w:t>
      </w:r>
      <w:r w:rsidRPr="00711D57">
        <w:rPr>
          <w:rFonts w:cs="Arial"/>
          <w:b/>
          <w:szCs w:val="28"/>
        </w:rPr>
        <w:t xml:space="preserve"> levnější</w:t>
      </w:r>
      <w:r w:rsidRPr="00711D57">
        <w:rPr>
          <w:rFonts w:cs="Arial"/>
          <w:szCs w:val="28"/>
        </w:rPr>
        <w:t xml:space="preserve"> </w:t>
      </w:r>
      <w:r w:rsidRPr="00711D57">
        <w:rPr>
          <w:rFonts w:cs="Arial"/>
          <w:b/>
          <w:szCs w:val="28"/>
        </w:rPr>
        <w:t xml:space="preserve">potraviny, nealkoholické nápoje a zejména doprava </w:t>
      </w:r>
      <w:r w:rsidRPr="00711D57">
        <w:rPr>
          <w:rFonts w:cs="Arial"/>
          <w:szCs w:val="28"/>
        </w:rPr>
        <w:t>(pohonné hmoty).</w:t>
      </w:r>
    </w:p>
    <w:p w:rsidR="000B0DC5" w:rsidRPr="00711D57" w:rsidRDefault="000B0DC5" w:rsidP="000B0DC5">
      <w:pPr>
        <w:spacing w:line="360" w:lineRule="auto"/>
        <w:jc w:val="both"/>
        <w:rPr>
          <w:rFonts w:cs="Arial"/>
          <w:szCs w:val="28"/>
        </w:rPr>
      </w:pPr>
    </w:p>
    <w:p w:rsidR="00711D57" w:rsidRPr="00711D57" w:rsidRDefault="00711D57" w:rsidP="00711D57">
      <w:pPr>
        <w:ind w:left="708"/>
        <w:jc w:val="both"/>
        <w:rPr>
          <w:bCs/>
          <w:spacing w:val="-3"/>
        </w:rPr>
      </w:pPr>
      <w:r w:rsidRPr="00711D57">
        <w:t xml:space="preserve">Spíše </w:t>
      </w:r>
      <w:r w:rsidRPr="00711D57">
        <w:rPr>
          <w:b/>
        </w:rPr>
        <w:t>nízký význam</w:t>
      </w:r>
      <w:r w:rsidRPr="00711D57">
        <w:t xml:space="preserve"> pro vývoj cenové inflace </w:t>
      </w:r>
      <w:r w:rsidRPr="00711D57">
        <w:rPr>
          <w:b/>
        </w:rPr>
        <w:t>měla v roce 2016</w:t>
      </w:r>
      <w:r w:rsidRPr="00711D57">
        <w:t xml:space="preserve"> realizovaná </w:t>
      </w:r>
      <w:r w:rsidRPr="00711D57">
        <w:rPr>
          <w:b/>
        </w:rPr>
        <w:t>administrativní opatření, to platí také v oblasti regulovaných cen.</w:t>
      </w:r>
      <w:r w:rsidRPr="00711D57">
        <w:t xml:space="preserve"> Protiinflační příspěvek změn nepřímých daní byl ve všech čtvrtletích dán zejména </w:t>
      </w:r>
      <w:r w:rsidRPr="00711D57">
        <w:rPr>
          <w:b/>
        </w:rPr>
        <w:t>vlivem harmonizační úpravy spotřební daně z cigaret a tabáku</w:t>
      </w:r>
      <w:r w:rsidRPr="00711D57">
        <w:t xml:space="preserve"> z ledna 2016. V prosinci byl vývoj cen v oblasti stravování a ubytování ovlivněn snížením DPH pro restaurace a jiná stravovací zařízení. Regulované ceny se v prvním čtvrtletí 2016 vrátily k mírnému meziročnímu růstu danému zvýšením cen elektrické energie, vodného, stočného, tepla a cenami ve zdravotnictví. Snižování cen plynu způsobilo, že od května přešly regulované ceny po celý zbytek roku od růstu k poklesu.  </w:t>
      </w:r>
    </w:p>
    <w:p w:rsidR="00711D57" w:rsidRPr="00711D57" w:rsidRDefault="00711D57" w:rsidP="00711D57">
      <w:pPr>
        <w:ind w:left="851"/>
        <w:jc w:val="both"/>
        <w:rPr>
          <w:bCs/>
          <w:spacing w:val="-3"/>
        </w:rPr>
      </w:pPr>
    </w:p>
    <w:p w:rsidR="00711D57" w:rsidRPr="00711D57" w:rsidRDefault="00711D57" w:rsidP="00711D57">
      <w:pPr>
        <w:ind w:left="708"/>
        <w:jc w:val="both"/>
        <w:rPr>
          <w:bCs/>
          <w:spacing w:val="-3"/>
        </w:rPr>
      </w:pPr>
      <w:r w:rsidRPr="00711D57">
        <w:rPr>
          <w:b/>
          <w:bCs/>
          <w:spacing w:val="-3"/>
        </w:rPr>
        <w:t>Změny netržních cen,</w:t>
      </w:r>
      <w:r w:rsidRPr="00711D57">
        <w:rPr>
          <w:bCs/>
          <w:spacing w:val="-3"/>
        </w:rPr>
        <w:t xml:space="preserve"> realizované zejména v oblasti bydlení,</w:t>
      </w:r>
      <w:r w:rsidRPr="00711D57">
        <w:rPr>
          <w:b/>
          <w:bCs/>
          <w:spacing w:val="-3"/>
        </w:rPr>
        <w:t xml:space="preserve"> nebyly</w:t>
      </w:r>
      <w:r w:rsidRPr="00711D57">
        <w:rPr>
          <w:bCs/>
          <w:spacing w:val="-3"/>
        </w:rPr>
        <w:t xml:space="preserve"> v roce 2016 </w:t>
      </w:r>
      <w:r w:rsidRPr="00711D57">
        <w:rPr>
          <w:b/>
          <w:bCs/>
          <w:spacing w:val="-3"/>
        </w:rPr>
        <w:t>tak výrazné</w:t>
      </w:r>
      <w:r w:rsidRPr="00711D57">
        <w:rPr>
          <w:bCs/>
          <w:spacing w:val="-3"/>
        </w:rPr>
        <w:t xml:space="preserve"> </w:t>
      </w:r>
      <w:r w:rsidRPr="00711D57">
        <w:rPr>
          <w:b/>
          <w:bCs/>
          <w:spacing w:val="-3"/>
        </w:rPr>
        <w:t>jako o rok dříve,</w:t>
      </w:r>
      <w:r w:rsidRPr="00711D57">
        <w:rPr>
          <w:bCs/>
          <w:spacing w:val="-3"/>
        </w:rPr>
        <w:t xml:space="preserve"> kdy např. ceny zemního plynu domácnostem klesly v průměru o 4,7 % (o rok dříve to bylo +3,1 %). Naopak ceny elektřiny se zvýšily o 1,2 % (v roce 2015 poklesly o 0,4 %), podražilo </w:t>
      </w:r>
      <w:r w:rsidRPr="00711D57">
        <w:rPr>
          <w:bCs/>
          <w:spacing w:val="-3"/>
        </w:rPr>
        <w:lastRenderedPageBreak/>
        <w:t xml:space="preserve">i teplo, teplá voda, vodné a stočné. V průměru byly ceny ve skupině „bydlení, voda, energie, paliva“ </w:t>
      </w:r>
      <w:r w:rsidRPr="00711D57">
        <w:rPr>
          <w:b/>
          <w:bCs/>
          <w:spacing w:val="-3"/>
        </w:rPr>
        <w:t>meziročně vyšší</w:t>
      </w:r>
      <w:r w:rsidRPr="00711D57">
        <w:rPr>
          <w:bCs/>
          <w:spacing w:val="-3"/>
        </w:rPr>
        <w:t xml:space="preserve"> </w:t>
      </w:r>
      <w:r w:rsidRPr="00711D57">
        <w:rPr>
          <w:b/>
          <w:bCs/>
          <w:spacing w:val="-3"/>
        </w:rPr>
        <w:t>o</w:t>
      </w:r>
      <w:r w:rsidRPr="00711D57">
        <w:rPr>
          <w:bCs/>
          <w:spacing w:val="-3"/>
        </w:rPr>
        <w:t xml:space="preserve"> </w:t>
      </w:r>
      <w:r w:rsidRPr="00711D57">
        <w:rPr>
          <w:b/>
          <w:bCs/>
          <w:spacing w:val="-3"/>
        </w:rPr>
        <w:t>0,6 %.</w:t>
      </w:r>
    </w:p>
    <w:p w:rsidR="00711D57" w:rsidRPr="00711D57" w:rsidRDefault="00711D57" w:rsidP="00711D57">
      <w:pPr>
        <w:ind w:left="708"/>
        <w:jc w:val="both"/>
        <w:rPr>
          <w:rFonts w:cs="Arial"/>
          <w:szCs w:val="28"/>
        </w:rPr>
      </w:pPr>
    </w:p>
    <w:p w:rsidR="00711D57" w:rsidRPr="00711D57" w:rsidRDefault="00711D57" w:rsidP="00711D57">
      <w:pPr>
        <w:ind w:left="708"/>
        <w:jc w:val="both"/>
        <w:rPr>
          <w:rFonts w:cs="Arial"/>
          <w:szCs w:val="28"/>
        </w:rPr>
      </w:pPr>
      <w:r w:rsidRPr="00711D57">
        <w:rPr>
          <w:rFonts w:cs="Arial"/>
          <w:szCs w:val="28"/>
        </w:rPr>
        <w:t xml:space="preserve">Na </w:t>
      </w:r>
      <w:r w:rsidRPr="00711D57">
        <w:rPr>
          <w:rFonts w:cs="Arial"/>
          <w:b/>
          <w:szCs w:val="28"/>
        </w:rPr>
        <w:t>poklesu cen ve skupině potraviny a nealkoholické nápoje o 0,9 %</w:t>
      </w:r>
      <w:r w:rsidRPr="00711D57">
        <w:rPr>
          <w:rFonts w:cs="Arial"/>
          <w:szCs w:val="28"/>
        </w:rPr>
        <w:t xml:space="preserve"> </w:t>
      </w:r>
      <w:r w:rsidRPr="00711D57">
        <w:rPr>
          <w:rFonts w:cs="Arial"/>
          <w:b/>
          <w:szCs w:val="28"/>
        </w:rPr>
        <w:t>se</w:t>
      </w:r>
      <w:r w:rsidRPr="00711D57">
        <w:rPr>
          <w:rFonts w:cs="Arial"/>
          <w:szCs w:val="28"/>
        </w:rPr>
        <w:t xml:space="preserve"> </w:t>
      </w:r>
      <w:r w:rsidRPr="00711D57">
        <w:rPr>
          <w:rFonts w:cs="Arial"/>
          <w:b/>
          <w:szCs w:val="28"/>
        </w:rPr>
        <w:t>podílely</w:t>
      </w:r>
      <w:r w:rsidRPr="00711D57">
        <w:rPr>
          <w:rFonts w:cs="Arial"/>
          <w:szCs w:val="28"/>
        </w:rPr>
        <w:t xml:space="preserve"> nejvíce ceny </w:t>
      </w:r>
      <w:r w:rsidRPr="00711D57">
        <w:rPr>
          <w:rFonts w:cs="Arial"/>
          <w:b/>
          <w:szCs w:val="28"/>
        </w:rPr>
        <w:t>ovoce, masa, mléka, sýrů a vajec.</w:t>
      </w:r>
      <w:r w:rsidRPr="00711D57">
        <w:rPr>
          <w:rFonts w:cs="Arial"/>
          <w:szCs w:val="28"/>
        </w:rPr>
        <w:t xml:space="preserve"> </w:t>
      </w:r>
      <w:r w:rsidRPr="00711D57">
        <w:rPr>
          <w:rFonts w:cs="Arial"/>
          <w:b/>
          <w:szCs w:val="28"/>
        </w:rPr>
        <w:t>Vzrostly</w:t>
      </w:r>
      <w:r w:rsidRPr="00711D57">
        <w:rPr>
          <w:rFonts w:cs="Arial"/>
          <w:szCs w:val="28"/>
        </w:rPr>
        <w:t xml:space="preserve"> naopak </w:t>
      </w:r>
      <w:r w:rsidRPr="00711D57">
        <w:rPr>
          <w:rFonts w:cs="Arial"/>
          <w:b/>
          <w:szCs w:val="28"/>
        </w:rPr>
        <w:t>ceny zeleniny</w:t>
      </w:r>
      <w:r w:rsidRPr="00711D57">
        <w:rPr>
          <w:rFonts w:cs="Arial"/>
          <w:szCs w:val="28"/>
        </w:rPr>
        <w:t xml:space="preserve"> (zejména brambor). Ačkoliv ceny potravin působily po většinu minulého roku protiinflačně, tak v listopadu a prosinci již byl jejich vliv silně proinflační. </w:t>
      </w:r>
      <w:r w:rsidRPr="00711D57">
        <w:rPr>
          <w:rFonts w:cs="Arial"/>
          <w:b/>
          <w:szCs w:val="28"/>
        </w:rPr>
        <w:t>Celkově ceny zemědělské výroby</w:t>
      </w:r>
      <w:r w:rsidRPr="00711D57">
        <w:rPr>
          <w:rFonts w:cs="Arial"/>
          <w:szCs w:val="28"/>
        </w:rPr>
        <w:t xml:space="preserve"> po celý rok 2016 v meziročním srovnání </w:t>
      </w:r>
      <w:r w:rsidRPr="00711D57">
        <w:rPr>
          <w:rFonts w:cs="Arial"/>
          <w:b/>
          <w:szCs w:val="28"/>
        </w:rPr>
        <w:t>klesaly.</w:t>
      </w:r>
      <w:r w:rsidRPr="00711D57">
        <w:rPr>
          <w:rFonts w:cs="Arial"/>
          <w:szCs w:val="28"/>
        </w:rPr>
        <w:t xml:space="preserve"> To odpovídá, s výjimkou podzimu 2015, trendu z předcházejících dvou let. </w:t>
      </w:r>
      <w:r w:rsidRPr="00711D57">
        <w:rPr>
          <w:rFonts w:cs="Arial"/>
          <w:b/>
          <w:szCs w:val="28"/>
        </w:rPr>
        <w:t>Snižování cen nastalo v rostlinné i živočišné výrobě,</w:t>
      </w:r>
      <w:r w:rsidRPr="00711D57">
        <w:rPr>
          <w:rFonts w:cs="Arial"/>
          <w:szCs w:val="28"/>
        </w:rPr>
        <w:t xml:space="preserve"> ale dynamika byla v obou oblastech odlišná. Zatímco u rostlinné výroby ceny v prvním čtvrtletí minulého roku rostly a v dalších čtvrtletích postupně čím dál více klesaly, tak v oblasti živočišné výroby meziroční pokles cen v jednotlivých čtvrtletích zpomaloval.</w:t>
      </w:r>
    </w:p>
    <w:p w:rsidR="00711D57" w:rsidRDefault="00711D57" w:rsidP="00711D57">
      <w:pPr>
        <w:spacing w:line="360" w:lineRule="auto"/>
        <w:jc w:val="both"/>
        <w:rPr>
          <w:rFonts w:cs="Arial"/>
          <w:szCs w:val="28"/>
        </w:rPr>
      </w:pPr>
    </w:p>
    <w:p w:rsidR="00711D57" w:rsidRPr="00711D57" w:rsidRDefault="00711D57" w:rsidP="00711D57">
      <w:pPr>
        <w:spacing w:line="360" w:lineRule="auto"/>
        <w:jc w:val="both"/>
        <w:rPr>
          <w:bCs/>
        </w:rPr>
      </w:pPr>
      <w:r w:rsidRPr="00711D57">
        <w:rPr>
          <w:rFonts w:cs="Arial"/>
          <w:szCs w:val="28"/>
        </w:rPr>
        <w:tab/>
        <w:t xml:space="preserve">Oproti roku 2014, kdy životní náklady domácností důchodců klesaly (o 0,1 %), a roku 2015, ve kterém došlo k velmi nízkému růstu (o 0,1 %), se </w:t>
      </w:r>
      <w:r w:rsidRPr="00711D57">
        <w:rPr>
          <w:rFonts w:cs="Arial"/>
          <w:b/>
          <w:szCs w:val="28"/>
        </w:rPr>
        <w:t>meziročně index spotřebitelských cen domácností důchodců zvýšil o 0,6 %</w:t>
      </w:r>
      <w:r w:rsidRPr="00711D57">
        <w:rPr>
          <w:rFonts w:cs="Arial"/>
          <w:szCs w:val="28"/>
        </w:rPr>
        <w:t xml:space="preserve"> (tzn. o 0,1 p. b. </w:t>
      </w:r>
      <w:proofErr w:type="gramStart"/>
      <w:r w:rsidRPr="00711D57">
        <w:rPr>
          <w:rFonts w:cs="Arial"/>
          <w:szCs w:val="28"/>
        </w:rPr>
        <w:t>méně</w:t>
      </w:r>
      <w:proofErr w:type="gramEnd"/>
      <w:r w:rsidRPr="00711D57">
        <w:rPr>
          <w:rFonts w:cs="Arial"/>
          <w:szCs w:val="28"/>
        </w:rPr>
        <w:t xml:space="preserve"> než domácnostem v průměru). Při srovnání s celkovým indexem domácností se důchodcům více zvýšily náklady např. v oblastech „zdraví“, „odívaní a obuv“ a „alkoholické nápoje, tabák“.  Významná položka spotřebního koše „bydlení, voda, energie, paliva“ byla v souhrnu meziročně beze změny. </w:t>
      </w:r>
    </w:p>
    <w:p w:rsidR="00711D57" w:rsidRPr="00711D57" w:rsidRDefault="00711D57" w:rsidP="00711D57">
      <w:pPr>
        <w:spacing w:line="360" w:lineRule="auto"/>
        <w:jc w:val="both"/>
        <w:rPr>
          <w:bCs/>
        </w:rPr>
      </w:pPr>
    </w:p>
    <w:p w:rsidR="00711D57" w:rsidRPr="00711D57" w:rsidRDefault="00711D57" w:rsidP="00711D57">
      <w:pPr>
        <w:spacing w:line="360" w:lineRule="auto"/>
        <w:jc w:val="both"/>
        <w:rPr>
          <w:bCs/>
        </w:rPr>
      </w:pPr>
      <w:r w:rsidRPr="00711D57">
        <w:rPr>
          <w:bCs/>
        </w:rPr>
        <w:tab/>
      </w:r>
      <w:r w:rsidRPr="00711D57">
        <w:rPr>
          <w:b/>
          <w:bCs/>
        </w:rPr>
        <w:t>V hl. m. Praze</w:t>
      </w:r>
      <w:r w:rsidRPr="00711D57">
        <w:t xml:space="preserve"> činilo meziroční </w:t>
      </w:r>
      <w:r w:rsidRPr="00711D57">
        <w:rPr>
          <w:b/>
        </w:rPr>
        <w:t>navýšení životních nákladů</w:t>
      </w:r>
      <w:r w:rsidRPr="00711D57">
        <w:t xml:space="preserve"> domácností </w:t>
      </w:r>
      <w:r w:rsidRPr="00711D57">
        <w:rPr>
          <w:b/>
        </w:rPr>
        <w:t>0,7 </w:t>
      </w:r>
      <w:r w:rsidRPr="00711D57">
        <w:rPr>
          <w:b/>
          <w:bCs/>
        </w:rPr>
        <w:t xml:space="preserve">% </w:t>
      </w:r>
      <w:r w:rsidRPr="00711D57">
        <w:rPr>
          <w:bCs/>
        </w:rPr>
        <w:t xml:space="preserve">a bylo tak o 0,1 p. b. </w:t>
      </w:r>
      <w:proofErr w:type="gramStart"/>
      <w:r w:rsidRPr="00711D57">
        <w:rPr>
          <w:bCs/>
        </w:rPr>
        <w:t>vyšší</w:t>
      </w:r>
      <w:proofErr w:type="gramEnd"/>
      <w:r w:rsidRPr="00711D57">
        <w:rPr>
          <w:bCs/>
        </w:rPr>
        <w:t xml:space="preserve"> než v roce 2015.</w:t>
      </w:r>
      <w:r w:rsidRPr="00711D57">
        <w:rPr>
          <w:b/>
          <w:bCs/>
        </w:rPr>
        <w:t xml:space="preserve"> </w:t>
      </w:r>
      <w:r w:rsidRPr="00711D57">
        <w:rPr>
          <w:bCs/>
        </w:rPr>
        <w:t>Při poklesu cen potravin, nealkoholických nápojů a dopravy byl větší vzestup životních nákladů v této sociální skupině způsoben především vyšším nárůstem cen alkoholických nápojů, tabáku, odívání a obuvi, bydlení, vody, energií a paliv, zdraví, stravování a ubytování, vzdělávání a ostatního zboží a služeb (vyšší ceny finančních služeb, pojištění a ceny služeb osobní péče) – podrobnější data obsahují tabulky č. 22 a 23 v příloze.</w:t>
      </w:r>
    </w:p>
    <w:p w:rsidR="00711D57" w:rsidRPr="00711D57" w:rsidRDefault="00711D57" w:rsidP="00711D57">
      <w:pPr>
        <w:spacing w:line="360" w:lineRule="auto"/>
        <w:jc w:val="both"/>
        <w:rPr>
          <w:bCs/>
        </w:rPr>
      </w:pPr>
    </w:p>
    <w:p w:rsidR="00711D57" w:rsidRPr="00711D57" w:rsidRDefault="00711D57" w:rsidP="00711D57">
      <w:pPr>
        <w:ind w:left="705"/>
        <w:jc w:val="both"/>
      </w:pPr>
      <w:r w:rsidRPr="00711D57">
        <w:t xml:space="preserve">V Evropské unii meziročně stoupl harmonizovaný index spotřebitelských cen o 0,3 %, což bylo o 0,3 p. b. </w:t>
      </w:r>
      <w:proofErr w:type="gramStart"/>
      <w:r w:rsidRPr="00711D57">
        <w:t>více</w:t>
      </w:r>
      <w:proofErr w:type="gramEnd"/>
      <w:r w:rsidRPr="00711D57">
        <w:t xml:space="preserve"> než v roce 2015. Přesto došlo v průměru za celý rok 2016 k deflaci v deseti státech a nulovou změnu vykázaly tři státy. Ačkoliv již třetím rokem klesá míra nezaměstnanosti v EU, tak je tento indikátor (8,5 %) stále o 1,5 p. b. </w:t>
      </w:r>
      <w:proofErr w:type="gramStart"/>
      <w:r w:rsidRPr="00711D57">
        <w:t>vyšší</w:t>
      </w:r>
      <w:proofErr w:type="gramEnd"/>
      <w:r w:rsidRPr="00711D57">
        <w:t xml:space="preserve"> než byl v roce 2008, což v kombinaci s indexem spotřebitelských cen hluboko pod cílem centrálních bank značí, že se většina národních ekonomik nacházela pod svým potenciálním produktem. Kromě slabé agregované poptávky působily protiinflačně v první polovině minulého roku také klesající ceny pohonných hmot. V posledním čtvrtletí roku 2016 začaly v EU ceny, podobně jako v ČR, růst a prosincová inflace dosáhla 1,2 % – viz tabulku č. 24 v příloze.</w:t>
      </w:r>
    </w:p>
    <w:p w:rsidR="00280C42" w:rsidRPr="009C244C" w:rsidRDefault="00280C42" w:rsidP="00280C42">
      <w:pPr>
        <w:jc w:val="both"/>
        <w:rPr>
          <w:b/>
          <w:bCs/>
          <w:sz w:val="36"/>
        </w:rPr>
      </w:pPr>
      <w:r w:rsidRPr="009C244C">
        <w:rPr>
          <w:b/>
          <w:bCs/>
          <w:sz w:val="36"/>
        </w:rPr>
        <w:lastRenderedPageBreak/>
        <w:t>3. Peněžní výdaje, úvěry a úspory domácností</w:t>
      </w:r>
    </w:p>
    <w:p w:rsidR="00280C42" w:rsidRPr="00FE409A" w:rsidRDefault="00280C42" w:rsidP="00280C42">
      <w:pPr>
        <w:spacing w:line="360" w:lineRule="auto"/>
        <w:jc w:val="both"/>
        <w:rPr>
          <w:b/>
          <w:bCs/>
          <w:i/>
          <w:sz w:val="22"/>
          <w:szCs w:val="32"/>
        </w:rPr>
      </w:pPr>
    </w:p>
    <w:p w:rsidR="00280C42" w:rsidRPr="003E3577" w:rsidRDefault="00280C42" w:rsidP="00280C42">
      <w:pPr>
        <w:jc w:val="both"/>
        <w:rPr>
          <w:b/>
          <w:bCs/>
          <w:sz w:val="32"/>
          <w:szCs w:val="32"/>
        </w:rPr>
      </w:pPr>
      <w:r w:rsidRPr="003E3577">
        <w:rPr>
          <w:b/>
          <w:bCs/>
          <w:i/>
          <w:sz w:val="32"/>
          <w:szCs w:val="32"/>
        </w:rPr>
        <w:t xml:space="preserve">3. </w:t>
      </w:r>
      <w:r>
        <w:rPr>
          <w:b/>
          <w:bCs/>
          <w:i/>
          <w:sz w:val="32"/>
          <w:szCs w:val="32"/>
        </w:rPr>
        <w:t>1</w:t>
      </w:r>
      <w:r w:rsidRPr="003E3577">
        <w:rPr>
          <w:b/>
          <w:bCs/>
          <w:i/>
          <w:sz w:val="32"/>
          <w:szCs w:val="32"/>
        </w:rPr>
        <w:t xml:space="preserve"> Peněžní </w:t>
      </w:r>
      <w:r>
        <w:rPr>
          <w:b/>
          <w:bCs/>
          <w:i/>
          <w:sz w:val="32"/>
          <w:szCs w:val="32"/>
        </w:rPr>
        <w:t>výdaje</w:t>
      </w:r>
    </w:p>
    <w:p w:rsidR="00280C42" w:rsidRPr="00FE409A" w:rsidRDefault="00280C42" w:rsidP="00280C42">
      <w:pPr>
        <w:spacing w:line="360" w:lineRule="auto"/>
        <w:jc w:val="both"/>
        <w:rPr>
          <w:sz w:val="22"/>
        </w:rPr>
      </w:pPr>
    </w:p>
    <w:p w:rsidR="00280C42" w:rsidRPr="00046C94" w:rsidRDefault="00280C42" w:rsidP="00280C42">
      <w:pPr>
        <w:spacing w:line="360" w:lineRule="auto"/>
        <w:jc w:val="both"/>
      </w:pPr>
      <w:r w:rsidRPr="00ED557D">
        <w:tab/>
      </w:r>
      <w:r w:rsidRPr="00046C94">
        <w:t>Vzhledem ke stále mírnému zvyšování spotřebitelských cen (cenové inflace) a nízké nezaměstnanosti se příznivě projevil vyšší růst mezd na tržním chování domácností. Větší důvěra domácností v českou ekonomiku se ukázala na nominálních i reálných vydáních tohoto sektoru národního hospodářství, což potvrzují data ČSÚ vykázaná na makroúrovni – viz tabulku č.</w:t>
      </w:r>
      <w:r>
        <w:t> </w:t>
      </w:r>
      <w:r w:rsidRPr="00046C94">
        <w:t>1 v příloze.</w:t>
      </w:r>
    </w:p>
    <w:p w:rsidR="00280C42" w:rsidRPr="00046C94" w:rsidRDefault="00280C42" w:rsidP="00280C42">
      <w:pPr>
        <w:spacing w:line="360" w:lineRule="auto"/>
        <w:jc w:val="both"/>
      </w:pPr>
    </w:p>
    <w:p w:rsidR="00280C42" w:rsidRPr="00DF50DA" w:rsidRDefault="00280C42" w:rsidP="00280C42">
      <w:pPr>
        <w:spacing w:line="360" w:lineRule="auto"/>
        <w:jc w:val="both"/>
        <w:rPr>
          <w:b/>
        </w:rPr>
      </w:pPr>
      <w:r w:rsidRPr="00046C94">
        <w:tab/>
      </w:r>
      <w:r w:rsidRPr="00DF50DA">
        <w:rPr>
          <w:b/>
        </w:rPr>
        <w:t>Ve výdajích domácností</w:t>
      </w:r>
      <w:r w:rsidRPr="00DF50DA">
        <w:t xml:space="preserve"> se projevily zejména tyto </w:t>
      </w:r>
      <w:r w:rsidRPr="00DF50DA">
        <w:rPr>
          <w:b/>
        </w:rPr>
        <w:t>hlavní tendence:</w:t>
      </w:r>
    </w:p>
    <w:p w:rsidR="00280C42" w:rsidRPr="00DF50DA" w:rsidRDefault="00280C42" w:rsidP="00280C42">
      <w:pPr>
        <w:spacing w:line="360" w:lineRule="auto"/>
        <w:jc w:val="both"/>
      </w:pPr>
    </w:p>
    <w:p w:rsidR="00280C42" w:rsidRPr="00DF50DA" w:rsidRDefault="00280C42" w:rsidP="00280C42">
      <w:pPr>
        <w:numPr>
          <w:ilvl w:val="0"/>
          <w:numId w:val="11"/>
        </w:numPr>
        <w:spacing w:line="360" w:lineRule="auto"/>
        <w:jc w:val="both"/>
        <w:rPr>
          <w:b/>
          <w:bCs/>
        </w:rPr>
      </w:pPr>
      <w:r w:rsidRPr="00DF50DA">
        <w:rPr>
          <w:b/>
          <w:bCs/>
        </w:rPr>
        <w:t xml:space="preserve">2 184,0 mld. Kč vynaložil sektor domácností na výdaje spojené s individuální spotřebou </w:t>
      </w:r>
      <w:r w:rsidRPr="00DF50DA">
        <w:t xml:space="preserve">(bylo to o 3,5 % více než o rok dříve); </w:t>
      </w:r>
      <w:r w:rsidRPr="00DF50DA">
        <w:rPr>
          <w:b/>
          <w:bCs/>
        </w:rPr>
        <w:t>domácnosti</w:t>
      </w:r>
      <w:r w:rsidRPr="00DF50DA">
        <w:t xml:space="preserve"> tak – po zohlednění cenové inflace – </w:t>
      </w:r>
      <w:r w:rsidRPr="00DF50DA">
        <w:rPr>
          <w:b/>
          <w:bCs/>
        </w:rPr>
        <w:t>nakoupily zboží a služeb</w:t>
      </w:r>
      <w:r w:rsidRPr="00DF50DA">
        <w:t xml:space="preserve"> nominálně o 74,5 mld. Kč </w:t>
      </w:r>
      <w:r w:rsidRPr="00DF50DA">
        <w:rPr>
          <w:b/>
          <w:bCs/>
        </w:rPr>
        <w:t>více,</w:t>
      </w:r>
      <w:r w:rsidRPr="00DF50DA">
        <w:t xml:space="preserve"> </w:t>
      </w:r>
      <w:r w:rsidRPr="00DF50DA">
        <w:rPr>
          <w:b/>
          <w:bCs/>
        </w:rPr>
        <w:t>reálně</w:t>
      </w:r>
      <w:r w:rsidRPr="00DF50DA">
        <w:t xml:space="preserve"> to bylo o cca 59,3 mld. Kč (o cca 2,8 %) více než před rokem,</w:t>
      </w:r>
    </w:p>
    <w:p w:rsidR="00280C42" w:rsidRPr="00DF50DA" w:rsidRDefault="00280C42" w:rsidP="00280C42">
      <w:pPr>
        <w:spacing w:line="360" w:lineRule="auto"/>
        <w:ind w:left="720"/>
        <w:jc w:val="both"/>
        <w:rPr>
          <w:b/>
          <w:bCs/>
        </w:rPr>
      </w:pPr>
    </w:p>
    <w:p w:rsidR="00280C42" w:rsidRPr="00DF50DA" w:rsidRDefault="00280C42" w:rsidP="00280C42">
      <w:pPr>
        <w:pStyle w:val="Odstavecseseznamem"/>
        <w:numPr>
          <w:ilvl w:val="0"/>
          <w:numId w:val="11"/>
        </w:numPr>
        <w:spacing w:after="0" w:line="360" w:lineRule="auto"/>
        <w:contextualSpacing w:val="0"/>
        <w:jc w:val="both"/>
        <w:rPr>
          <w:rFonts w:ascii="Arial" w:hAnsi="Arial" w:cs="Arial"/>
          <w:sz w:val="24"/>
        </w:rPr>
      </w:pPr>
      <w:r w:rsidRPr="00DF50DA">
        <w:rPr>
          <w:rFonts w:ascii="Arial" w:hAnsi="Arial" w:cs="Arial"/>
          <w:bCs/>
          <w:sz w:val="24"/>
        </w:rPr>
        <w:t>na základě údajů ČSÚ ze čtvrtletních sektorových účtů byla v roce 2016 nominální</w:t>
      </w:r>
      <w:r w:rsidRPr="00DF50DA">
        <w:rPr>
          <w:rFonts w:ascii="Arial" w:hAnsi="Arial" w:cs="Arial"/>
          <w:b/>
          <w:bCs/>
          <w:sz w:val="24"/>
        </w:rPr>
        <w:t xml:space="preserve"> průměrná měsíční spotřeba domácností </w:t>
      </w:r>
      <w:r w:rsidRPr="00DF50DA">
        <w:rPr>
          <w:rFonts w:ascii="Arial" w:hAnsi="Arial" w:cs="Arial"/>
          <w:bCs/>
          <w:sz w:val="24"/>
        </w:rPr>
        <w:t xml:space="preserve">na obyvatele </w:t>
      </w:r>
      <w:r w:rsidRPr="00DF50DA">
        <w:rPr>
          <w:rFonts w:ascii="Arial" w:hAnsi="Arial" w:cs="Arial"/>
          <w:b/>
          <w:bCs/>
          <w:sz w:val="24"/>
        </w:rPr>
        <w:t xml:space="preserve">21 295 Kč. Reálně </w:t>
      </w:r>
      <w:r w:rsidRPr="00DF50DA">
        <w:rPr>
          <w:rFonts w:ascii="Arial" w:hAnsi="Arial" w:cs="Arial"/>
          <w:bCs/>
          <w:sz w:val="24"/>
        </w:rPr>
        <w:t>rostla</w:t>
      </w:r>
      <w:r w:rsidRPr="00DF50DA">
        <w:rPr>
          <w:rFonts w:ascii="Arial" w:hAnsi="Arial" w:cs="Arial"/>
          <w:b/>
          <w:bCs/>
          <w:sz w:val="24"/>
        </w:rPr>
        <w:t xml:space="preserve"> spotřeba domácností </w:t>
      </w:r>
      <w:r w:rsidRPr="00DF50DA">
        <w:rPr>
          <w:rFonts w:ascii="Arial" w:hAnsi="Arial" w:cs="Arial"/>
          <w:bCs/>
          <w:sz w:val="24"/>
        </w:rPr>
        <w:t>mírně</w:t>
      </w:r>
      <w:r w:rsidRPr="00DF50DA">
        <w:rPr>
          <w:rFonts w:ascii="Arial" w:hAnsi="Arial" w:cs="Arial"/>
          <w:b/>
          <w:bCs/>
          <w:sz w:val="24"/>
        </w:rPr>
        <w:t xml:space="preserve"> </w:t>
      </w:r>
      <w:r w:rsidRPr="00DF50DA">
        <w:rPr>
          <w:rFonts w:ascii="Arial" w:hAnsi="Arial" w:cs="Arial"/>
          <w:bCs/>
          <w:sz w:val="24"/>
        </w:rPr>
        <w:t xml:space="preserve">pomalejším tempem než reálné příjmy (viz kapitolu 1) a meziročně </w:t>
      </w:r>
      <w:r w:rsidRPr="00DF50DA">
        <w:rPr>
          <w:rFonts w:ascii="Arial" w:hAnsi="Arial" w:cs="Arial"/>
          <w:b/>
          <w:bCs/>
          <w:sz w:val="24"/>
        </w:rPr>
        <w:t>dosáhla růstu 2,7 %,</w:t>
      </w:r>
    </w:p>
    <w:p w:rsidR="00280C42" w:rsidRPr="009753E9" w:rsidRDefault="00280C42" w:rsidP="00280C42">
      <w:pPr>
        <w:pStyle w:val="Odstavecseseznamem"/>
        <w:spacing w:after="0" w:line="360" w:lineRule="auto"/>
        <w:contextualSpacing w:val="0"/>
        <w:jc w:val="both"/>
        <w:rPr>
          <w:rFonts w:ascii="Arial" w:hAnsi="Arial" w:cs="Arial"/>
          <w:sz w:val="24"/>
        </w:rPr>
      </w:pPr>
    </w:p>
    <w:p w:rsidR="00280C42" w:rsidRPr="00046C94" w:rsidRDefault="00280C42" w:rsidP="00280C42">
      <w:pPr>
        <w:pStyle w:val="Odstavecseseznamem"/>
        <w:numPr>
          <w:ilvl w:val="0"/>
          <w:numId w:val="11"/>
        </w:numPr>
        <w:spacing w:after="0" w:line="360" w:lineRule="auto"/>
        <w:contextualSpacing w:val="0"/>
        <w:jc w:val="both"/>
        <w:rPr>
          <w:rFonts w:ascii="Arial" w:hAnsi="Arial" w:cs="Arial"/>
          <w:sz w:val="24"/>
        </w:rPr>
      </w:pPr>
      <w:r w:rsidRPr="00046C94">
        <w:rPr>
          <w:rFonts w:ascii="Arial" w:hAnsi="Arial" w:cs="Arial"/>
          <w:b/>
          <w:bCs/>
          <w:sz w:val="24"/>
        </w:rPr>
        <w:t xml:space="preserve">Míra investic </w:t>
      </w:r>
      <w:r>
        <w:rPr>
          <w:rFonts w:ascii="Arial" w:hAnsi="Arial" w:cs="Arial"/>
          <w:b/>
          <w:bCs/>
          <w:sz w:val="24"/>
        </w:rPr>
        <w:t xml:space="preserve">domácností </w:t>
      </w:r>
      <w:r w:rsidRPr="00046C94">
        <w:rPr>
          <w:rFonts w:ascii="Arial" w:hAnsi="Arial" w:cs="Arial"/>
          <w:bCs/>
          <w:sz w:val="24"/>
        </w:rPr>
        <w:t>(jako podíl k</w:t>
      </w:r>
      <w:r>
        <w:rPr>
          <w:rFonts w:ascii="Arial" w:hAnsi="Arial" w:cs="Arial"/>
          <w:bCs/>
          <w:sz w:val="24"/>
        </w:rPr>
        <w:t xml:space="preserve"> </w:t>
      </w:r>
      <w:r w:rsidRPr="00046C94">
        <w:rPr>
          <w:rFonts w:ascii="Arial" w:hAnsi="Arial" w:cs="Arial"/>
          <w:bCs/>
          <w:sz w:val="24"/>
        </w:rPr>
        <w:t xml:space="preserve">hrubé přidané hodnotě) </w:t>
      </w:r>
      <w:r w:rsidRPr="00046C94">
        <w:rPr>
          <w:rFonts w:ascii="Arial" w:hAnsi="Arial" w:cs="Arial"/>
          <w:b/>
          <w:bCs/>
          <w:sz w:val="24"/>
        </w:rPr>
        <w:t>činila 9,0 %</w:t>
      </w:r>
      <w:r w:rsidRPr="00046C94">
        <w:rPr>
          <w:rFonts w:ascii="Arial" w:hAnsi="Arial" w:cs="Arial"/>
          <w:b/>
          <w:sz w:val="24"/>
        </w:rPr>
        <w:t>,</w:t>
      </w:r>
      <w:r w:rsidRPr="00046C94">
        <w:rPr>
          <w:rFonts w:ascii="Arial" w:hAnsi="Arial" w:cs="Arial"/>
          <w:sz w:val="24"/>
        </w:rPr>
        <w:t xml:space="preserve"> což je stejně jak</w:t>
      </w:r>
      <w:r>
        <w:rPr>
          <w:rFonts w:ascii="Arial" w:hAnsi="Arial" w:cs="Arial"/>
          <w:sz w:val="24"/>
        </w:rPr>
        <w:t xml:space="preserve">o průměr za rok 2015. Dynamika </w:t>
      </w:r>
      <w:r w:rsidRPr="00046C94">
        <w:rPr>
          <w:rFonts w:ascii="Arial" w:hAnsi="Arial" w:cs="Arial"/>
          <w:sz w:val="24"/>
        </w:rPr>
        <w:t xml:space="preserve">tohoto ukazatele nebyla v minulém roce </w:t>
      </w:r>
      <w:r>
        <w:rPr>
          <w:rFonts w:ascii="Arial" w:hAnsi="Arial" w:cs="Arial"/>
          <w:sz w:val="24"/>
        </w:rPr>
        <w:t>rovno</w:t>
      </w:r>
      <w:r w:rsidRPr="00046C94">
        <w:rPr>
          <w:rFonts w:ascii="Arial" w:hAnsi="Arial" w:cs="Arial"/>
          <w:sz w:val="24"/>
        </w:rPr>
        <w:t>měrná a ve 4.</w:t>
      </w:r>
      <w:r>
        <w:rPr>
          <w:rFonts w:ascii="Arial" w:hAnsi="Arial" w:cs="Arial"/>
          <w:sz w:val="24"/>
        </w:rPr>
        <w:t> </w:t>
      </w:r>
      <w:r w:rsidRPr="00046C94">
        <w:rPr>
          <w:rFonts w:ascii="Arial" w:hAnsi="Arial" w:cs="Arial"/>
          <w:sz w:val="24"/>
        </w:rPr>
        <w:t>čtvrtletí investice domácností vzrostly na 10,3 %, což souviselo s</w:t>
      </w:r>
      <w:r>
        <w:rPr>
          <w:rFonts w:ascii="Arial" w:hAnsi="Arial" w:cs="Arial"/>
          <w:sz w:val="24"/>
        </w:rPr>
        <w:t xml:space="preserve"> </w:t>
      </w:r>
      <w:r w:rsidRPr="00046C94">
        <w:rPr>
          <w:rFonts w:ascii="Arial" w:hAnsi="Arial" w:cs="Arial"/>
          <w:sz w:val="24"/>
        </w:rPr>
        <w:t>rostoucími investičními výdaji na pořízení bydlení.</w:t>
      </w:r>
    </w:p>
    <w:p w:rsidR="00280C42" w:rsidRPr="00046C94" w:rsidRDefault="00280C42" w:rsidP="00280C42">
      <w:pPr>
        <w:tabs>
          <w:tab w:val="left" w:pos="3969"/>
        </w:tabs>
        <w:spacing w:line="360" w:lineRule="auto"/>
        <w:ind w:left="720"/>
        <w:jc w:val="both"/>
      </w:pPr>
    </w:p>
    <w:p w:rsidR="00280C42" w:rsidRPr="00046C94" w:rsidRDefault="00280C42" w:rsidP="00280C42">
      <w:pPr>
        <w:spacing w:after="120" w:line="360" w:lineRule="auto"/>
        <w:jc w:val="both"/>
      </w:pPr>
      <w:r w:rsidRPr="00046C94">
        <w:tab/>
        <w:t xml:space="preserve">V roce 2016 </w:t>
      </w:r>
      <w:r w:rsidRPr="00046C94">
        <w:rPr>
          <w:b/>
        </w:rPr>
        <w:t xml:space="preserve">vzrostly tržby v maloobchodě </w:t>
      </w:r>
      <w:r w:rsidRPr="00046C94">
        <w:t xml:space="preserve">bez segmentu motorových vozidel </w:t>
      </w:r>
      <w:r w:rsidRPr="00046C94">
        <w:rPr>
          <w:b/>
        </w:rPr>
        <w:t>meziročně reálně o 5,6 %,</w:t>
      </w:r>
      <w:r w:rsidRPr="00046C94">
        <w:t xml:space="preserve"> v oblasti prodeje a opravy motorových vozidel došlo k meziročnímu růstu dokonce o 8,0 %. </w:t>
      </w:r>
      <w:r w:rsidRPr="00046C94">
        <w:rPr>
          <w:b/>
        </w:rPr>
        <w:t>Vyšší tržby</w:t>
      </w:r>
      <w:r w:rsidRPr="00046C94">
        <w:t xml:space="preserve"> byly vykázány </w:t>
      </w:r>
      <w:r w:rsidRPr="00046C94">
        <w:rPr>
          <w:b/>
        </w:rPr>
        <w:t>ve většině výdajových skupin,</w:t>
      </w:r>
      <w:r w:rsidRPr="00046C94">
        <w:t xml:space="preserve"> zejména v internetových a zásilkových službách (nárůst o 21,9 %).</w:t>
      </w:r>
    </w:p>
    <w:p w:rsidR="00280C42" w:rsidRPr="00D071B2" w:rsidRDefault="00280C42" w:rsidP="00280C42">
      <w:pPr>
        <w:spacing w:after="120" w:line="360" w:lineRule="auto"/>
        <w:jc w:val="both"/>
      </w:pPr>
    </w:p>
    <w:p w:rsidR="00280C42" w:rsidRPr="002B1C93" w:rsidRDefault="00280C42" w:rsidP="00280C42">
      <w:pPr>
        <w:spacing w:line="360" w:lineRule="auto"/>
        <w:jc w:val="both"/>
        <w:rPr>
          <w:b/>
          <w:bCs/>
          <w:sz w:val="32"/>
          <w:szCs w:val="32"/>
        </w:rPr>
      </w:pPr>
      <w:r w:rsidRPr="002B1C93">
        <w:rPr>
          <w:b/>
          <w:bCs/>
          <w:i/>
          <w:sz w:val="32"/>
          <w:szCs w:val="32"/>
        </w:rPr>
        <w:lastRenderedPageBreak/>
        <w:t>3. 2 Peněžní úvěry, půjčky</w:t>
      </w:r>
    </w:p>
    <w:p w:rsidR="00280C42" w:rsidRPr="002B1C93" w:rsidRDefault="00280C42" w:rsidP="00280C42">
      <w:pPr>
        <w:spacing w:line="360" w:lineRule="auto"/>
        <w:jc w:val="both"/>
        <w:rPr>
          <w:rFonts w:cs="Arial"/>
          <w:szCs w:val="28"/>
        </w:rPr>
      </w:pPr>
    </w:p>
    <w:p w:rsidR="00280C42" w:rsidRPr="002B1C93" w:rsidRDefault="00280C42" w:rsidP="00280C42">
      <w:pPr>
        <w:spacing w:after="120" w:line="360" w:lineRule="auto"/>
        <w:jc w:val="both"/>
      </w:pPr>
      <w:r w:rsidRPr="002B1C93">
        <w:rPr>
          <w:rFonts w:cs="Arial"/>
          <w:szCs w:val="28"/>
        </w:rPr>
        <w:tab/>
      </w:r>
      <w:r w:rsidRPr="002B1C93">
        <w:rPr>
          <w:bCs/>
        </w:rPr>
        <w:t>P</w:t>
      </w:r>
      <w:r w:rsidRPr="002B1C93">
        <w:t>odle údajů ČNB činil ke konci roku</w:t>
      </w:r>
      <w:r w:rsidRPr="002B1C93">
        <w:rPr>
          <w:b/>
          <w:bCs/>
        </w:rPr>
        <w:t xml:space="preserve"> </w:t>
      </w:r>
      <w:r w:rsidRPr="002B1C93">
        <w:rPr>
          <w:bCs/>
        </w:rPr>
        <w:t>2016</w:t>
      </w:r>
      <w:r w:rsidRPr="002B1C93">
        <w:rPr>
          <w:b/>
          <w:bCs/>
        </w:rPr>
        <w:t xml:space="preserve"> úhrnný objem půjček domácností </w:t>
      </w:r>
      <w:r w:rsidRPr="002B1C93">
        <w:t xml:space="preserve">evidovaných u peněžních ústavů </w:t>
      </w:r>
      <w:r w:rsidRPr="002B1C93">
        <w:rPr>
          <w:b/>
        </w:rPr>
        <w:t>1 419,4 </w:t>
      </w:r>
      <w:r w:rsidRPr="002B1C93">
        <w:rPr>
          <w:b/>
          <w:bCs/>
        </w:rPr>
        <w:t>mld. Kč,</w:t>
      </w:r>
      <w:r w:rsidRPr="002B1C93">
        <w:t xml:space="preserve"> </w:t>
      </w:r>
      <w:r w:rsidRPr="002B1C93">
        <w:rPr>
          <w:b/>
          <w:bCs/>
        </w:rPr>
        <w:t>což bylo</w:t>
      </w:r>
      <w:r w:rsidRPr="002B1C93">
        <w:t xml:space="preserve"> </w:t>
      </w:r>
      <w:r w:rsidRPr="002B1C93">
        <w:rPr>
          <w:b/>
          <w:bCs/>
        </w:rPr>
        <w:t>o 95,7 mld. Kč více než k 31. 12.</w:t>
      </w:r>
      <w:r>
        <w:rPr>
          <w:b/>
          <w:bCs/>
        </w:rPr>
        <w:t> </w:t>
      </w:r>
      <w:r w:rsidRPr="002B1C93">
        <w:rPr>
          <w:b/>
          <w:bCs/>
        </w:rPr>
        <w:t>2015</w:t>
      </w:r>
      <w:r w:rsidRPr="002B1C93">
        <w:t xml:space="preserve"> (kdy ve stejném srovnání představoval tento přírůstek 93,3 mld. Kč) – viz </w:t>
      </w:r>
      <w:r w:rsidRPr="002B1C93">
        <w:rPr>
          <w:bCs/>
        </w:rPr>
        <w:t>tabulku č. 25 v příloze</w:t>
      </w:r>
      <w:r w:rsidRPr="002B1C93">
        <w:t>. Mezičtvrtletní dynamika růstu úvěrování českých domácností byla velmi podobná jako v roce 2015, ale nedosahovala úrovní běžných před rokem 2008. Změna však nastala v</w:t>
      </w:r>
      <w:r>
        <w:t xml:space="preserve"> </w:t>
      </w:r>
      <w:r w:rsidRPr="002B1C93">
        <w:t>míře růstu spotřebních úvěrů domácnostem, které ale díky svému malému objemu neovlivňují celkové množství úvěrů tak výrazně, jako úvěry na bydlení. Za posledních 12</w:t>
      </w:r>
      <w:r>
        <w:t xml:space="preserve"> </w:t>
      </w:r>
      <w:r w:rsidRPr="002B1C93">
        <w:t xml:space="preserve">let vzrostly úvěry domácnostem nejvíce v posledním čtvrtletí roku 2005 a 2007 (v obou případech o 9,7 % </w:t>
      </w:r>
      <w:proofErr w:type="spellStart"/>
      <w:r w:rsidRPr="002B1C93">
        <w:t>mezičtvrtletně</w:t>
      </w:r>
      <w:proofErr w:type="spellEnd"/>
      <w:r w:rsidRPr="002B1C93">
        <w:t>) – viz následující graf.</w:t>
      </w:r>
    </w:p>
    <w:p w:rsidR="00280C42" w:rsidRPr="002B1C93" w:rsidRDefault="00280C42" w:rsidP="00280C42">
      <w:pPr>
        <w:spacing w:after="120" w:line="360" w:lineRule="auto"/>
        <w:jc w:val="both"/>
      </w:pPr>
    </w:p>
    <w:p w:rsidR="00280C42" w:rsidRPr="00D1084B" w:rsidRDefault="00280C42" w:rsidP="00280C42">
      <w:pPr>
        <w:spacing w:after="120"/>
        <w:jc w:val="both"/>
        <w:rPr>
          <w:b/>
          <w:bCs/>
          <w:color w:val="FF0000"/>
        </w:rPr>
      </w:pPr>
      <w:r>
        <w:rPr>
          <w:b/>
          <w:bCs/>
          <w:noProof/>
          <w:color w:val="FF0000"/>
        </w:rPr>
        <w:drawing>
          <wp:inline distT="0" distB="0" distL="0" distR="0" wp14:anchorId="61A2C559" wp14:editId="3C79E1C4">
            <wp:extent cx="5876472" cy="337185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79403" cy="3373532"/>
                    </a:xfrm>
                    <a:prstGeom prst="rect">
                      <a:avLst/>
                    </a:prstGeom>
                    <a:noFill/>
                  </pic:spPr>
                </pic:pic>
              </a:graphicData>
            </a:graphic>
          </wp:inline>
        </w:drawing>
      </w:r>
    </w:p>
    <w:p w:rsidR="00280C42" w:rsidRPr="002B1C93" w:rsidRDefault="00280C42" w:rsidP="00280C42">
      <w:pPr>
        <w:spacing w:after="120"/>
        <w:rPr>
          <w:sz w:val="20"/>
        </w:rPr>
      </w:pPr>
      <w:r w:rsidRPr="002B1C93">
        <w:rPr>
          <w:sz w:val="20"/>
        </w:rPr>
        <w:t>Zpracováno z dat ČNB</w:t>
      </w:r>
    </w:p>
    <w:p w:rsidR="00280C42" w:rsidRPr="002B1C93" w:rsidRDefault="00280C42" w:rsidP="00280C42">
      <w:pPr>
        <w:spacing w:after="120"/>
        <w:jc w:val="both"/>
        <w:rPr>
          <w:bCs/>
          <w:sz w:val="20"/>
        </w:rPr>
      </w:pPr>
      <w:r w:rsidRPr="002B1C93">
        <w:rPr>
          <w:bCs/>
          <w:sz w:val="20"/>
        </w:rPr>
        <w:t>* Definována jako mezičtvrtletní pokles sezónně očištěného reálného HDP v alespoň dvou po sobě následujících čtvrtletích.</w:t>
      </w:r>
    </w:p>
    <w:p w:rsidR="00280C42" w:rsidRPr="002B1C93" w:rsidRDefault="00280C42" w:rsidP="00280C42">
      <w:pPr>
        <w:spacing w:after="120"/>
        <w:jc w:val="both"/>
        <w:rPr>
          <w:b/>
          <w:bCs/>
        </w:rPr>
      </w:pPr>
      <w:r w:rsidRPr="002B1C93">
        <w:rPr>
          <w:bCs/>
          <w:sz w:val="20"/>
        </w:rPr>
        <w:t>Pozn. Ve druhém čtvrtletí 2015 došlo k jednorázovému zvýšení bilanční sumy bank a spotřební úvěry obyvatelstvu se zvýšily o 18 mld. Kč. Graf je o tuto změnu očištěn.</w:t>
      </w:r>
      <w:r w:rsidRPr="002B1C93">
        <w:rPr>
          <w:sz w:val="20"/>
        </w:rPr>
        <w:t xml:space="preserve"> </w:t>
      </w:r>
    </w:p>
    <w:p w:rsidR="00280C42" w:rsidRPr="002B1C93" w:rsidRDefault="00280C42" w:rsidP="00280C42">
      <w:pPr>
        <w:spacing w:line="360" w:lineRule="auto"/>
        <w:jc w:val="both"/>
        <w:rPr>
          <w:b/>
          <w:bCs/>
        </w:rPr>
      </w:pPr>
      <w:r w:rsidRPr="002B1C93">
        <w:rPr>
          <w:b/>
          <w:bCs/>
        </w:rPr>
        <w:tab/>
      </w:r>
    </w:p>
    <w:p w:rsidR="00280C42" w:rsidRPr="002B1C93" w:rsidRDefault="00280C42" w:rsidP="00280C42">
      <w:pPr>
        <w:spacing w:after="200" w:line="276" w:lineRule="auto"/>
        <w:rPr>
          <w:b/>
          <w:bCs/>
        </w:rPr>
      </w:pPr>
      <w:r w:rsidRPr="002B1C93">
        <w:rPr>
          <w:b/>
          <w:bCs/>
        </w:rPr>
        <w:br w:type="page"/>
      </w:r>
    </w:p>
    <w:p w:rsidR="00280C42" w:rsidRPr="002B1C93" w:rsidRDefault="00280C42" w:rsidP="00280C42">
      <w:pPr>
        <w:spacing w:line="360" w:lineRule="auto"/>
        <w:ind w:firstLine="708"/>
        <w:jc w:val="both"/>
        <w:rPr>
          <w:b/>
          <w:bCs/>
        </w:rPr>
      </w:pPr>
      <w:r w:rsidRPr="00354D27">
        <w:rPr>
          <w:b/>
          <w:bCs/>
        </w:rPr>
        <w:lastRenderedPageBreak/>
        <w:t>Rozhodující část</w:t>
      </w:r>
      <w:r w:rsidRPr="00354D27">
        <w:t xml:space="preserve"> meziročního </w:t>
      </w:r>
      <w:r w:rsidRPr="00354D27">
        <w:rPr>
          <w:b/>
          <w:bCs/>
        </w:rPr>
        <w:t xml:space="preserve">vzestupu celkového objemu </w:t>
      </w:r>
      <w:r w:rsidRPr="00354D27">
        <w:t xml:space="preserve">bankovních peněžních </w:t>
      </w:r>
      <w:r w:rsidRPr="00354D27">
        <w:rPr>
          <w:b/>
          <w:bCs/>
        </w:rPr>
        <w:t>půjček</w:t>
      </w:r>
      <w:r w:rsidRPr="00354D27">
        <w:t xml:space="preserve"> </w:t>
      </w:r>
      <w:r w:rsidRPr="00354D27">
        <w:rPr>
          <w:b/>
          <w:bCs/>
        </w:rPr>
        <w:t xml:space="preserve">představovaly, stejně jako v předcházejícím roce, </w:t>
      </w:r>
      <w:r w:rsidRPr="00354D27">
        <w:t>hypoteční a jiné</w:t>
      </w:r>
      <w:r w:rsidRPr="00354D27">
        <w:rPr>
          <w:b/>
          <w:bCs/>
        </w:rPr>
        <w:t xml:space="preserve"> úvěry na bydlení </w:t>
      </w:r>
      <w:r w:rsidRPr="00354D27">
        <w:rPr>
          <w:bCs/>
        </w:rPr>
        <w:t>(1 053,3 mld. Kč),</w:t>
      </w:r>
      <w:r w:rsidRPr="00354D27">
        <w:t xml:space="preserve"> z toho </w:t>
      </w:r>
      <w:r w:rsidRPr="00354D27">
        <w:rPr>
          <w:b/>
          <w:bCs/>
        </w:rPr>
        <w:t xml:space="preserve">objem hypotečních úvěrů vzrostl o 77,1 mld. Kč </w:t>
      </w:r>
      <w:r w:rsidRPr="00354D27">
        <w:rPr>
          <w:bCs/>
        </w:rPr>
        <w:t>(na 944,1 mld. Kč). Zde se započítává i refinancování dříve uzavřených smluv.</w:t>
      </w:r>
      <w:r w:rsidRPr="00354D27">
        <w:t xml:space="preserve"> </w:t>
      </w:r>
      <w:r w:rsidRPr="00182D3C">
        <w:t xml:space="preserve">Celkový </w:t>
      </w:r>
      <w:r w:rsidRPr="00182D3C">
        <w:rPr>
          <w:b/>
          <w:bCs/>
        </w:rPr>
        <w:t>objem</w:t>
      </w:r>
      <w:r w:rsidRPr="00182D3C">
        <w:t xml:space="preserve"> </w:t>
      </w:r>
      <w:r w:rsidRPr="00182D3C">
        <w:rPr>
          <w:b/>
        </w:rPr>
        <w:t>spotřebních</w:t>
      </w:r>
      <w:r w:rsidRPr="00182D3C">
        <w:rPr>
          <w:b/>
          <w:bCs/>
        </w:rPr>
        <w:t xml:space="preserve"> úvěrů obyvatelstvu, </w:t>
      </w:r>
      <w:r w:rsidRPr="00182D3C">
        <w:rPr>
          <w:bCs/>
        </w:rPr>
        <w:t>po mírném poklesu v roce 2014 (o 1,1 mld. Kč) a růstu v roce 2015 (o 17,2 mld. Kč),</w:t>
      </w:r>
      <w:r w:rsidRPr="00182D3C">
        <w:rPr>
          <w:b/>
          <w:bCs/>
        </w:rPr>
        <w:t xml:space="preserve"> v minulém roce vzrostl o 9,5 mld. Kč. </w:t>
      </w:r>
      <w:r w:rsidRPr="00182D3C">
        <w:rPr>
          <w:bCs/>
        </w:rPr>
        <w:t>V</w:t>
      </w:r>
      <w:r>
        <w:rPr>
          <w:bCs/>
        </w:rPr>
        <w:t xml:space="preserve"> </w:t>
      </w:r>
      <w:r w:rsidRPr="00182D3C">
        <w:rPr>
          <w:bCs/>
        </w:rPr>
        <w:t>roce 2015 ale došlo</w:t>
      </w:r>
      <w:r w:rsidRPr="00182D3C">
        <w:rPr>
          <w:b/>
          <w:bCs/>
        </w:rPr>
        <w:t xml:space="preserve"> </w:t>
      </w:r>
      <w:r w:rsidRPr="00182D3C">
        <w:rPr>
          <w:bCs/>
        </w:rPr>
        <w:t>k fúzi pobočky zahraniční banky s nebankovním subjektem, kter</w:t>
      </w:r>
      <w:r>
        <w:rPr>
          <w:bCs/>
        </w:rPr>
        <w:t>á</w:t>
      </w:r>
      <w:r w:rsidRPr="00182D3C">
        <w:rPr>
          <w:bCs/>
        </w:rPr>
        <w:t xml:space="preserve"> znamenal</w:t>
      </w:r>
      <w:r>
        <w:rPr>
          <w:bCs/>
        </w:rPr>
        <w:t>a</w:t>
      </w:r>
      <w:r w:rsidRPr="00182D3C">
        <w:rPr>
          <w:bCs/>
        </w:rPr>
        <w:t xml:space="preserve"> jednorázové zvýšení bilanční sumy bank o 20 mld. Kč (z toho spotřebních úvěrů o 18 mld. Kč).</w:t>
      </w:r>
    </w:p>
    <w:p w:rsidR="00280C42" w:rsidRPr="002B1C93" w:rsidRDefault="00280C42" w:rsidP="00280C42">
      <w:pPr>
        <w:spacing w:line="360" w:lineRule="auto"/>
        <w:jc w:val="both"/>
      </w:pPr>
    </w:p>
    <w:p w:rsidR="00280C42" w:rsidRPr="002B1C93" w:rsidRDefault="00280C42" w:rsidP="00280C42">
      <w:pPr>
        <w:ind w:left="705"/>
        <w:jc w:val="both"/>
        <w:rPr>
          <w:rFonts w:cs="Arial"/>
        </w:rPr>
      </w:pPr>
      <w:r w:rsidRPr="002B1C93">
        <w:t xml:space="preserve">Stejně jako v </w:t>
      </w:r>
      <w:r w:rsidRPr="002B1C93">
        <w:rPr>
          <w:rFonts w:cs="Arial"/>
        </w:rPr>
        <w:t>roce 2015 došlo v minulém roce, při očištění o jednorázovou změnu v účetní bilanci bank, k růstu celkového objemu prostředků poskytnutých</w:t>
      </w:r>
      <w:r w:rsidRPr="002B1C93">
        <w:rPr>
          <w:rFonts w:cs="Arial"/>
          <w:b/>
        </w:rPr>
        <w:t xml:space="preserve"> nebankovními společnostmi</w:t>
      </w:r>
      <w:r w:rsidRPr="002B1C93">
        <w:rPr>
          <w:rFonts w:cs="Arial"/>
        </w:rPr>
        <w:t xml:space="preserve"> </w:t>
      </w:r>
      <w:r w:rsidRPr="002B1C93">
        <w:rPr>
          <w:rFonts w:cs="Arial"/>
          <w:b/>
        </w:rPr>
        <w:t>prostřednictvím spotřebitelských úvěrů.</w:t>
      </w:r>
      <w:r w:rsidRPr="002B1C93">
        <w:rPr>
          <w:rFonts w:cs="Arial"/>
        </w:rPr>
        <w:t xml:space="preserve"> </w:t>
      </w:r>
      <w:r w:rsidRPr="002B1C93">
        <w:rPr>
          <w:rFonts w:cs="Arial"/>
          <w:b/>
        </w:rPr>
        <w:t>V roce 2016 si</w:t>
      </w:r>
      <w:r w:rsidRPr="002B1C93">
        <w:rPr>
          <w:rFonts w:cs="Arial"/>
        </w:rPr>
        <w:t xml:space="preserve"> </w:t>
      </w:r>
      <w:r w:rsidRPr="002B1C93">
        <w:rPr>
          <w:rFonts w:cs="Arial"/>
          <w:b/>
        </w:rPr>
        <w:t>domácnosti</w:t>
      </w:r>
      <w:r w:rsidRPr="002B1C93">
        <w:rPr>
          <w:rFonts w:cs="Arial"/>
        </w:rPr>
        <w:t xml:space="preserve"> podle dat ČLFA touto formou </w:t>
      </w:r>
      <w:r w:rsidRPr="002B1C93">
        <w:rPr>
          <w:rFonts w:cs="Arial"/>
          <w:b/>
        </w:rPr>
        <w:t>půjčily celkem 27,6 mld. Kč, tj. o 7,1 % meziročně více</w:t>
      </w:r>
      <w:r w:rsidRPr="002B1C93">
        <w:rPr>
          <w:rFonts w:cs="Arial"/>
        </w:rPr>
        <w:t xml:space="preserve"> a použily je zejména na pořízení osobních automobilů.</w:t>
      </w:r>
    </w:p>
    <w:p w:rsidR="00280C42" w:rsidRPr="002B1C93" w:rsidRDefault="00280C42" w:rsidP="00280C42">
      <w:pPr>
        <w:spacing w:line="360" w:lineRule="auto"/>
        <w:jc w:val="both"/>
        <w:rPr>
          <w:rFonts w:cs="Arial"/>
        </w:rPr>
      </w:pPr>
    </w:p>
    <w:p w:rsidR="00280C42" w:rsidRPr="002B1C93" w:rsidRDefault="00280C42" w:rsidP="00280C42">
      <w:pPr>
        <w:spacing w:line="360" w:lineRule="auto"/>
        <w:jc w:val="both"/>
        <w:rPr>
          <w:rFonts w:cs="Arial"/>
        </w:rPr>
      </w:pPr>
      <w:r w:rsidRPr="00D1084B">
        <w:rPr>
          <w:rFonts w:cs="Arial"/>
          <w:color w:val="FF0000"/>
        </w:rPr>
        <w:tab/>
      </w:r>
      <w:r w:rsidRPr="002B1C93">
        <w:rPr>
          <w:rFonts w:cs="Arial"/>
        </w:rPr>
        <w:t>Pokračování prorůstové monetární politiky nadále udržovalo v minulém roce velmi nízké úrokové sazby na nově poskytnuté bankovní úvěry. Zatímco úrokové sazby úvěrů na spotřebu se pohybovaly podle údajů ČNB mezi lety 2012 a 2014 nad 14 % (na konci 1.</w:t>
      </w:r>
      <w:r>
        <w:rPr>
          <w:rFonts w:cs="Arial"/>
        </w:rPr>
        <w:t> </w:t>
      </w:r>
      <w:r w:rsidRPr="002B1C93">
        <w:rPr>
          <w:rFonts w:cs="Arial"/>
        </w:rPr>
        <w:t xml:space="preserve">čtvrtletí 2013 dokonce dosáhly 14,89 %), tak v minulém roce postupně klesly na 10,08 %. Taktéž </w:t>
      </w:r>
      <w:r w:rsidRPr="002B1C93">
        <w:rPr>
          <w:rFonts w:cs="Arial"/>
          <w:b/>
        </w:rPr>
        <w:t>úrokové sazby na nákup bytových nemovitostí pokračují v poklesu</w:t>
      </w:r>
      <w:r w:rsidRPr="002B1C93">
        <w:rPr>
          <w:rFonts w:cs="Arial"/>
        </w:rPr>
        <w:t xml:space="preserve"> a na konci minulého roku byla jejich průměrná výše 2,16 % (meziroční pokles o 0,35</w:t>
      </w:r>
      <w:r w:rsidRPr="002B1C93">
        <w:t> </w:t>
      </w:r>
      <w:r w:rsidRPr="002B1C93">
        <w:rPr>
          <w:rFonts w:cs="Arial"/>
        </w:rPr>
        <w:t>p. b.).</w:t>
      </w:r>
    </w:p>
    <w:p w:rsidR="00280C42" w:rsidRPr="002B1C93" w:rsidRDefault="00280C42" w:rsidP="00280C42">
      <w:pPr>
        <w:spacing w:line="360" w:lineRule="auto"/>
        <w:jc w:val="both"/>
        <w:rPr>
          <w:rFonts w:cs="Arial"/>
        </w:rPr>
      </w:pPr>
    </w:p>
    <w:p w:rsidR="00280C42" w:rsidRPr="002B1C93" w:rsidRDefault="00280C42" w:rsidP="00280C42">
      <w:pPr>
        <w:ind w:left="720"/>
        <w:jc w:val="both"/>
        <w:rPr>
          <w:b/>
          <w:bCs/>
          <w:i/>
          <w:sz w:val="32"/>
          <w:szCs w:val="32"/>
        </w:rPr>
      </w:pPr>
      <w:r w:rsidRPr="002B1C93">
        <w:rPr>
          <w:rFonts w:cs="Arial"/>
        </w:rPr>
        <w:t xml:space="preserve">V roce 2016 došlo k poklesu počtu exekucí na peněžitá a nepeněžitá plnění. Podle statistik ministerstva spravedlnosti </w:t>
      </w:r>
      <w:r w:rsidRPr="002B1C93">
        <w:rPr>
          <w:rFonts w:cs="Arial"/>
          <w:b/>
        </w:rPr>
        <w:t xml:space="preserve">bylo v minulém roce vyřízeno 698 tis. exekucí. </w:t>
      </w:r>
      <w:r w:rsidRPr="002B1C93">
        <w:rPr>
          <w:rFonts w:cs="Arial"/>
        </w:rPr>
        <w:t xml:space="preserve"> V roce 2015 bylo vyřízeno 782 tis. exekucí a v roce 2014 885 tis. Pozitivní skutečností je i </w:t>
      </w:r>
      <w:r w:rsidRPr="002B1C93">
        <w:rPr>
          <w:rFonts w:cs="Arial"/>
          <w:b/>
        </w:rPr>
        <w:t xml:space="preserve">pokles tzv. „úvěrů v selhání“, kde celkový objem dosáhl na konci minulého roku úrovně 45,4 mld. Kč (meziroční snížení o 8,4 mld. Kč). </w:t>
      </w:r>
      <w:r w:rsidRPr="002B1C93">
        <w:rPr>
          <w:rFonts w:cs="Arial"/>
        </w:rPr>
        <w:t xml:space="preserve">Výše úvěrů domácnostem na bydlení se selháním činila ke konci prosince 2016 celkem 21,1 mld. Kč. </w:t>
      </w:r>
    </w:p>
    <w:p w:rsidR="00280C42" w:rsidRPr="00391909" w:rsidRDefault="00280C42" w:rsidP="00280C42">
      <w:pPr>
        <w:spacing w:after="200" w:line="276" w:lineRule="auto"/>
        <w:rPr>
          <w:b/>
          <w:bCs/>
          <w:i/>
          <w:sz w:val="32"/>
          <w:szCs w:val="32"/>
        </w:rPr>
      </w:pPr>
      <w:r w:rsidRPr="00391909">
        <w:rPr>
          <w:b/>
          <w:bCs/>
          <w:i/>
          <w:sz w:val="32"/>
          <w:szCs w:val="32"/>
        </w:rPr>
        <w:br w:type="page"/>
      </w:r>
    </w:p>
    <w:p w:rsidR="00280C42" w:rsidRPr="00391909" w:rsidRDefault="00280C42" w:rsidP="00280C42">
      <w:pPr>
        <w:jc w:val="both"/>
        <w:rPr>
          <w:b/>
          <w:bCs/>
          <w:i/>
          <w:sz w:val="32"/>
          <w:szCs w:val="32"/>
        </w:rPr>
      </w:pPr>
      <w:r w:rsidRPr="00391909">
        <w:rPr>
          <w:b/>
          <w:bCs/>
          <w:i/>
          <w:sz w:val="32"/>
          <w:szCs w:val="32"/>
        </w:rPr>
        <w:lastRenderedPageBreak/>
        <w:t>3. 3 Úspory</w:t>
      </w:r>
    </w:p>
    <w:p w:rsidR="00280C42" w:rsidRPr="00391909" w:rsidRDefault="00280C42" w:rsidP="00280C42">
      <w:pPr>
        <w:jc w:val="both"/>
        <w:rPr>
          <w:b/>
          <w:bCs/>
        </w:rPr>
      </w:pPr>
    </w:p>
    <w:p w:rsidR="00280C42" w:rsidRPr="002B1C93" w:rsidRDefault="00280C42" w:rsidP="00280C42">
      <w:pPr>
        <w:spacing w:after="240" w:line="360" w:lineRule="auto"/>
        <w:jc w:val="both"/>
        <w:rPr>
          <w:bCs/>
        </w:rPr>
      </w:pPr>
      <w:r w:rsidRPr="00391909">
        <w:tab/>
      </w:r>
      <w:r w:rsidRPr="002B1C93">
        <w:rPr>
          <w:rFonts w:cs="Arial"/>
        </w:rPr>
        <w:t>Rostoucí reálné příjmy, z</w:t>
      </w:r>
      <w:r w:rsidRPr="002B1C93">
        <w:rPr>
          <w:bCs/>
        </w:rPr>
        <w:t>lepšující se situace na trhu práce a nízké úročení vkladů se projevily na celkových bankovních úsporách domácností.</w:t>
      </w:r>
      <w:r w:rsidRPr="002B1C93">
        <w:rPr>
          <w:b/>
          <w:bCs/>
        </w:rPr>
        <w:t xml:space="preserve"> Celkové vklady domácností</w:t>
      </w:r>
      <w:r w:rsidRPr="002B1C93">
        <w:t xml:space="preserve"> </w:t>
      </w:r>
      <w:r w:rsidRPr="002B1C93">
        <w:rPr>
          <w:b/>
          <w:bCs/>
        </w:rPr>
        <w:t xml:space="preserve">se </w:t>
      </w:r>
      <w:r w:rsidRPr="002B1C93">
        <w:t xml:space="preserve">podle dostupných údajů ČNB </w:t>
      </w:r>
      <w:r w:rsidRPr="002B1C93">
        <w:rPr>
          <w:b/>
          <w:bCs/>
        </w:rPr>
        <w:t>v roce 2016</w:t>
      </w:r>
      <w:r w:rsidRPr="002B1C93">
        <w:t xml:space="preserve"> </w:t>
      </w:r>
      <w:r w:rsidRPr="002B1C93">
        <w:rPr>
          <w:b/>
          <w:bCs/>
        </w:rPr>
        <w:t xml:space="preserve">zvýšily </w:t>
      </w:r>
      <w:r w:rsidRPr="002B1C93">
        <w:t>ve srovnání s předchozím rokem</w:t>
      </w:r>
      <w:r w:rsidRPr="002B1C93">
        <w:rPr>
          <w:b/>
          <w:bCs/>
        </w:rPr>
        <w:t xml:space="preserve"> o 171,6 mld. Kč na 2 206,3 mld. Kč. </w:t>
      </w:r>
      <w:r w:rsidRPr="002B1C93">
        <w:rPr>
          <w:rFonts w:cs="Arial"/>
          <w:bCs/>
        </w:rPr>
        <w:t xml:space="preserve">Objem vkladů </w:t>
      </w:r>
      <w:r w:rsidRPr="002B1C93">
        <w:rPr>
          <w:rFonts w:cs="Arial"/>
        </w:rPr>
        <w:t>ve</w:t>
      </w:r>
      <w:r w:rsidRPr="002B1C93">
        <w:rPr>
          <w:rFonts w:cs="Arial"/>
          <w:bCs/>
        </w:rPr>
        <w:t xml:space="preserve"> stavebním spoření klesl</w:t>
      </w:r>
      <w:r w:rsidRPr="002B1C93">
        <w:rPr>
          <w:rFonts w:cs="Arial"/>
          <w:b/>
          <w:bCs/>
        </w:rPr>
        <w:t xml:space="preserve"> </w:t>
      </w:r>
      <w:r w:rsidRPr="002B1C93">
        <w:rPr>
          <w:rFonts w:cs="Arial"/>
          <w:bCs/>
        </w:rPr>
        <w:t xml:space="preserve">na úroveň 353,8 mld. Kč, meziročně se snížil o 23,4 mld. Kč. </w:t>
      </w:r>
      <w:r w:rsidRPr="002B1C93">
        <w:rPr>
          <w:bCs/>
        </w:rPr>
        <w:t>Míra úspor domácností podle statistiky národních účtů činila 12,15 % a byla tak vyšší proti roku 2015 o 0,15 p. b.</w:t>
      </w:r>
    </w:p>
    <w:p w:rsidR="00280C42" w:rsidRPr="002B1C93" w:rsidRDefault="00280C42" w:rsidP="00280C42">
      <w:pPr>
        <w:spacing w:after="240" w:line="360" w:lineRule="auto"/>
        <w:jc w:val="both"/>
      </w:pPr>
      <w:r w:rsidRPr="0002327B">
        <w:rPr>
          <w:bCs/>
        </w:rPr>
        <w:tab/>
      </w:r>
      <w:r w:rsidRPr="002B1C93">
        <w:rPr>
          <w:b/>
        </w:rPr>
        <w:t>Skladba přírůstku</w:t>
      </w:r>
      <w:r w:rsidRPr="002B1C93">
        <w:t xml:space="preserve"> úsporných </w:t>
      </w:r>
      <w:r w:rsidRPr="002B1C93">
        <w:rPr>
          <w:b/>
        </w:rPr>
        <w:t>vkladů se</w:t>
      </w:r>
      <w:r w:rsidRPr="002B1C93">
        <w:t xml:space="preserve"> od roku 2008 výrazně </w:t>
      </w:r>
      <w:r w:rsidRPr="002B1C93">
        <w:rPr>
          <w:b/>
        </w:rPr>
        <w:t>změnila.</w:t>
      </w:r>
      <w:r w:rsidRPr="002B1C93">
        <w:t xml:space="preserve"> </w:t>
      </w:r>
      <w:r w:rsidRPr="002B1C93">
        <w:rPr>
          <w:b/>
          <w:bCs/>
        </w:rPr>
        <w:t xml:space="preserve">Při </w:t>
      </w:r>
      <w:r w:rsidRPr="002B1C93">
        <w:t xml:space="preserve">jednoznačné </w:t>
      </w:r>
      <w:r w:rsidRPr="002B1C93">
        <w:rPr>
          <w:b/>
          <w:bCs/>
        </w:rPr>
        <w:t>orientaci na tvorbu úspor v tuzemské měně</w:t>
      </w:r>
      <w:r w:rsidRPr="002B1C93">
        <w:t xml:space="preserve"> (96,1 %) dávaly domácnosti výhradně přednost spoření v jejich </w:t>
      </w:r>
      <w:r w:rsidRPr="002B1C93">
        <w:rPr>
          <w:b/>
          <w:bCs/>
        </w:rPr>
        <w:t xml:space="preserve">netermínované formě </w:t>
      </w:r>
      <w:r w:rsidRPr="002B1C93">
        <w:rPr>
          <w:bCs/>
        </w:rPr>
        <w:t xml:space="preserve">(meziročně vzrostly o 212,5 mld. Kč), </w:t>
      </w:r>
      <w:r w:rsidRPr="002B1C93">
        <w:rPr>
          <w:b/>
          <w:bCs/>
        </w:rPr>
        <w:t>zatímco termínované vklady</w:t>
      </w:r>
      <w:r w:rsidRPr="002B1C93">
        <w:rPr>
          <w:bCs/>
        </w:rPr>
        <w:t xml:space="preserve"> </w:t>
      </w:r>
      <w:r w:rsidRPr="002B1C93">
        <w:rPr>
          <w:b/>
          <w:bCs/>
        </w:rPr>
        <w:t xml:space="preserve">se </w:t>
      </w:r>
      <w:r w:rsidRPr="002B1C93">
        <w:rPr>
          <w:bCs/>
        </w:rPr>
        <w:t xml:space="preserve">o 40,9 mld. Kč </w:t>
      </w:r>
      <w:r w:rsidRPr="002B1C93">
        <w:rPr>
          <w:b/>
          <w:bCs/>
        </w:rPr>
        <w:t>snížily.</w:t>
      </w:r>
      <w:r w:rsidRPr="002B1C93">
        <w:rPr>
          <w:bCs/>
        </w:rPr>
        <w:t xml:space="preserve"> Jednalo se hlavně o reakci na nízké úročení, které má problém zhodnocovat vklady nad úroveň inflace. Tento trend lze sledovat již od konce roku 2009 a celkově došlo za posledních 28 čtvrtletí ke snížení termínovaných vkladů domácností o 179,6 mld. Kč, naopak netermínované vklady vzrostly za stejné období o 834,6 mld. Kč – </w:t>
      </w:r>
      <w:r w:rsidRPr="002B1C93">
        <w:t>viz následující graf.</w:t>
      </w:r>
    </w:p>
    <w:p w:rsidR="00280C42" w:rsidRPr="00D1084B" w:rsidRDefault="00280C42" w:rsidP="00280C42">
      <w:pPr>
        <w:tabs>
          <w:tab w:val="left" w:pos="5529"/>
        </w:tabs>
        <w:spacing w:after="120"/>
        <w:jc w:val="center"/>
        <w:rPr>
          <w:b/>
          <w:bCs/>
          <w:color w:val="FF0000"/>
        </w:rPr>
      </w:pPr>
      <w:r>
        <w:rPr>
          <w:b/>
          <w:bCs/>
          <w:noProof/>
          <w:color w:val="FF0000"/>
        </w:rPr>
        <w:drawing>
          <wp:inline distT="0" distB="0" distL="0" distR="0" wp14:anchorId="416F8B96" wp14:editId="6F4AD580">
            <wp:extent cx="5847621" cy="3419475"/>
            <wp:effectExtent l="0" t="0" r="127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48201" cy="3419814"/>
                    </a:xfrm>
                    <a:prstGeom prst="rect">
                      <a:avLst/>
                    </a:prstGeom>
                    <a:noFill/>
                  </pic:spPr>
                </pic:pic>
              </a:graphicData>
            </a:graphic>
          </wp:inline>
        </w:drawing>
      </w:r>
    </w:p>
    <w:p w:rsidR="00280C42" w:rsidRPr="00D1084B" w:rsidRDefault="00280C42" w:rsidP="00280C42">
      <w:pPr>
        <w:tabs>
          <w:tab w:val="left" w:pos="5529"/>
        </w:tabs>
        <w:jc w:val="both"/>
        <w:rPr>
          <w:bCs/>
          <w:color w:val="FF0000"/>
          <w:sz w:val="20"/>
        </w:rPr>
      </w:pPr>
    </w:p>
    <w:p w:rsidR="00280C42" w:rsidRPr="0002327B" w:rsidRDefault="00280C42" w:rsidP="00280C42">
      <w:pPr>
        <w:tabs>
          <w:tab w:val="left" w:pos="5529"/>
        </w:tabs>
        <w:jc w:val="both"/>
        <w:rPr>
          <w:bCs/>
          <w:sz w:val="20"/>
        </w:rPr>
      </w:pPr>
      <w:r w:rsidRPr="0002327B">
        <w:rPr>
          <w:bCs/>
          <w:sz w:val="20"/>
        </w:rPr>
        <w:t>* Spořicí účty a ostatní netermínované vklady</w:t>
      </w:r>
    </w:p>
    <w:p w:rsidR="00280C42" w:rsidRPr="0002327B" w:rsidRDefault="00280C42" w:rsidP="00280C42">
      <w:pPr>
        <w:tabs>
          <w:tab w:val="left" w:pos="5529"/>
        </w:tabs>
        <w:jc w:val="both"/>
        <w:rPr>
          <w:bCs/>
          <w:sz w:val="20"/>
        </w:rPr>
      </w:pPr>
      <w:r w:rsidRPr="0002327B">
        <w:rPr>
          <w:bCs/>
          <w:sz w:val="20"/>
        </w:rPr>
        <w:t xml:space="preserve">  Zpracováno z dat ČNB</w:t>
      </w:r>
    </w:p>
    <w:p w:rsidR="00280C42" w:rsidRPr="002B1C93" w:rsidRDefault="00280C42" w:rsidP="00280C42">
      <w:pPr>
        <w:spacing w:line="360" w:lineRule="auto"/>
        <w:jc w:val="both"/>
      </w:pPr>
      <w:r w:rsidRPr="00075FB4">
        <w:lastRenderedPageBreak/>
        <w:tab/>
      </w:r>
      <w:r w:rsidRPr="002B1C93">
        <w:rPr>
          <w:b/>
        </w:rPr>
        <w:t>Úročení vkladů dle údajů ČNB dále klesalo</w:t>
      </w:r>
      <w:r w:rsidRPr="002B1C93">
        <w:t xml:space="preserve"> a průměrná sazba jednodenních vkladů se na konci roku 2016 snížila na 0,11 % (o 0,11 p. b. </w:t>
      </w:r>
      <w:proofErr w:type="gramStart"/>
      <w:r w:rsidRPr="002B1C93">
        <w:t>meziročně</w:t>
      </w:r>
      <w:proofErr w:type="gramEnd"/>
      <w:r w:rsidRPr="002B1C93">
        <w:t xml:space="preserve"> méně). Stejně jako v předcházejícím roce poklesla sazba z vkladů s výpovědní lhůtou, která v posledním čtvrtletí 2016 činila 1,11 %, a také došlo k mírnému poklesu u úrokových sazeb s dohodnutou splatností s průměrným úročením (na 0,91 %). Nízká atraktivita termínovaných účtů vedla domácnosti k využívání i jiných finančních produktů s vyšším zhodnocením.</w:t>
      </w:r>
    </w:p>
    <w:p w:rsidR="00280C42" w:rsidRPr="002B1C93" w:rsidRDefault="00280C42" w:rsidP="00280C42">
      <w:pPr>
        <w:spacing w:after="120" w:line="360" w:lineRule="auto"/>
        <w:jc w:val="both"/>
      </w:pPr>
    </w:p>
    <w:p w:rsidR="00280C42" w:rsidRPr="002B1C93" w:rsidRDefault="00280C42" w:rsidP="00280C42">
      <w:pPr>
        <w:spacing w:after="120" w:line="360" w:lineRule="auto"/>
        <w:jc w:val="both"/>
      </w:pPr>
      <w:r w:rsidRPr="002B1C93">
        <w:tab/>
      </w:r>
      <w:r w:rsidRPr="002B1C93">
        <w:rPr>
          <w:bCs/>
        </w:rPr>
        <w:t xml:space="preserve">Podle AKAT </w:t>
      </w:r>
      <w:r w:rsidRPr="002B1C93">
        <w:rPr>
          <w:b/>
          <w:bCs/>
        </w:rPr>
        <w:t>stav peněžních prostředků investovaných do</w:t>
      </w:r>
      <w:r w:rsidRPr="002B1C93">
        <w:t xml:space="preserve"> tuzemských a zahraničních otevřených </w:t>
      </w:r>
      <w:r w:rsidRPr="002B1C93">
        <w:rPr>
          <w:b/>
          <w:bCs/>
        </w:rPr>
        <w:t>podílových fondů</w:t>
      </w:r>
      <w:r w:rsidRPr="002B1C93">
        <w:t xml:space="preserve"> obyvatelstvem a institucemi činil ke konci minulého roku </w:t>
      </w:r>
      <w:r w:rsidRPr="002B1C93">
        <w:rPr>
          <w:b/>
          <w:bCs/>
        </w:rPr>
        <w:t>432,0 mld. Kč</w:t>
      </w:r>
      <w:r w:rsidRPr="002B1C93">
        <w:rPr>
          <w:b/>
        </w:rPr>
        <w:t>,</w:t>
      </w:r>
      <w:r w:rsidRPr="002B1C93">
        <w:t xml:space="preserve"> což bylo </w:t>
      </w:r>
      <w:r w:rsidRPr="002B1C93">
        <w:rPr>
          <w:b/>
        </w:rPr>
        <w:t>o 50,0 mld. Kč</w:t>
      </w:r>
      <w:r w:rsidRPr="002B1C93">
        <w:t xml:space="preserve"> </w:t>
      </w:r>
      <w:r w:rsidRPr="002B1C93">
        <w:rPr>
          <w:b/>
        </w:rPr>
        <w:t>více než ke konci roku 2015.</w:t>
      </w:r>
      <w:r w:rsidRPr="002B1C93">
        <w:t xml:space="preserve"> Výrazně více investic zaznamenaly hlavně smíšené fondy, akciové fondy a dluhopisové fondy. Nejvyšší nárůst nastal u nemovitostních fondů, ale jejich podíl na celkovém objemu fondů je jen 4,3 %. Naopak méně vyhledávané byly v roce 2016 fondy peněžního trhu a strukturované (zajištěné) fondy. Rozdělení investic mezi domácí a zahraniční fondy bylo v podstatě vyrovnané – mírný předstih měl objem domácích fondů (54,7 % z celkových investic). Největším zprostředkovatelem investovaného majetku byla finanční skupina </w:t>
      </w:r>
      <w:proofErr w:type="spellStart"/>
      <w:r w:rsidRPr="002B1C93">
        <w:t>Generali</w:t>
      </w:r>
      <w:proofErr w:type="spellEnd"/>
      <w:r w:rsidRPr="002B1C93">
        <w:t xml:space="preserve"> </w:t>
      </w:r>
      <w:proofErr w:type="spellStart"/>
      <w:r w:rsidRPr="002B1C93">
        <w:t>Investments</w:t>
      </w:r>
      <w:proofErr w:type="spellEnd"/>
      <w:r w:rsidRPr="002B1C93">
        <w:t xml:space="preserve"> CEE, investiční společnost, a. s.</w:t>
      </w:r>
    </w:p>
    <w:p w:rsidR="00280C42" w:rsidRPr="002B1C93" w:rsidRDefault="00280C42" w:rsidP="00280C42">
      <w:pPr>
        <w:pStyle w:val="Odstavecseseznamem"/>
        <w:spacing w:after="120" w:line="240" w:lineRule="auto"/>
        <w:jc w:val="both"/>
        <w:rPr>
          <w:rFonts w:ascii="Arial" w:hAnsi="Arial" w:cs="Arial"/>
          <w:sz w:val="24"/>
          <w:szCs w:val="24"/>
        </w:rPr>
      </w:pPr>
    </w:p>
    <w:p w:rsidR="00280C42" w:rsidRPr="009076AB" w:rsidRDefault="00280C42" w:rsidP="00280C42">
      <w:pPr>
        <w:ind w:left="708"/>
        <w:jc w:val="both"/>
      </w:pPr>
      <w:r w:rsidRPr="009076AB">
        <w:rPr>
          <w:rFonts w:cs="Arial"/>
          <w:szCs w:val="24"/>
        </w:rPr>
        <w:t xml:space="preserve">ING Bank ČR i v roce 2016 prováděla průzkum, jak domácnosti v současné době spoří. Na základě zveřejněných dat by si české domácnosti v posledním čtvrtletí 2016 vystačily se svými úsporami v průměru 4 měsíce a 10 dní. Stejnou hodnotu jako předcházející rok zaznamenal ukazatel potenciálu spoření, podle kterého na konci minulého roku průměrně převyšovaly příjmy domácností výdaje o 33 %. Z mezinárodního průzkumu vypracovaného v průběhu podzimu 2016 také vyplývá, že 27 % Čechů nemá žádné úspory, což je o 2 p. b. </w:t>
      </w:r>
      <w:proofErr w:type="gramStart"/>
      <w:r w:rsidRPr="009076AB">
        <w:rPr>
          <w:rFonts w:cs="Arial"/>
          <w:szCs w:val="24"/>
        </w:rPr>
        <w:t>méně</w:t>
      </w:r>
      <w:proofErr w:type="gramEnd"/>
      <w:r w:rsidRPr="009076AB">
        <w:rPr>
          <w:rFonts w:cs="Arial"/>
          <w:szCs w:val="24"/>
        </w:rPr>
        <w:t xml:space="preserve"> než je evropský průměr a meziročně o 7</w:t>
      </w:r>
      <w:r>
        <w:rPr>
          <w:rFonts w:cs="Arial"/>
          <w:szCs w:val="24"/>
        </w:rPr>
        <w:t> </w:t>
      </w:r>
      <w:r w:rsidRPr="009076AB">
        <w:rPr>
          <w:rFonts w:cs="Arial"/>
          <w:szCs w:val="24"/>
        </w:rPr>
        <w:t>p. b. lepší výsledek.</w:t>
      </w:r>
    </w:p>
    <w:p w:rsidR="00280C42" w:rsidRDefault="00280C42" w:rsidP="00280C42"/>
    <w:p w:rsidR="00280C42" w:rsidRDefault="00280C42" w:rsidP="00280C42"/>
    <w:p w:rsidR="00280C42" w:rsidRDefault="00280C42" w:rsidP="00280C42"/>
    <w:p w:rsidR="00280C42" w:rsidRDefault="00280C42" w:rsidP="00280C42"/>
    <w:p w:rsidR="00280C42" w:rsidRDefault="00280C42" w:rsidP="00280C42"/>
    <w:p w:rsidR="00280C42" w:rsidRDefault="00280C42" w:rsidP="00280C42"/>
    <w:p w:rsidR="00280C42" w:rsidRDefault="00280C42" w:rsidP="00280C42"/>
    <w:p w:rsidR="00280C42" w:rsidRDefault="00280C42" w:rsidP="00280C42"/>
    <w:p w:rsidR="001E0C70" w:rsidRPr="001E0C70" w:rsidRDefault="001E0C70" w:rsidP="001E0C70">
      <w:pPr>
        <w:pStyle w:val="Nadpis1"/>
        <w:numPr>
          <w:ilvl w:val="0"/>
          <w:numId w:val="0"/>
        </w:numPr>
        <w:tabs>
          <w:tab w:val="left" w:pos="708"/>
        </w:tabs>
        <w:ind w:left="142"/>
        <w:rPr>
          <w:i/>
          <w:iCs/>
          <w:szCs w:val="36"/>
        </w:rPr>
      </w:pPr>
      <w:r w:rsidRPr="001E0C70">
        <w:rPr>
          <w:i/>
          <w:iCs/>
          <w:szCs w:val="36"/>
        </w:rPr>
        <w:lastRenderedPageBreak/>
        <w:t>C. Vývoj na počátku roku 2017 a predikce na léta 2017 a 2018</w:t>
      </w:r>
    </w:p>
    <w:p w:rsidR="001E0C70" w:rsidRPr="001E0C70" w:rsidRDefault="001E0C70" w:rsidP="001E0C70">
      <w:pPr>
        <w:spacing w:line="360" w:lineRule="auto"/>
      </w:pPr>
    </w:p>
    <w:p w:rsidR="001E0C70" w:rsidRPr="001E0C70" w:rsidRDefault="001E0C70" w:rsidP="001E0C70">
      <w:pPr>
        <w:spacing w:line="360" w:lineRule="auto"/>
      </w:pPr>
    </w:p>
    <w:p w:rsidR="001E0C70" w:rsidRPr="001E0C70" w:rsidRDefault="001E0C70" w:rsidP="001E0C70">
      <w:pPr>
        <w:spacing w:line="360" w:lineRule="auto"/>
        <w:jc w:val="both"/>
        <w:rPr>
          <w:b/>
        </w:rPr>
      </w:pPr>
      <w:r w:rsidRPr="001E0C70">
        <w:rPr>
          <w:b/>
          <w:bCs/>
        </w:rPr>
        <w:tab/>
      </w:r>
      <w:r w:rsidRPr="001E0C70">
        <w:t xml:space="preserve">Z dosud zveřejněných dat je zřejmé, že </w:t>
      </w:r>
      <w:r w:rsidRPr="001E0C70">
        <w:rPr>
          <w:b/>
        </w:rPr>
        <w:t xml:space="preserve">se na počátku roku 2017 reálná příjmová situace domácností, </w:t>
      </w:r>
      <w:r w:rsidRPr="001E0C70">
        <w:t xml:space="preserve">zejména vzhledem k přetrvávající nízké nezaměstnanosti a vyšším mzdovým příjmům, dále </w:t>
      </w:r>
      <w:r w:rsidRPr="001E0C70">
        <w:rPr>
          <w:b/>
        </w:rPr>
        <w:t>zlepšila.</w:t>
      </w:r>
    </w:p>
    <w:p w:rsidR="001E0C70" w:rsidRPr="001E0C70" w:rsidRDefault="001E0C70" w:rsidP="001E0C70">
      <w:pPr>
        <w:spacing w:line="360" w:lineRule="auto"/>
        <w:jc w:val="both"/>
        <w:rPr>
          <w:b/>
        </w:rPr>
      </w:pPr>
    </w:p>
    <w:p w:rsidR="001E0C70" w:rsidRPr="001E0C70" w:rsidRDefault="001E0C70" w:rsidP="001E0C70">
      <w:pPr>
        <w:spacing w:line="360" w:lineRule="auto"/>
        <w:jc w:val="both"/>
      </w:pPr>
      <w:r w:rsidRPr="001E0C70">
        <w:rPr>
          <w:b/>
        </w:rPr>
        <w:tab/>
      </w:r>
      <w:r w:rsidRPr="001E0C70">
        <w:t xml:space="preserve">Lze předpokládat, že </w:t>
      </w:r>
      <w:r w:rsidRPr="001E0C70">
        <w:rPr>
          <w:b/>
          <w:bCs/>
        </w:rPr>
        <w:t xml:space="preserve">v roce 2017 bude nadále pokračovat podobný trend růstu HDP jako v předchozím roce, </w:t>
      </w:r>
      <w:r w:rsidRPr="001E0C70">
        <w:rPr>
          <w:bCs/>
        </w:rPr>
        <w:t xml:space="preserve">který byl významně ovlivněn silnou domácí poptávkou. Oproti minulému roku však již nebudou </w:t>
      </w:r>
      <w:proofErr w:type="spellStart"/>
      <w:r w:rsidRPr="001E0C70">
        <w:rPr>
          <w:bCs/>
        </w:rPr>
        <w:t>prorůstově</w:t>
      </w:r>
      <w:proofErr w:type="spellEnd"/>
      <w:r w:rsidRPr="001E0C70">
        <w:rPr>
          <w:bCs/>
        </w:rPr>
        <w:t xml:space="preserve"> působit nízké ceny pohonných hmot a potravin. V průběhu roku 2017 je také možné očekávat postupné opouštění expanzivní monetární politiky. </w:t>
      </w:r>
      <w:r w:rsidRPr="001E0C70">
        <w:rPr>
          <w:b/>
          <w:bCs/>
        </w:rPr>
        <w:t>Kladně by naopak k růstu</w:t>
      </w:r>
      <w:r w:rsidRPr="001E0C70">
        <w:rPr>
          <w:bCs/>
        </w:rPr>
        <w:t> </w:t>
      </w:r>
      <w:r w:rsidRPr="001E0C70">
        <w:rPr>
          <w:b/>
          <w:bCs/>
        </w:rPr>
        <w:t>hrubého domácího produktu</w:t>
      </w:r>
      <w:r w:rsidRPr="001E0C70">
        <w:rPr>
          <w:bCs/>
        </w:rPr>
        <w:t xml:space="preserve"> </w:t>
      </w:r>
      <w:r w:rsidRPr="001E0C70">
        <w:rPr>
          <w:b/>
          <w:bCs/>
        </w:rPr>
        <w:t xml:space="preserve">měla </w:t>
      </w:r>
      <w:r w:rsidRPr="001E0C70">
        <w:rPr>
          <w:bCs/>
        </w:rPr>
        <w:t>v letošním roce</w:t>
      </w:r>
      <w:r w:rsidRPr="001E0C70">
        <w:rPr>
          <w:b/>
          <w:bCs/>
        </w:rPr>
        <w:t xml:space="preserve"> přispívat</w:t>
      </w:r>
      <w:r w:rsidRPr="001E0C70">
        <w:rPr>
          <w:bCs/>
        </w:rPr>
        <w:t xml:space="preserve"> </w:t>
      </w:r>
      <w:r w:rsidRPr="001E0C70">
        <w:rPr>
          <w:b/>
          <w:bCs/>
        </w:rPr>
        <w:t xml:space="preserve">zejména </w:t>
      </w:r>
      <w:r w:rsidRPr="001E0C70">
        <w:rPr>
          <w:bCs/>
        </w:rPr>
        <w:t xml:space="preserve">zvyšující se </w:t>
      </w:r>
      <w:r w:rsidRPr="001E0C70">
        <w:rPr>
          <w:b/>
          <w:bCs/>
        </w:rPr>
        <w:t xml:space="preserve">spotřeba domácností, </w:t>
      </w:r>
      <w:r w:rsidRPr="001E0C70">
        <w:rPr>
          <w:bCs/>
        </w:rPr>
        <w:t>kterou budou podporovat rostoucí mzdy, nízké úrokové sazby a meziročně nižší nezaměstnanost. Dynamiku ekonomického výkonu podpoří také soukromé investice, které budou pozitivně reagovat na úroveň poptávky v ČR.</w:t>
      </w:r>
    </w:p>
    <w:p w:rsidR="001E0C70" w:rsidRPr="001E0C70" w:rsidRDefault="001E0C70" w:rsidP="001E0C70">
      <w:pPr>
        <w:spacing w:line="360" w:lineRule="auto"/>
        <w:jc w:val="both"/>
      </w:pPr>
    </w:p>
    <w:p w:rsidR="001E0C70" w:rsidRPr="001E0C70" w:rsidRDefault="001E0C70" w:rsidP="001E0C70">
      <w:pPr>
        <w:spacing w:line="360" w:lineRule="auto"/>
        <w:jc w:val="both"/>
      </w:pPr>
    </w:p>
    <w:p w:rsidR="001E0C70" w:rsidRPr="001E0C70" w:rsidRDefault="001E0C70" w:rsidP="001E0C70">
      <w:pPr>
        <w:spacing w:after="120"/>
        <w:ind w:left="708"/>
        <w:jc w:val="both"/>
        <w:rPr>
          <w:b/>
          <w:bCs/>
        </w:rPr>
      </w:pPr>
      <w:r w:rsidRPr="001E0C70">
        <w:rPr>
          <w:b/>
          <w:u w:val="single"/>
        </w:rPr>
        <w:t>Za rok 2017 očekává MPSV zvýšení HDP v rozsahu 2,2 až 3,0 %, v následujícím roce 2018 přírůstek v rozmezí od 2,0 do 3,0 %.</w:t>
      </w:r>
    </w:p>
    <w:p w:rsidR="001E0C70" w:rsidRPr="001E0C70" w:rsidRDefault="001E0C70" w:rsidP="001E0C70">
      <w:pPr>
        <w:spacing w:after="120" w:line="360" w:lineRule="auto"/>
        <w:jc w:val="both"/>
        <w:rPr>
          <w:b/>
          <w:bCs/>
        </w:rPr>
      </w:pPr>
    </w:p>
    <w:p w:rsidR="001E0C70" w:rsidRPr="001E0C70" w:rsidRDefault="001E0C70" w:rsidP="001E0C70">
      <w:pPr>
        <w:spacing w:after="120" w:line="360" w:lineRule="auto"/>
        <w:jc w:val="both"/>
        <w:rPr>
          <w:b/>
          <w:bCs/>
        </w:rPr>
      </w:pPr>
      <w:r w:rsidRPr="001E0C70">
        <w:rPr>
          <w:b/>
        </w:rPr>
        <w:tab/>
      </w:r>
      <w:r w:rsidRPr="001E0C70">
        <w:rPr>
          <w:b/>
          <w:bCs/>
        </w:rPr>
        <w:t>Z oblastí ovlivňujících příjmy domácností</w:t>
      </w:r>
      <w:r w:rsidRPr="001E0C70">
        <w:t xml:space="preserve"> jsou prozatím jedinými dostupnými údaji základní </w:t>
      </w:r>
      <w:r w:rsidRPr="001E0C70">
        <w:rPr>
          <w:b/>
          <w:bCs/>
        </w:rPr>
        <w:t xml:space="preserve">data o mzdách v průmyslu a ve stavebnictví za první dva měsíce letošního roku, </w:t>
      </w:r>
      <w:r w:rsidRPr="001E0C70">
        <w:t>z nichž</w:t>
      </w:r>
      <w:r w:rsidRPr="001E0C70">
        <w:rPr>
          <w:b/>
          <w:bCs/>
        </w:rPr>
        <w:t xml:space="preserve"> </w:t>
      </w:r>
      <w:r w:rsidRPr="001E0C70">
        <w:t xml:space="preserve">vyplynuly tyto </w:t>
      </w:r>
      <w:r w:rsidRPr="001E0C70">
        <w:rPr>
          <w:b/>
          <w:bCs/>
        </w:rPr>
        <w:t>dílčí poznatky:</w:t>
      </w:r>
    </w:p>
    <w:p w:rsidR="001E0C70" w:rsidRPr="001E0C70" w:rsidRDefault="001E0C70" w:rsidP="001E0C70">
      <w:pPr>
        <w:spacing w:line="360" w:lineRule="auto"/>
        <w:jc w:val="both"/>
        <w:rPr>
          <w:b/>
          <w:bCs/>
        </w:rPr>
      </w:pPr>
    </w:p>
    <w:p w:rsidR="001E0C70" w:rsidRPr="001E0C70" w:rsidRDefault="001E0C70" w:rsidP="001E0C70">
      <w:pPr>
        <w:numPr>
          <w:ilvl w:val="0"/>
          <w:numId w:val="14"/>
        </w:numPr>
        <w:spacing w:line="360" w:lineRule="auto"/>
        <w:jc w:val="both"/>
        <w:rPr>
          <w:rFonts w:cs="Arial"/>
        </w:rPr>
      </w:pPr>
      <w:r w:rsidRPr="001E0C70">
        <w:rPr>
          <w:rFonts w:cs="Arial"/>
          <w:b/>
          <w:bCs/>
        </w:rPr>
        <w:t>v lednu a v únoru 2017 došlo v </w:t>
      </w:r>
      <w:r w:rsidRPr="001E0C70">
        <w:rPr>
          <w:rFonts w:cs="Arial"/>
        </w:rPr>
        <w:t>odvětví</w:t>
      </w:r>
      <w:r w:rsidRPr="001E0C70">
        <w:rPr>
          <w:rFonts w:cs="Arial"/>
          <w:b/>
          <w:bCs/>
        </w:rPr>
        <w:t xml:space="preserve"> průmyslu</w:t>
      </w:r>
      <w:r w:rsidRPr="001E0C70">
        <w:rPr>
          <w:rFonts w:cs="Arial"/>
        </w:rPr>
        <w:t xml:space="preserve"> v podnicích s 50 a více zaměstnanci </w:t>
      </w:r>
      <w:r w:rsidRPr="001E0C70">
        <w:rPr>
          <w:rFonts w:cs="Arial"/>
          <w:b/>
          <w:bCs/>
        </w:rPr>
        <w:t>k meziročnímu zvýšení</w:t>
      </w:r>
      <w:r w:rsidRPr="001E0C70">
        <w:rPr>
          <w:rFonts w:cs="Arial"/>
        </w:rPr>
        <w:t xml:space="preserve"> průměrného evidenčního </w:t>
      </w:r>
      <w:r w:rsidRPr="001E0C70">
        <w:rPr>
          <w:rFonts w:cs="Arial"/>
          <w:b/>
          <w:bCs/>
        </w:rPr>
        <w:t>počtu zaměstnanců</w:t>
      </w:r>
      <w:r w:rsidRPr="001E0C70">
        <w:rPr>
          <w:rFonts w:cs="Arial"/>
        </w:rPr>
        <w:t xml:space="preserve"> (v lednu o 2,1 % a v únoru o 1,9 %), </w:t>
      </w:r>
      <w:r w:rsidRPr="001E0C70">
        <w:rPr>
          <w:rFonts w:cs="Arial"/>
          <w:b/>
          <w:bCs/>
        </w:rPr>
        <w:t>ve stavebních podnicích</w:t>
      </w:r>
      <w:r w:rsidRPr="001E0C70">
        <w:rPr>
          <w:rFonts w:cs="Arial"/>
        </w:rPr>
        <w:t xml:space="preserve"> (s 50 a více zaměstnanci) </w:t>
      </w:r>
      <w:r w:rsidRPr="001E0C70">
        <w:rPr>
          <w:rFonts w:cs="Arial"/>
          <w:b/>
          <w:bCs/>
        </w:rPr>
        <w:t>jejich počet</w:t>
      </w:r>
      <w:r w:rsidRPr="001E0C70">
        <w:rPr>
          <w:rFonts w:cs="Arial"/>
        </w:rPr>
        <w:t xml:space="preserve"> naopak meziročně </w:t>
      </w:r>
      <w:r w:rsidRPr="001E0C70">
        <w:rPr>
          <w:rFonts w:cs="Arial"/>
          <w:b/>
        </w:rPr>
        <w:t>poklesl</w:t>
      </w:r>
      <w:r w:rsidRPr="001E0C70">
        <w:rPr>
          <w:rFonts w:cs="Arial"/>
          <w:b/>
          <w:bCs/>
        </w:rPr>
        <w:t xml:space="preserve"> </w:t>
      </w:r>
      <w:r w:rsidRPr="001E0C70">
        <w:rPr>
          <w:rFonts w:cs="Arial"/>
        </w:rPr>
        <w:t>(v lednu o 2,4 % a v únoru o 3,6 %),</w:t>
      </w:r>
    </w:p>
    <w:p w:rsidR="001E0C70" w:rsidRPr="001E0C70" w:rsidRDefault="001E0C70" w:rsidP="001E0C70">
      <w:pPr>
        <w:spacing w:line="360" w:lineRule="auto"/>
        <w:ind w:left="720"/>
        <w:jc w:val="both"/>
        <w:rPr>
          <w:rFonts w:cs="Arial"/>
        </w:rPr>
      </w:pPr>
    </w:p>
    <w:p w:rsidR="001E0C70" w:rsidRPr="001E0C70" w:rsidRDefault="001E0C70" w:rsidP="001E0C70">
      <w:pPr>
        <w:numPr>
          <w:ilvl w:val="0"/>
          <w:numId w:val="14"/>
        </w:numPr>
        <w:spacing w:line="360" w:lineRule="auto"/>
        <w:jc w:val="both"/>
        <w:rPr>
          <w:rFonts w:cs="Arial"/>
        </w:rPr>
      </w:pPr>
      <w:r w:rsidRPr="001E0C70">
        <w:rPr>
          <w:rFonts w:cs="Arial"/>
          <w:b/>
          <w:bCs/>
        </w:rPr>
        <w:lastRenderedPageBreak/>
        <w:t>průměrná</w:t>
      </w:r>
      <w:r w:rsidRPr="001E0C70">
        <w:rPr>
          <w:rFonts w:cs="Arial"/>
        </w:rPr>
        <w:t xml:space="preserve"> měsíční </w:t>
      </w:r>
      <w:r w:rsidRPr="001E0C70">
        <w:rPr>
          <w:rFonts w:cs="Arial"/>
          <w:b/>
          <w:bCs/>
        </w:rPr>
        <w:t xml:space="preserve">nominální mzda </w:t>
      </w:r>
      <w:r w:rsidRPr="001E0C70">
        <w:rPr>
          <w:rFonts w:cs="Arial"/>
          <w:bCs/>
        </w:rPr>
        <w:t xml:space="preserve">těchto </w:t>
      </w:r>
      <w:r w:rsidRPr="001E0C70">
        <w:rPr>
          <w:rFonts w:cs="Arial"/>
        </w:rPr>
        <w:t xml:space="preserve">zaměstnanců </w:t>
      </w:r>
      <w:r w:rsidRPr="001E0C70">
        <w:rPr>
          <w:rFonts w:cs="Arial"/>
          <w:b/>
          <w:bCs/>
        </w:rPr>
        <w:t>v průmyslu vzrostla v lednu</w:t>
      </w:r>
      <w:r w:rsidRPr="001E0C70">
        <w:rPr>
          <w:rFonts w:cs="Arial"/>
        </w:rPr>
        <w:t xml:space="preserve"> meziročně </w:t>
      </w:r>
      <w:r w:rsidRPr="001E0C70">
        <w:rPr>
          <w:rFonts w:cs="Arial"/>
          <w:b/>
          <w:bCs/>
        </w:rPr>
        <w:t>o 5,7 %</w:t>
      </w:r>
      <w:r w:rsidRPr="001E0C70">
        <w:rPr>
          <w:rFonts w:cs="Arial"/>
          <w:bCs/>
        </w:rPr>
        <w:t xml:space="preserve"> (reálně o 3,4 %) </w:t>
      </w:r>
      <w:r w:rsidRPr="001E0C70">
        <w:rPr>
          <w:rFonts w:cs="Arial"/>
          <w:b/>
          <w:bCs/>
        </w:rPr>
        <w:t>a v únoru</w:t>
      </w:r>
      <w:r w:rsidRPr="001E0C70">
        <w:rPr>
          <w:rFonts w:cs="Arial"/>
        </w:rPr>
        <w:t xml:space="preserve"> (kdy činila 28 227 Kč) se zvýšila nominálně </w:t>
      </w:r>
      <w:r w:rsidRPr="001E0C70">
        <w:rPr>
          <w:rFonts w:cs="Arial"/>
          <w:b/>
        </w:rPr>
        <w:t>o 4</w:t>
      </w:r>
      <w:r w:rsidRPr="001E0C70">
        <w:rPr>
          <w:rFonts w:cs="Arial"/>
          <w:b/>
          <w:bCs/>
        </w:rPr>
        <w:t>,5 %</w:t>
      </w:r>
      <w:r w:rsidRPr="001E0C70">
        <w:rPr>
          <w:rFonts w:cs="Arial"/>
          <w:bCs/>
        </w:rPr>
        <w:t xml:space="preserve"> (a reálně</w:t>
      </w:r>
      <w:r w:rsidRPr="001E0C70">
        <w:rPr>
          <w:rFonts w:cs="Arial"/>
        </w:rPr>
        <w:t xml:space="preserve"> o 2,0 %). </w:t>
      </w:r>
      <w:r w:rsidRPr="001E0C70">
        <w:rPr>
          <w:rFonts w:cs="Arial"/>
          <w:b/>
        </w:rPr>
        <w:t>Ve </w:t>
      </w:r>
      <w:r w:rsidRPr="001E0C70">
        <w:rPr>
          <w:rFonts w:cs="Arial"/>
          <w:b/>
          <w:bCs/>
        </w:rPr>
        <w:t>stavebních podnicích</w:t>
      </w:r>
      <w:r w:rsidRPr="001E0C70">
        <w:rPr>
          <w:rFonts w:cs="Arial"/>
        </w:rPr>
        <w:t xml:space="preserve"> </w:t>
      </w:r>
      <w:r w:rsidRPr="001E0C70">
        <w:rPr>
          <w:rFonts w:cs="Arial"/>
          <w:b/>
          <w:bCs/>
        </w:rPr>
        <w:t>se zvýšila</w:t>
      </w:r>
      <w:r w:rsidRPr="001E0C70">
        <w:rPr>
          <w:rFonts w:cs="Arial"/>
        </w:rPr>
        <w:t xml:space="preserve"> průměrná měsíční </w:t>
      </w:r>
      <w:r w:rsidRPr="001E0C70">
        <w:rPr>
          <w:rFonts w:cs="Arial"/>
          <w:b/>
          <w:bCs/>
        </w:rPr>
        <w:t>nominální mzda</w:t>
      </w:r>
      <w:r w:rsidRPr="001E0C70">
        <w:rPr>
          <w:rFonts w:cs="Arial"/>
        </w:rPr>
        <w:t xml:space="preserve"> výše uvedených zaměstnanců v lednu meziročně </w:t>
      </w:r>
      <w:r w:rsidRPr="001E0C70">
        <w:rPr>
          <w:rFonts w:cs="Arial"/>
          <w:b/>
          <w:bCs/>
        </w:rPr>
        <w:t>o 4,8 %</w:t>
      </w:r>
      <w:r w:rsidRPr="001E0C70">
        <w:rPr>
          <w:rFonts w:cs="Arial"/>
        </w:rPr>
        <w:t xml:space="preserve">, resp. v únoru </w:t>
      </w:r>
      <w:r w:rsidRPr="001E0C70">
        <w:rPr>
          <w:rFonts w:cs="Arial"/>
          <w:b/>
        </w:rPr>
        <w:t>o 1,0 </w:t>
      </w:r>
      <w:r w:rsidRPr="001E0C70">
        <w:rPr>
          <w:rFonts w:cs="Arial"/>
          <w:b/>
          <w:bCs/>
        </w:rPr>
        <w:t>%</w:t>
      </w:r>
      <w:r w:rsidRPr="001E0C70">
        <w:rPr>
          <w:rFonts w:cs="Arial"/>
        </w:rPr>
        <w:t xml:space="preserve"> a dosáhla v absolutním vyjádření 30 090 Kč. K meziročnímu nárůstu došlo ve stavebnictví u reálné mzdy v lednu o 2,5 %, v únoru byl však vykázán meziroční pokles o 1,5 %.</w:t>
      </w:r>
    </w:p>
    <w:p w:rsidR="001E0C70" w:rsidRPr="001E0C70" w:rsidRDefault="001E0C70" w:rsidP="001E0C70">
      <w:pPr>
        <w:spacing w:line="360" w:lineRule="auto"/>
        <w:ind w:left="720"/>
        <w:jc w:val="both"/>
        <w:rPr>
          <w:rFonts w:cs="Arial"/>
        </w:rPr>
      </w:pPr>
    </w:p>
    <w:p w:rsidR="001E0C70" w:rsidRPr="001E0C70" w:rsidRDefault="001E0C70" w:rsidP="001E0C70">
      <w:pPr>
        <w:ind w:left="720"/>
        <w:jc w:val="both"/>
        <w:rPr>
          <w:rFonts w:cs="Arial"/>
          <w:b/>
          <w:bCs/>
          <w:u w:val="single"/>
        </w:rPr>
      </w:pPr>
      <w:r w:rsidRPr="001E0C70">
        <w:rPr>
          <w:rFonts w:cs="Arial"/>
          <w:b/>
          <w:bCs/>
          <w:u w:val="single"/>
        </w:rPr>
        <w:t>Přírůstek průměrné nominální mzdy v národním hospodářství ČR by se mohl v letech 2017 i 2018 pohybovat v intervalu od 3,3 % do 5,7 %. Reálná mzda by mohla při zohlednění predikované míry cenové inflace (viz dále) vzrůst v letošním roce až o cca 3,8 %, příští rok by mohla dosáhnout až cca 4,1 %.</w:t>
      </w:r>
    </w:p>
    <w:p w:rsidR="001E0C70" w:rsidRPr="001E0C70" w:rsidRDefault="001E0C70" w:rsidP="001E0C70">
      <w:pPr>
        <w:spacing w:line="360" w:lineRule="auto"/>
        <w:jc w:val="both"/>
        <w:rPr>
          <w:rFonts w:cs="Arial"/>
        </w:rPr>
      </w:pPr>
    </w:p>
    <w:p w:rsidR="001E0C70" w:rsidRPr="001E0C70" w:rsidRDefault="001E0C70" w:rsidP="001E0C70">
      <w:pPr>
        <w:spacing w:line="360" w:lineRule="auto"/>
        <w:jc w:val="both"/>
        <w:rPr>
          <w:rFonts w:cs="Arial"/>
        </w:rPr>
      </w:pPr>
    </w:p>
    <w:p w:rsidR="001E0C70" w:rsidRPr="001E0C70" w:rsidRDefault="001E0C70" w:rsidP="001E0C70">
      <w:pPr>
        <w:spacing w:line="360" w:lineRule="auto"/>
        <w:jc w:val="both"/>
      </w:pPr>
      <w:r w:rsidRPr="001E0C70">
        <w:tab/>
        <w:t xml:space="preserve">V rámci </w:t>
      </w:r>
      <w:r w:rsidRPr="001E0C70">
        <w:rPr>
          <w:b/>
        </w:rPr>
        <w:t>sociálních příjmů</w:t>
      </w:r>
      <w:r w:rsidRPr="001E0C70">
        <w:t xml:space="preserve"> byly u největší položky, tj. </w:t>
      </w:r>
      <w:r w:rsidRPr="001E0C70">
        <w:rPr>
          <w:b/>
        </w:rPr>
        <w:t>důchodů</w:t>
      </w:r>
      <w:r w:rsidRPr="001E0C70">
        <w:t xml:space="preserve"> vykázány údaje o průměrné výši samostatně vypláceného </w:t>
      </w:r>
      <w:r w:rsidRPr="001E0C70">
        <w:rPr>
          <w:b/>
        </w:rPr>
        <w:t>starobního důchodu</w:t>
      </w:r>
      <w:r w:rsidRPr="001E0C70">
        <w:t xml:space="preserve">, který </w:t>
      </w:r>
      <w:r w:rsidRPr="001E0C70">
        <w:rPr>
          <w:b/>
        </w:rPr>
        <w:t>činil v březnu 11 799 Kč,</w:t>
      </w:r>
      <w:r w:rsidRPr="001E0C70">
        <w:t xml:space="preserve"> tj. o 3,4 % více než před rokem, za období leden až březen vzrostl meziročně rovněž o 3,4 % na 11 793 Kč.</w:t>
      </w:r>
    </w:p>
    <w:p w:rsidR="001E0C70" w:rsidRPr="001E0C70" w:rsidRDefault="001E0C70" w:rsidP="001E0C70">
      <w:pPr>
        <w:spacing w:line="360" w:lineRule="auto"/>
        <w:jc w:val="both"/>
      </w:pPr>
    </w:p>
    <w:p w:rsidR="001E0C70" w:rsidRPr="001E0C70" w:rsidRDefault="001E0C70" w:rsidP="001E0C70">
      <w:pPr>
        <w:spacing w:line="360" w:lineRule="auto"/>
        <w:jc w:val="both"/>
      </w:pPr>
    </w:p>
    <w:p w:rsidR="001E0C70" w:rsidRPr="001E0C70" w:rsidRDefault="001E0C70" w:rsidP="001E0C70">
      <w:pPr>
        <w:ind w:left="708"/>
        <w:jc w:val="both"/>
        <w:rPr>
          <w:b/>
          <w:u w:val="single"/>
        </w:rPr>
      </w:pPr>
      <w:r w:rsidRPr="001E0C70">
        <w:rPr>
          <w:b/>
          <w:u w:val="single"/>
        </w:rPr>
        <w:t xml:space="preserve">Podle odhadu by průměrná výše samostatně vypláceného starobního důchodu mohla v letošním roce dosáhnout 11 814 Kč. </w:t>
      </w:r>
    </w:p>
    <w:p w:rsidR="001E0C70" w:rsidRPr="001E0C70" w:rsidRDefault="001E0C70" w:rsidP="001E0C70">
      <w:pPr>
        <w:spacing w:line="360" w:lineRule="auto"/>
        <w:jc w:val="both"/>
      </w:pPr>
    </w:p>
    <w:p w:rsidR="001E0C70" w:rsidRPr="001E0C70" w:rsidRDefault="001E0C70" w:rsidP="001E0C70">
      <w:pPr>
        <w:spacing w:line="360" w:lineRule="auto"/>
        <w:jc w:val="both"/>
      </w:pPr>
    </w:p>
    <w:p w:rsidR="001E0C70" w:rsidRPr="001E0C70" w:rsidRDefault="001E0C70" w:rsidP="001E0C70">
      <w:pPr>
        <w:spacing w:line="360" w:lineRule="auto"/>
        <w:jc w:val="both"/>
        <w:rPr>
          <w:rFonts w:cs="Arial"/>
        </w:rPr>
      </w:pPr>
      <w:r w:rsidRPr="001E0C70">
        <w:rPr>
          <w:rFonts w:cs="Arial"/>
          <w:b/>
          <w:bCs/>
        </w:rPr>
        <w:t xml:space="preserve">Podíl nezaměstnaných osob </w:t>
      </w:r>
      <w:r w:rsidRPr="001E0C70">
        <w:rPr>
          <w:rFonts w:cs="Arial"/>
        </w:rPr>
        <w:t xml:space="preserve">k 31. 3. 2017 činil </w:t>
      </w:r>
      <w:r w:rsidRPr="001E0C70">
        <w:rPr>
          <w:rFonts w:cs="Arial"/>
          <w:b/>
        </w:rPr>
        <w:t>4,8 %.</w:t>
      </w:r>
    </w:p>
    <w:p w:rsidR="001E0C70" w:rsidRPr="001E0C70" w:rsidRDefault="001E0C70" w:rsidP="001E0C70">
      <w:pPr>
        <w:ind w:left="708"/>
        <w:jc w:val="both"/>
        <w:rPr>
          <w:rFonts w:cs="Arial"/>
          <w:b/>
          <w:u w:val="single"/>
        </w:rPr>
      </w:pPr>
    </w:p>
    <w:p w:rsidR="001E0C70" w:rsidRPr="001E0C70" w:rsidRDefault="001E0C70" w:rsidP="001E0C70">
      <w:pPr>
        <w:ind w:left="708"/>
        <w:jc w:val="both"/>
        <w:rPr>
          <w:rFonts w:cs="Arial"/>
          <w:b/>
          <w:u w:val="single"/>
        </w:rPr>
      </w:pPr>
      <w:r w:rsidRPr="001E0C70">
        <w:rPr>
          <w:rFonts w:cs="Arial"/>
          <w:b/>
          <w:u w:val="single"/>
        </w:rPr>
        <w:t>Lze očekávat, že za celý rok 2017 dosáhne podíl nezaměstnaných osob průměrné úrovně 4,5 – 4,9 %. V roce 2018 by se mohl podle aktuální predikce pohybovat v rozmezí 4,4 – 4,9 %.</w:t>
      </w:r>
    </w:p>
    <w:p w:rsidR="001E0C70" w:rsidRPr="001E0C70" w:rsidRDefault="001E0C70" w:rsidP="001E0C70">
      <w:pPr>
        <w:spacing w:line="360" w:lineRule="auto"/>
        <w:jc w:val="both"/>
        <w:rPr>
          <w:rFonts w:cs="Arial"/>
          <w:b/>
          <w:u w:val="single"/>
        </w:rPr>
      </w:pPr>
    </w:p>
    <w:p w:rsidR="001E0C70" w:rsidRPr="001E0C70" w:rsidRDefault="001E0C70" w:rsidP="001E0C70">
      <w:pPr>
        <w:spacing w:line="360" w:lineRule="auto"/>
        <w:jc w:val="both"/>
        <w:rPr>
          <w:rFonts w:cs="Arial"/>
          <w:b/>
          <w:u w:val="single"/>
        </w:rPr>
      </w:pPr>
    </w:p>
    <w:p w:rsidR="001E0C70" w:rsidRPr="001E0C70" w:rsidRDefault="001E0C70" w:rsidP="001E0C70">
      <w:pPr>
        <w:spacing w:line="360" w:lineRule="auto"/>
        <w:jc w:val="both"/>
      </w:pPr>
      <w:r w:rsidRPr="001E0C70">
        <w:rPr>
          <w:rFonts w:cs="Arial"/>
        </w:rPr>
        <w:tab/>
      </w:r>
      <w:r w:rsidRPr="001E0C70">
        <w:rPr>
          <w:rFonts w:cs="Arial"/>
          <w:b/>
        </w:rPr>
        <w:t>V 1. čtvrtletí 2017</w:t>
      </w:r>
      <w:r w:rsidRPr="001E0C70">
        <w:rPr>
          <w:rFonts w:cs="Arial"/>
        </w:rPr>
        <w:t xml:space="preserve"> </w:t>
      </w:r>
      <w:r w:rsidRPr="001E0C70">
        <w:rPr>
          <w:rFonts w:cs="Arial"/>
          <w:b/>
        </w:rPr>
        <w:t>vzrostly spotřebitelské ceny</w:t>
      </w:r>
      <w:r w:rsidRPr="001E0C70">
        <w:rPr>
          <w:rFonts w:cs="Arial"/>
        </w:rPr>
        <w:t xml:space="preserve"> </w:t>
      </w:r>
      <w:r w:rsidRPr="001E0C70">
        <w:rPr>
          <w:rFonts w:cs="Arial"/>
          <w:b/>
        </w:rPr>
        <w:t>meziročně</w:t>
      </w:r>
      <w:r w:rsidRPr="001E0C70">
        <w:rPr>
          <w:rFonts w:cs="Arial"/>
        </w:rPr>
        <w:t xml:space="preserve"> oproti </w:t>
      </w:r>
      <w:r w:rsidRPr="001E0C70">
        <w:rPr>
          <w:rFonts w:cs="Arial"/>
        </w:rPr>
        <w:br/>
        <w:t>lednu</w:t>
      </w:r>
      <w:r w:rsidRPr="001E0C70">
        <w:t xml:space="preserve"> – březnu roku 2016 </w:t>
      </w:r>
      <w:r w:rsidRPr="001E0C70">
        <w:rPr>
          <w:b/>
          <w:bCs/>
        </w:rPr>
        <w:t xml:space="preserve">o 2,4 % </w:t>
      </w:r>
      <w:r w:rsidRPr="001E0C70">
        <w:t>(ve stejném období roku 2016 stouply o 0,5 %). Tento vývoj ovlivnilo především zvýšení cen v oblasti potravin, pohonných hmot, alkoholických nápojů, tabáku, stravování a ubytování.</w:t>
      </w:r>
    </w:p>
    <w:p w:rsidR="001E0C70" w:rsidRPr="001E0C70" w:rsidRDefault="001E0C70" w:rsidP="001E0C70">
      <w:pPr>
        <w:spacing w:after="240" w:line="360" w:lineRule="auto"/>
        <w:jc w:val="both"/>
      </w:pPr>
      <w:r w:rsidRPr="001E0C70">
        <w:lastRenderedPageBreak/>
        <w:tab/>
        <w:t xml:space="preserve">V 1. čtvrtletí 2017 vzrostly spotřebitelské ceny proti 4. čtvrtletí 2016 o 1,4 %. </w:t>
      </w:r>
      <w:r w:rsidRPr="001E0C70">
        <w:rPr>
          <w:b/>
        </w:rPr>
        <w:t>Mezičtvrtletní vývoj</w:t>
      </w:r>
      <w:r w:rsidRPr="001E0C70">
        <w:t xml:space="preserve"> cenové inflace </w:t>
      </w:r>
      <w:r w:rsidRPr="001E0C70">
        <w:rPr>
          <w:b/>
        </w:rPr>
        <w:t>ovlivnily</w:t>
      </w:r>
      <w:r w:rsidRPr="001E0C70">
        <w:t xml:space="preserve"> tyto faktory:</w:t>
      </w:r>
    </w:p>
    <w:p w:rsidR="001E0C70" w:rsidRPr="001E0C70" w:rsidRDefault="001E0C70" w:rsidP="001E0C70">
      <w:pPr>
        <w:pStyle w:val="Odstavecseseznamem"/>
        <w:numPr>
          <w:ilvl w:val="0"/>
          <w:numId w:val="25"/>
        </w:numPr>
        <w:spacing w:after="0" w:line="360" w:lineRule="auto"/>
        <w:jc w:val="both"/>
        <w:rPr>
          <w:rFonts w:ascii="Arial" w:hAnsi="Arial" w:cs="Arial"/>
          <w:sz w:val="24"/>
          <w:szCs w:val="24"/>
        </w:rPr>
      </w:pPr>
      <w:r w:rsidRPr="001E0C70">
        <w:rPr>
          <w:rFonts w:ascii="Arial" w:hAnsi="Arial" w:cs="Arial"/>
          <w:b/>
          <w:sz w:val="24"/>
          <w:szCs w:val="24"/>
        </w:rPr>
        <w:t xml:space="preserve">zvýšení cen nastalo v oddíle potraviny a nealkoholické nápoje, </w:t>
      </w:r>
      <w:r w:rsidRPr="001E0C70">
        <w:rPr>
          <w:rFonts w:ascii="Arial" w:hAnsi="Arial" w:cs="Arial"/>
          <w:sz w:val="24"/>
          <w:szCs w:val="24"/>
        </w:rPr>
        <w:t xml:space="preserve">kde vzrostly především ceny zeleniny (o 19,9 %), ovoce (o 4,5 %), vajec a vaječných výrobků (o 11,2 %) a běžného pečiva (o 5,0 %), </w:t>
      </w:r>
      <w:r w:rsidRPr="001E0C70">
        <w:rPr>
          <w:rFonts w:ascii="Arial" w:hAnsi="Arial" w:cs="Arial"/>
          <w:b/>
          <w:sz w:val="24"/>
          <w:szCs w:val="24"/>
        </w:rPr>
        <w:t>v oddíle stravování a ubytování</w:t>
      </w:r>
      <w:r w:rsidRPr="001E0C70">
        <w:rPr>
          <w:rFonts w:ascii="Arial" w:hAnsi="Arial" w:cs="Arial"/>
          <w:sz w:val="24"/>
          <w:szCs w:val="24"/>
        </w:rPr>
        <w:t xml:space="preserve"> (o 2,7 %) </w:t>
      </w:r>
      <w:r w:rsidRPr="001E0C70">
        <w:rPr>
          <w:rFonts w:ascii="Arial" w:hAnsi="Arial" w:cs="Arial"/>
          <w:b/>
          <w:sz w:val="24"/>
          <w:szCs w:val="24"/>
        </w:rPr>
        <w:t>a v oddílu doprava</w:t>
      </w:r>
      <w:r w:rsidRPr="001E0C70">
        <w:rPr>
          <w:rFonts w:ascii="Arial" w:hAnsi="Arial" w:cs="Arial"/>
          <w:sz w:val="24"/>
          <w:szCs w:val="24"/>
        </w:rPr>
        <w:t xml:space="preserve"> (ceny pohonných hmot vzrostly o 5,0 %). Ceny ropy budou v meziročním srovnání ovlivňovat celkový index spotřebitelských cen zejména v prvních třech čtvrtletích roku 2017 – vývoj cen ropy Brent a Naturalu 95 do března 2017 charakterizuje následující graf:</w:t>
      </w:r>
    </w:p>
    <w:p w:rsidR="001E0C70" w:rsidRPr="001E0C70" w:rsidRDefault="001E0C70" w:rsidP="001E0C70">
      <w:pPr>
        <w:spacing w:line="360" w:lineRule="auto"/>
        <w:ind w:left="360"/>
        <w:jc w:val="both"/>
        <w:rPr>
          <w:rFonts w:cs="Arial"/>
          <w:szCs w:val="24"/>
        </w:rPr>
      </w:pPr>
    </w:p>
    <w:p w:rsidR="001E0C70" w:rsidRPr="001E0C70" w:rsidRDefault="001E0C70" w:rsidP="001E0C70">
      <w:pPr>
        <w:pStyle w:val="Odstavecseseznamem"/>
        <w:numPr>
          <w:ilvl w:val="0"/>
          <w:numId w:val="25"/>
        </w:numPr>
        <w:spacing w:after="240" w:line="360" w:lineRule="auto"/>
        <w:jc w:val="both"/>
        <w:rPr>
          <w:rFonts w:ascii="Arial" w:hAnsi="Arial" w:cs="Arial"/>
          <w:sz w:val="24"/>
          <w:szCs w:val="24"/>
        </w:rPr>
      </w:pPr>
      <w:r w:rsidRPr="001E0C70">
        <w:rPr>
          <w:rFonts w:ascii="Arial" w:hAnsi="Arial" w:cs="Arial"/>
          <w:b/>
          <w:sz w:val="24"/>
          <w:szCs w:val="24"/>
        </w:rPr>
        <w:t xml:space="preserve">protisměrně působil </w:t>
      </w:r>
      <w:proofErr w:type="spellStart"/>
      <w:r w:rsidRPr="001E0C70">
        <w:rPr>
          <w:rFonts w:ascii="Arial" w:hAnsi="Arial" w:cs="Arial"/>
          <w:sz w:val="24"/>
          <w:szCs w:val="24"/>
        </w:rPr>
        <w:t>mezičtvrtletně</w:t>
      </w:r>
      <w:proofErr w:type="spellEnd"/>
      <w:r w:rsidRPr="001E0C70">
        <w:rPr>
          <w:rFonts w:ascii="Arial" w:hAnsi="Arial" w:cs="Arial"/>
          <w:sz w:val="24"/>
          <w:szCs w:val="24"/>
        </w:rPr>
        <w:t xml:space="preserve"> jen</w:t>
      </w:r>
      <w:r w:rsidRPr="001E0C70">
        <w:rPr>
          <w:rFonts w:ascii="Arial" w:hAnsi="Arial" w:cs="Arial"/>
          <w:b/>
          <w:sz w:val="24"/>
          <w:szCs w:val="24"/>
        </w:rPr>
        <w:t xml:space="preserve"> pokles cen v oddíle odívání a obuv </w:t>
      </w:r>
      <w:r w:rsidRPr="001E0C70">
        <w:rPr>
          <w:rFonts w:ascii="Arial" w:hAnsi="Arial" w:cs="Arial"/>
          <w:sz w:val="24"/>
          <w:szCs w:val="24"/>
        </w:rPr>
        <w:t>(o 4,8 %)</w:t>
      </w:r>
      <w:r w:rsidRPr="001E0C70">
        <w:rPr>
          <w:rFonts w:ascii="Arial" w:hAnsi="Arial" w:cs="Arial"/>
          <w:b/>
          <w:sz w:val="24"/>
          <w:szCs w:val="24"/>
        </w:rPr>
        <w:t xml:space="preserve"> a v oddíle bytové zařízení, zařízení domácnosti, opravy</w:t>
      </w:r>
      <w:r w:rsidRPr="001E0C70">
        <w:rPr>
          <w:rFonts w:ascii="Arial" w:hAnsi="Arial" w:cs="Arial"/>
          <w:sz w:val="24"/>
          <w:szCs w:val="24"/>
        </w:rPr>
        <w:t xml:space="preserve"> (o 0,1 %). </w:t>
      </w:r>
    </w:p>
    <w:p w:rsidR="001E0C70" w:rsidRPr="001E0C70" w:rsidRDefault="001E0C70" w:rsidP="001E0C70">
      <w:pPr>
        <w:pStyle w:val="Odstavecseseznamem"/>
        <w:spacing w:after="0"/>
        <w:rPr>
          <w:rFonts w:ascii="Arial" w:hAnsi="Arial" w:cs="Arial"/>
          <w:sz w:val="24"/>
          <w:szCs w:val="24"/>
        </w:rPr>
      </w:pPr>
    </w:p>
    <w:p w:rsidR="001E0C70" w:rsidRPr="001E0C70" w:rsidRDefault="001E0C70" w:rsidP="001E0C70">
      <w:pPr>
        <w:pStyle w:val="Odstavecseseznamem"/>
        <w:spacing w:after="0"/>
        <w:rPr>
          <w:rFonts w:ascii="Arial" w:hAnsi="Arial" w:cs="Arial"/>
          <w:sz w:val="24"/>
          <w:szCs w:val="24"/>
        </w:rPr>
      </w:pPr>
    </w:p>
    <w:p w:rsidR="001E0C70" w:rsidRPr="001E0C70" w:rsidRDefault="001E0C70" w:rsidP="001E0C70">
      <w:pPr>
        <w:spacing w:line="360" w:lineRule="auto"/>
        <w:jc w:val="center"/>
        <w:rPr>
          <w:rFonts w:cs="Arial"/>
          <w:szCs w:val="24"/>
        </w:rPr>
      </w:pPr>
      <w:r w:rsidRPr="001E0C70">
        <w:rPr>
          <w:rFonts w:cs="Arial"/>
          <w:noProof/>
          <w:szCs w:val="24"/>
        </w:rPr>
        <w:drawing>
          <wp:inline distT="0" distB="0" distL="0" distR="0" wp14:anchorId="3048F320" wp14:editId="79A3E09F">
            <wp:extent cx="5819775" cy="3278279"/>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30024" cy="3284052"/>
                    </a:xfrm>
                    <a:prstGeom prst="rect">
                      <a:avLst/>
                    </a:prstGeom>
                    <a:noFill/>
                  </pic:spPr>
                </pic:pic>
              </a:graphicData>
            </a:graphic>
          </wp:inline>
        </w:drawing>
      </w:r>
    </w:p>
    <w:p w:rsidR="001E0C70" w:rsidRPr="001E0C70" w:rsidRDefault="001E0C70" w:rsidP="001E0C70">
      <w:pPr>
        <w:jc w:val="both"/>
        <w:rPr>
          <w:rFonts w:ascii="Calibri" w:hAnsi="Calibri"/>
          <w:sz w:val="22"/>
          <w:szCs w:val="22"/>
        </w:rPr>
      </w:pPr>
      <w:r w:rsidRPr="001E0C70">
        <w:rPr>
          <w:rFonts w:ascii="Calibri" w:hAnsi="Calibri"/>
          <w:sz w:val="22"/>
          <w:szCs w:val="22"/>
        </w:rPr>
        <w:t>Zpracováno z dat Kurzy.cz (ceny benzinu Natural 95) a EIA (ropa Brent)</w:t>
      </w:r>
    </w:p>
    <w:p w:rsidR="001E0C70" w:rsidRPr="001E0C70" w:rsidRDefault="001E0C70" w:rsidP="001E0C70">
      <w:pPr>
        <w:jc w:val="both"/>
        <w:rPr>
          <w:rFonts w:ascii="Calibri" w:hAnsi="Calibri"/>
          <w:sz w:val="22"/>
          <w:szCs w:val="22"/>
        </w:rPr>
      </w:pPr>
    </w:p>
    <w:p w:rsidR="001E0C70" w:rsidRPr="001E0C70" w:rsidRDefault="001E0C70" w:rsidP="001E0C70">
      <w:pPr>
        <w:spacing w:after="200" w:line="276" w:lineRule="auto"/>
        <w:rPr>
          <w:b/>
          <w:bCs/>
        </w:rPr>
      </w:pPr>
      <w:r w:rsidRPr="001E0C70">
        <w:rPr>
          <w:b/>
          <w:bCs/>
        </w:rPr>
        <w:br w:type="page"/>
      </w:r>
    </w:p>
    <w:p w:rsidR="001E0C70" w:rsidRPr="001E0C70" w:rsidRDefault="001E0C70" w:rsidP="001E0C70">
      <w:pPr>
        <w:spacing w:after="120"/>
        <w:ind w:left="709" w:hanging="709"/>
        <w:jc w:val="both"/>
        <w:rPr>
          <w:bCs/>
          <w:u w:val="single"/>
        </w:rPr>
      </w:pPr>
      <w:r w:rsidRPr="001E0C70">
        <w:rPr>
          <w:b/>
          <w:bCs/>
        </w:rPr>
        <w:lastRenderedPageBreak/>
        <w:tab/>
      </w:r>
      <w:r w:rsidRPr="001E0C70">
        <w:rPr>
          <w:b/>
          <w:bCs/>
          <w:u w:val="single"/>
        </w:rPr>
        <w:t>Meziroční vývoj spotřebitelských cen bude v dalších čtvrtletích ovlivňován růstem cen pohonných hmot a potravin, který nastal v období listopad 2016 – únor 2017. Tento vliv bude oslaben tedy až na konci roku 2017. Na růstu cen se také bude podílet sílící domácí poptávka. Protiinflačně by mělo naopak působit, po ustálení na stabilní hladině, ukončení kurzového závazku. Na vývoj administrativně stanovených a regulovaných cen bude působit mírný růst cen elektrické energie, vodného a stočného, který bude částečně kompenzován poklesem cen plynu.</w:t>
      </w:r>
    </w:p>
    <w:p w:rsidR="001E0C70" w:rsidRPr="001E0C70" w:rsidRDefault="001E0C70" w:rsidP="001E0C70">
      <w:pPr>
        <w:ind w:left="708"/>
        <w:jc w:val="both"/>
        <w:rPr>
          <w:b/>
          <w:u w:val="single"/>
        </w:rPr>
      </w:pPr>
    </w:p>
    <w:p w:rsidR="001E0C70" w:rsidRPr="001E0C70" w:rsidRDefault="001E0C70" w:rsidP="001E0C70">
      <w:pPr>
        <w:ind w:left="708"/>
        <w:jc w:val="both"/>
        <w:rPr>
          <w:b/>
          <w:bCs/>
        </w:rPr>
      </w:pPr>
      <w:r w:rsidRPr="001E0C70">
        <w:rPr>
          <w:b/>
          <w:u w:val="single"/>
        </w:rPr>
        <w:t>V době, kdy je materiál zpracován, odhaduje MPSV roční zvýšení spotřebitelské inflace v roce 2017 v intervalu 1,8 až 2,8 %, tj. střed 2,3 % a v roce 2018 v rozpětí 1,5 – 2,5 % (střed 2,0 %).</w:t>
      </w:r>
    </w:p>
    <w:p w:rsidR="001E0C70" w:rsidRPr="001E0C70" w:rsidRDefault="001E0C70" w:rsidP="001E0C70">
      <w:pPr>
        <w:spacing w:after="240" w:line="360" w:lineRule="auto"/>
        <w:ind w:firstLine="708"/>
        <w:jc w:val="both"/>
        <w:rPr>
          <w:b/>
        </w:rPr>
      </w:pPr>
    </w:p>
    <w:p w:rsidR="001E0C70" w:rsidRPr="001E0C70" w:rsidRDefault="001E0C70" w:rsidP="001E0C70">
      <w:pPr>
        <w:spacing w:after="240" w:line="360" w:lineRule="auto"/>
        <w:jc w:val="both"/>
        <w:rPr>
          <w:b/>
        </w:rPr>
      </w:pPr>
      <w:r w:rsidRPr="001E0C70">
        <w:rPr>
          <w:b/>
        </w:rPr>
        <w:tab/>
        <w:t xml:space="preserve">Tendence rostoucí spotřeby, převaha úvěrů na bydlení a zvyšování přírůstku netermínovaných </w:t>
      </w:r>
      <w:r w:rsidRPr="001E0C70">
        <w:t xml:space="preserve">(bankovních) </w:t>
      </w:r>
      <w:r w:rsidRPr="001E0C70">
        <w:rPr>
          <w:b/>
        </w:rPr>
        <w:t>vkladů</w:t>
      </w:r>
      <w:r w:rsidRPr="001E0C70">
        <w:t xml:space="preserve"> </w:t>
      </w:r>
      <w:r w:rsidRPr="001E0C70">
        <w:rPr>
          <w:b/>
        </w:rPr>
        <w:t>pokračovala také na počátku roku 2017:</w:t>
      </w:r>
    </w:p>
    <w:p w:rsidR="001E0C70" w:rsidRPr="001E0C70" w:rsidRDefault="001E0C70" w:rsidP="001E0C70">
      <w:pPr>
        <w:numPr>
          <w:ilvl w:val="0"/>
          <w:numId w:val="5"/>
        </w:numPr>
        <w:spacing w:line="360" w:lineRule="auto"/>
        <w:jc w:val="both"/>
      </w:pPr>
      <w:r w:rsidRPr="001E0C70">
        <w:rPr>
          <w:b/>
        </w:rPr>
        <w:t xml:space="preserve">tržby v maloobchodě </w:t>
      </w:r>
      <w:r w:rsidRPr="001E0C70">
        <w:t>očištěné o kalendářní vlivy</w:t>
      </w:r>
      <w:r w:rsidRPr="001E0C70">
        <w:rPr>
          <w:b/>
        </w:rPr>
        <w:t xml:space="preserve"> vzrostly v</w:t>
      </w:r>
      <w:r w:rsidRPr="001E0C70">
        <w:t xml:space="preserve"> letošním </w:t>
      </w:r>
      <w:r w:rsidRPr="001E0C70">
        <w:rPr>
          <w:b/>
        </w:rPr>
        <w:t>lednu</w:t>
      </w:r>
      <w:r w:rsidRPr="001E0C70">
        <w:t xml:space="preserve"> </w:t>
      </w:r>
      <w:r w:rsidRPr="001E0C70">
        <w:rPr>
          <w:b/>
        </w:rPr>
        <w:t>meziročně o 3,3 % a v únoru o 4,8 %,</w:t>
      </w:r>
      <w:r w:rsidRPr="001E0C70">
        <w:t xml:space="preserve"> na přírůstku se podílel zejména prodej přes internet nebo prostřednictvím zásilkové služby</w:t>
      </w:r>
      <w:r w:rsidRPr="001E0C70">
        <w:rPr>
          <w:lang w:val="en-US"/>
        </w:rPr>
        <w:t xml:space="preserve">; </w:t>
      </w:r>
      <w:r w:rsidRPr="001E0C70">
        <w:t>tržby</w:t>
      </w:r>
      <w:r w:rsidRPr="001E0C70">
        <w:rPr>
          <w:b/>
        </w:rPr>
        <w:t xml:space="preserve"> </w:t>
      </w:r>
      <w:r w:rsidRPr="001E0C70">
        <w:rPr>
          <w:rStyle w:val="Siln"/>
          <w:b w:val="0"/>
        </w:rPr>
        <w:t>za prodej a opravy motorových vozidel</w:t>
      </w:r>
      <w:r w:rsidRPr="001E0C70">
        <w:rPr>
          <w:b/>
        </w:rPr>
        <w:t xml:space="preserve"> </w:t>
      </w:r>
      <w:r w:rsidRPr="001E0C70">
        <w:t>vzrostly</w:t>
      </w:r>
      <w:r w:rsidRPr="001E0C70">
        <w:rPr>
          <w:b/>
        </w:rPr>
        <w:t xml:space="preserve"> </w:t>
      </w:r>
      <w:r w:rsidRPr="001E0C70">
        <w:rPr>
          <w:rStyle w:val="Siln"/>
          <w:b w:val="0"/>
        </w:rPr>
        <w:t xml:space="preserve">meziročně </w:t>
      </w:r>
      <w:r w:rsidRPr="001E0C70">
        <w:t>o 5,4 % v lednu a v únoru o 3,1 %,</w:t>
      </w:r>
    </w:p>
    <w:p w:rsidR="001E0C70" w:rsidRPr="001E0C70" w:rsidRDefault="001E0C70" w:rsidP="001E0C70">
      <w:pPr>
        <w:spacing w:line="360" w:lineRule="auto"/>
        <w:ind w:left="360"/>
        <w:jc w:val="both"/>
        <w:rPr>
          <w:sz w:val="20"/>
        </w:rPr>
      </w:pPr>
    </w:p>
    <w:p w:rsidR="001E0C70" w:rsidRPr="001E0C70" w:rsidRDefault="001E0C70" w:rsidP="001E0C70">
      <w:pPr>
        <w:numPr>
          <w:ilvl w:val="0"/>
          <w:numId w:val="5"/>
        </w:numPr>
        <w:spacing w:line="360" w:lineRule="auto"/>
        <w:jc w:val="both"/>
      </w:pPr>
      <w:r w:rsidRPr="001E0C70">
        <w:rPr>
          <w:bCs/>
        </w:rPr>
        <w:t>za první dva měsíce tohoto roku vzrostl celkový objem</w:t>
      </w:r>
      <w:r w:rsidRPr="001E0C70">
        <w:rPr>
          <w:b/>
          <w:bCs/>
        </w:rPr>
        <w:t xml:space="preserve"> bankovních úvěrů</w:t>
      </w:r>
      <w:r w:rsidRPr="001E0C70">
        <w:t xml:space="preserve"> </w:t>
      </w:r>
      <w:r w:rsidRPr="001E0C70">
        <w:rPr>
          <w:bCs/>
        </w:rPr>
        <w:t xml:space="preserve">oproti prosinci 2016 </w:t>
      </w:r>
      <w:r w:rsidRPr="001E0C70">
        <w:rPr>
          <w:b/>
          <w:bCs/>
        </w:rPr>
        <w:t xml:space="preserve">o 11,2 mld. Kč </w:t>
      </w:r>
      <w:r w:rsidRPr="001E0C70">
        <w:rPr>
          <w:bCs/>
        </w:rPr>
        <w:t>na 1 430,6 mld. Kč</w:t>
      </w:r>
      <w:r w:rsidRPr="001E0C70">
        <w:t>; stejně jako v předchozím roce</w:t>
      </w:r>
      <w:r w:rsidRPr="001E0C70">
        <w:rPr>
          <w:b/>
        </w:rPr>
        <w:t xml:space="preserve"> zaznamenaly růst zejména úvěry na bydlení</w:t>
      </w:r>
      <w:r w:rsidRPr="001E0C70">
        <w:t xml:space="preserve"> (o 12,1 mld. Kč),</w:t>
      </w:r>
    </w:p>
    <w:p w:rsidR="001E0C70" w:rsidRPr="001E0C70" w:rsidRDefault="001E0C70" w:rsidP="001E0C70">
      <w:pPr>
        <w:spacing w:line="360" w:lineRule="auto"/>
        <w:ind w:left="360"/>
        <w:jc w:val="both"/>
        <w:rPr>
          <w:sz w:val="20"/>
        </w:rPr>
      </w:pPr>
    </w:p>
    <w:p w:rsidR="001E0C70" w:rsidRPr="001E0C70" w:rsidRDefault="001E0C70" w:rsidP="001E0C70">
      <w:pPr>
        <w:numPr>
          <w:ilvl w:val="0"/>
          <w:numId w:val="5"/>
        </w:numPr>
        <w:spacing w:line="360" w:lineRule="auto"/>
        <w:jc w:val="both"/>
      </w:pPr>
      <w:r w:rsidRPr="001E0C70">
        <w:t xml:space="preserve">trend vysokého růstu úspor pokračoval i v lednu a únoru (oproti prosinci </w:t>
      </w:r>
      <w:r w:rsidRPr="001E0C70">
        <w:rPr>
          <w:b/>
          <w:bCs/>
        </w:rPr>
        <w:t xml:space="preserve">o 49,1 mld. Kč </w:t>
      </w:r>
      <w:r w:rsidRPr="001E0C70">
        <w:rPr>
          <w:bCs/>
        </w:rPr>
        <w:t>na 2 255,4</w:t>
      </w:r>
      <w:r w:rsidRPr="001E0C70">
        <w:t> </w:t>
      </w:r>
      <w:r w:rsidRPr="001E0C70">
        <w:rPr>
          <w:bCs/>
        </w:rPr>
        <w:t>mld. Kč)</w:t>
      </w:r>
      <w:r w:rsidRPr="001E0C70">
        <w:t xml:space="preserve">; </w:t>
      </w:r>
      <w:r w:rsidRPr="001E0C70">
        <w:rPr>
          <w:b/>
        </w:rPr>
        <w:t>přírůstek</w:t>
      </w:r>
      <w:r w:rsidRPr="001E0C70">
        <w:t xml:space="preserve"> přitom </w:t>
      </w:r>
      <w:r w:rsidRPr="001E0C70">
        <w:rPr>
          <w:b/>
        </w:rPr>
        <w:t>vytvořily hlavně netermínované vklady.</w:t>
      </w:r>
    </w:p>
    <w:p w:rsidR="001E0C70" w:rsidRPr="001E0C70" w:rsidRDefault="001E0C70" w:rsidP="001E0C70">
      <w:pPr>
        <w:spacing w:line="360" w:lineRule="auto"/>
        <w:jc w:val="both"/>
      </w:pPr>
    </w:p>
    <w:p w:rsidR="001E0C70" w:rsidRDefault="001E0C70" w:rsidP="001E0C70">
      <w:pPr>
        <w:ind w:left="708"/>
        <w:jc w:val="both"/>
      </w:pPr>
      <w:r w:rsidRPr="001E0C70">
        <w:rPr>
          <w:b/>
          <w:u w:val="single"/>
        </w:rPr>
        <w:t>Také v dalších čtvrtletích lze nadále očekávat pokračování dynamiky z počátku roku v přímé souvislosti s vývojem na trhu práce a růstem příjmů domácností. Vzhledem k předpokládanému vývoji příjmů a rostoucí poptávce domácností by v roce 2017 mělo dojít k meziročnímu zvýšení výdajů domácností o 2,4 – 3,4 % a v roce 2018 o 2</w:t>
      </w:r>
      <w:r w:rsidR="00C8769E">
        <w:rPr>
          <w:b/>
          <w:u w:val="single"/>
        </w:rPr>
        <w:t>,0</w:t>
      </w:r>
      <w:r w:rsidRPr="001E0C70">
        <w:rPr>
          <w:b/>
          <w:u w:val="single"/>
        </w:rPr>
        <w:t> – 4</w:t>
      </w:r>
      <w:r w:rsidR="00C8769E">
        <w:rPr>
          <w:b/>
          <w:u w:val="single"/>
        </w:rPr>
        <w:t>,0</w:t>
      </w:r>
      <w:r w:rsidRPr="001E0C70">
        <w:rPr>
          <w:b/>
          <w:u w:val="single"/>
        </w:rPr>
        <w:t> %. Díky nízkému úročení vkladů a rostoucím příjmům budou v letošním roce nadále růst zejména netermínované vklady. I v případě úvěrů lze předpokládat nezměněný trend z minulého roku a bude tak výrazně převažovat růst úvěrů na bydle</w:t>
      </w:r>
      <w:r w:rsidRPr="005D159D">
        <w:rPr>
          <w:b/>
          <w:u w:val="single"/>
        </w:rPr>
        <w:t>ní.</w:t>
      </w:r>
    </w:p>
    <w:sectPr w:rsidR="001E0C70" w:rsidSect="004E718A">
      <w:footerReference w:type="default" r:id="rId27"/>
      <w:footerReference w:type="first" r:id="rId2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BEF" w:rsidRDefault="003F3BEF" w:rsidP="004F7663">
      <w:r>
        <w:separator/>
      </w:r>
    </w:p>
  </w:endnote>
  <w:endnote w:type="continuationSeparator" w:id="0">
    <w:p w:rsidR="003F3BEF" w:rsidRDefault="003F3BEF" w:rsidP="004F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B40" w:rsidRDefault="003B3B40">
    <w:pPr>
      <w:pStyle w:val="Zpat"/>
      <w:framePr w:wrap="around" w:vAnchor="text" w:hAnchor="margin" w:xAlign="center" w:y="1"/>
      <w:rPr>
        <w:rStyle w:val="slostrnky"/>
      </w:rPr>
    </w:pPr>
    <w:r>
      <w:rPr>
        <w:rStyle w:val="slostrnky"/>
      </w:rPr>
      <w:tab/>
    </w:r>
  </w:p>
  <w:p w:rsidR="003B3B40" w:rsidRDefault="003B3B40">
    <w:pPr>
      <w:pStyle w:val="Zpat"/>
      <w:framePr w:wrap="around" w:vAnchor="text" w:hAnchor="margin" w:xAlign="center" w:y="1"/>
      <w:ind w:right="360"/>
      <w:rPr>
        <w:rStyle w:val="slostrnky"/>
      </w:rPr>
    </w:pPr>
  </w:p>
  <w:p w:rsidR="003B3B40" w:rsidRDefault="003B3B40">
    <w:pPr>
      <w:pStyle w:val="Zp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B40" w:rsidRDefault="003B3B40">
    <w:pPr>
      <w:pStyle w:val="Zpat"/>
      <w:framePr w:wrap="around" w:vAnchor="text" w:hAnchor="margin" w:xAlign="center" w:y="1"/>
      <w:rPr>
        <w:rStyle w:val="slostrnky"/>
      </w:rPr>
    </w:pPr>
    <w:r>
      <w:rPr>
        <w:rStyle w:val="slostrnky"/>
      </w:rPr>
      <w:tab/>
    </w:r>
  </w:p>
  <w:p w:rsidR="003B3B40" w:rsidRDefault="003B3B40">
    <w:pPr>
      <w:pStyle w:val="Zpat"/>
      <w:framePr w:wrap="around" w:vAnchor="text" w:hAnchor="margin" w:xAlign="center" w:y="1"/>
      <w:ind w:right="360"/>
      <w:rPr>
        <w:rStyle w:val="slostrnky"/>
      </w:rPr>
    </w:pPr>
  </w:p>
  <w:p w:rsidR="003B3B40" w:rsidRDefault="003B3B40">
    <w:pPr>
      <w:pStyle w:val="Zpat"/>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201030"/>
      <w:docPartObj>
        <w:docPartGallery w:val="Page Numbers (Bottom of Page)"/>
        <w:docPartUnique/>
      </w:docPartObj>
    </w:sdtPr>
    <w:sdtEndPr/>
    <w:sdtContent>
      <w:p w:rsidR="003B3B40" w:rsidRDefault="003B3B40">
        <w:pPr>
          <w:pStyle w:val="Zpat"/>
          <w:jc w:val="center"/>
        </w:pPr>
        <w:r>
          <w:fldChar w:fldCharType="begin"/>
        </w:r>
        <w:r>
          <w:instrText>PAGE   \* MERGEFORMAT</w:instrText>
        </w:r>
        <w:r>
          <w:fldChar w:fldCharType="separate"/>
        </w:r>
        <w:r w:rsidR="00FC5A0C">
          <w:rPr>
            <w:noProof/>
          </w:rPr>
          <w:t>11</w:t>
        </w:r>
        <w:r>
          <w:fldChar w:fldCharType="end"/>
        </w:r>
      </w:p>
    </w:sdtContent>
  </w:sdt>
  <w:p w:rsidR="003B3B40" w:rsidRDefault="003B3B40">
    <w:pPr>
      <w:pStyle w:val="Zpat"/>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13114"/>
      <w:docPartObj>
        <w:docPartGallery w:val="Page Numbers (Bottom of Page)"/>
        <w:docPartUnique/>
      </w:docPartObj>
    </w:sdtPr>
    <w:sdtEndPr/>
    <w:sdtContent>
      <w:p w:rsidR="003B3B40" w:rsidRDefault="003B3B40">
        <w:pPr>
          <w:pStyle w:val="Zpat"/>
          <w:jc w:val="center"/>
        </w:pPr>
        <w:r>
          <w:fldChar w:fldCharType="begin"/>
        </w:r>
        <w:r>
          <w:instrText>PAGE   \* MERGEFORMAT</w:instrText>
        </w:r>
        <w:r>
          <w:fldChar w:fldCharType="separate"/>
        </w:r>
        <w:r w:rsidR="00FC5A0C">
          <w:rPr>
            <w:noProof/>
          </w:rPr>
          <w:t>1</w:t>
        </w:r>
        <w:r>
          <w:fldChar w:fldCharType="end"/>
        </w:r>
      </w:p>
    </w:sdtContent>
  </w:sdt>
  <w:p w:rsidR="003B3B40" w:rsidRDefault="003B3B4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BEF" w:rsidRDefault="003F3BEF" w:rsidP="004F7663">
      <w:r>
        <w:separator/>
      </w:r>
    </w:p>
  </w:footnote>
  <w:footnote w:type="continuationSeparator" w:id="0">
    <w:p w:rsidR="003F3BEF" w:rsidRDefault="003F3BEF" w:rsidP="004F76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34585"/>
    <w:multiLevelType w:val="hybridMultilevel"/>
    <w:tmpl w:val="60449864"/>
    <w:lvl w:ilvl="0" w:tplc="B3069C9E">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856A66"/>
    <w:multiLevelType w:val="hybridMultilevel"/>
    <w:tmpl w:val="3628EEFE"/>
    <w:lvl w:ilvl="0" w:tplc="B3069C9E">
      <w:start w:val="1"/>
      <w:numFmt w:val="bullet"/>
      <w:lvlText w:val=""/>
      <w:lvlJc w:val="left"/>
      <w:pPr>
        <w:tabs>
          <w:tab w:val="num" w:pos="720"/>
        </w:tabs>
        <w:ind w:left="720" w:hanging="360"/>
      </w:pPr>
      <w:rPr>
        <w:rFonts w:ascii="Wingdings" w:hAnsi="Wingdings" w:hint="default"/>
        <w:b/>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06FC22C6"/>
    <w:multiLevelType w:val="multilevel"/>
    <w:tmpl w:val="04050027"/>
    <w:lvl w:ilvl="0">
      <w:start w:val="1"/>
      <w:numFmt w:val="upperRoman"/>
      <w:pStyle w:val="Nadpis1"/>
      <w:lvlText w:val="%1."/>
      <w:lvlJc w:val="left"/>
      <w:pPr>
        <w:tabs>
          <w:tab w:val="num" w:pos="360"/>
        </w:tabs>
        <w:ind w:left="0" w:firstLine="0"/>
      </w:pPr>
    </w:lvl>
    <w:lvl w:ilvl="1">
      <w:start w:val="1"/>
      <w:numFmt w:val="upperLetter"/>
      <w:pStyle w:val="Nadpis2"/>
      <w:lvlText w:val="%2."/>
      <w:lvlJc w:val="left"/>
      <w:pPr>
        <w:tabs>
          <w:tab w:val="num" w:pos="1080"/>
        </w:tabs>
        <w:ind w:left="720" w:firstLine="0"/>
      </w:pPr>
    </w:lvl>
    <w:lvl w:ilvl="2">
      <w:start w:val="1"/>
      <w:numFmt w:val="decimal"/>
      <w:pStyle w:val="Nadpis3"/>
      <w:lvlText w:val="%3."/>
      <w:lvlJc w:val="left"/>
      <w:pPr>
        <w:tabs>
          <w:tab w:val="num" w:pos="360"/>
        </w:tabs>
        <w:ind w:left="0" w:firstLine="0"/>
      </w:pPr>
    </w:lvl>
    <w:lvl w:ilvl="3">
      <w:start w:val="1"/>
      <w:numFmt w:val="lowerLetter"/>
      <w:pStyle w:val="Nadpis4"/>
      <w:lvlText w:val="%4)"/>
      <w:lvlJc w:val="left"/>
      <w:pPr>
        <w:tabs>
          <w:tab w:val="num" w:pos="2520"/>
        </w:tabs>
        <w:ind w:left="2160" w:firstLine="0"/>
      </w:pPr>
    </w:lvl>
    <w:lvl w:ilvl="4">
      <w:start w:val="1"/>
      <w:numFmt w:val="decimal"/>
      <w:pStyle w:val="Nadpis5"/>
      <w:lvlText w:val="(%5)"/>
      <w:lvlJc w:val="left"/>
      <w:pPr>
        <w:tabs>
          <w:tab w:val="num" w:pos="3240"/>
        </w:tabs>
        <w:ind w:left="2880" w:firstLine="0"/>
      </w:pPr>
    </w:lvl>
    <w:lvl w:ilvl="5">
      <w:start w:val="1"/>
      <w:numFmt w:val="lowerLetter"/>
      <w:pStyle w:val="Nadpis6"/>
      <w:lvlText w:val="(%6)"/>
      <w:lvlJc w:val="left"/>
      <w:pPr>
        <w:tabs>
          <w:tab w:val="num" w:pos="3960"/>
        </w:tabs>
        <w:ind w:left="3600" w:firstLine="0"/>
      </w:pPr>
    </w:lvl>
    <w:lvl w:ilvl="6">
      <w:start w:val="1"/>
      <w:numFmt w:val="lowerRoman"/>
      <w:pStyle w:val="Nadpis7"/>
      <w:lvlText w:val="(%7)"/>
      <w:lvlJc w:val="left"/>
      <w:pPr>
        <w:tabs>
          <w:tab w:val="num" w:pos="4680"/>
        </w:tabs>
        <w:ind w:left="4320" w:firstLine="0"/>
      </w:pPr>
    </w:lvl>
    <w:lvl w:ilvl="7">
      <w:start w:val="1"/>
      <w:numFmt w:val="lowerLetter"/>
      <w:pStyle w:val="Nadpis8"/>
      <w:lvlText w:val="(%8)"/>
      <w:lvlJc w:val="left"/>
      <w:pPr>
        <w:tabs>
          <w:tab w:val="num" w:pos="5400"/>
        </w:tabs>
        <w:ind w:left="5040" w:firstLine="0"/>
      </w:pPr>
    </w:lvl>
    <w:lvl w:ilvl="8">
      <w:start w:val="1"/>
      <w:numFmt w:val="lowerRoman"/>
      <w:pStyle w:val="Nadpis9"/>
      <w:lvlText w:val="(%9)"/>
      <w:lvlJc w:val="left"/>
      <w:pPr>
        <w:tabs>
          <w:tab w:val="num" w:pos="6120"/>
        </w:tabs>
        <w:ind w:left="5760" w:firstLine="0"/>
      </w:pPr>
    </w:lvl>
  </w:abstractNum>
  <w:abstractNum w:abstractNumId="3">
    <w:nsid w:val="0AE76170"/>
    <w:multiLevelType w:val="hybridMultilevel"/>
    <w:tmpl w:val="86DAC360"/>
    <w:lvl w:ilvl="0" w:tplc="B3069C9E">
      <w:start w:val="1"/>
      <w:numFmt w:val="bullet"/>
      <w:lvlText w:val=""/>
      <w:lvlJc w:val="left"/>
      <w:pPr>
        <w:ind w:left="720" w:hanging="360"/>
      </w:pPr>
      <w:rPr>
        <w:rFonts w:ascii="Wingdings" w:hAnsi="Wingdings"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0DA21DB"/>
    <w:multiLevelType w:val="hybridMultilevel"/>
    <w:tmpl w:val="E5BE63BE"/>
    <w:lvl w:ilvl="0" w:tplc="2ABA9970">
      <w:start w:val="3"/>
      <w:numFmt w:val="decimal"/>
      <w:lvlText w:val="%1."/>
      <w:lvlJc w:val="left"/>
      <w:pPr>
        <w:ind w:left="990" w:hanging="360"/>
      </w:pPr>
      <w:rPr>
        <w:rFonts w:hint="default"/>
      </w:rPr>
    </w:lvl>
    <w:lvl w:ilvl="1" w:tplc="04050019" w:tentative="1">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5">
    <w:nsid w:val="124F1F3D"/>
    <w:multiLevelType w:val="hybridMultilevel"/>
    <w:tmpl w:val="30CEA738"/>
    <w:lvl w:ilvl="0" w:tplc="B3069C9E">
      <w:start w:val="1"/>
      <w:numFmt w:val="bullet"/>
      <w:lvlText w:val=""/>
      <w:lvlJc w:val="left"/>
      <w:pPr>
        <w:tabs>
          <w:tab w:val="num" w:pos="2250"/>
        </w:tabs>
        <w:ind w:left="2250" w:hanging="360"/>
      </w:pPr>
      <w:rPr>
        <w:rFonts w:ascii="Wingdings" w:hAnsi="Wingdings"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2532D25"/>
    <w:multiLevelType w:val="hybridMultilevel"/>
    <w:tmpl w:val="3DA20242"/>
    <w:lvl w:ilvl="0" w:tplc="B3069C9E">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5922E8D"/>
    <w:multiLevelType w:val="hybridMultilevel"/>
    <w:tmpl w:val="0818E5EE"/>
    <w:lvl w:ilvl="0" w:tplc="B3069C9E">
      <w:start w:val="1"/>
      <w:numFmt w:val="bullet"/>
      <w:lvlText w:val=""/>
      <w:lvlJc w:val="left"/>
      <w:pPr>
        <w:ind w:left="720" w:hanging="360"/>
      </w:pPr>
      <w:rPr>
        <w:rFonts w:ascii="Wingdings" w:hAnsi="Wingdings"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8361709"/>
    <w:multiLevelType w:val="hybridMultilevel"/>
    <w:tmpl w:val="C012EC38"/>
    <w:lvl w:ilvl="0" w:tplc="0986A486">
      <w:start w:val="1"/>
      <w:numFmt w:val="bullet"/>
      <w:lvlText w:val=""/>
      <w:lvlJc w:val="left"/>
      <w:pPr>
        <w:tabs>
          <w:tab w:val="num" w:pos="1068"/>
        </w:tabs>
        <w:ind w:left="1068" w:hanging="360"/>
      </w:pPr>
      <w:rPr>
        <w:rFonts w:ascii="Symbol" w:hAnsi="Symbol" w:hint="default"/>
        <w:b/>
        <w:color w:val="auto"/>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
    <w:nsid w:val="1ABC5BCD"/>
    <w:multiLevelType w:val="hybridMultilevel"/>
    <w:tmpl w:val="268C4E1E"/>
    <w:lvl w:ilvl="0" w:tplc="B3069C9E">
      <w:start w:val="1"/>
      <w:numFmt w:val="bullet"/>
      <w:lvlText w:val=""/>
      <w:lvlJc w:val="left"/>
      <w:pPr>
        <w:ind w:left="720" w:hanging="360"/>
      </w:pPr>
      <w:rPr>
        <w:rFonts w:ascii="Wingdings" w:hAnsi="Wingdings"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06C0DA2"/>
    <w:multiLevelType w:val="hybridMultilevel"/>
    <w:tmpl w:val="82EAE868"/>
    <w:lvl w:ilvl="0" w:tplc="B3069C9E">
      <w:start w:val="1"/>
      <w:numFmt w:val="bullet"/>
      <w:lvlText w:val=""/>
      <w:lvlJc w:val="left"/>
      <w:pPr>
        <w:tabs>
          <w:tab w:val="num" w:pos="720"/>
        </w:tabs>
        <w:ind w:left="720" w:hanging="360"/>
      </w:pPr>
      <w:rPr>
        <w:rFonts w:ascii="Wingdings" w:hAnsi="Wingdings" w:hint="default"/>
        <w:b/>
        <w:color w:val="auto"/>
      </w:rPr>
    </w:lvl>
    <w:lvl w:ilvl="1" w:tplc="04050003">
      <w:start w:val="1"/>
      <w:numFmt w:val="bullet"/>
      <w:lvlText w:val="o"/>
      <w:lvlJc w:val="left"/>
      <w:pPr>
        <w:tabs>
          <w:tab w:val="num" w:pos="2509"/>
        </w:tabs>
        <w:ind w:left="2509" w:hanging="360"/>
      </w:pPr>
      <w:rPr>
        <w:rFonts w:ascii="Courier New" w:hAnsi="Courier New" w:cs="Times New Roman" w:hint="default"/>
      </w:rPr>
    </w:lvl>
    <w:lvl w:ilvl="2" w:tplc="04050005">
      <w:start w:val="1"/>
      <w:numFmt w:val="bullet"/>
      <w:lvlText w:val=""/>
      <w:lvlJc w:val="left"/>
      <w:pPr>
        <w:tabs>
          <w:tab w:val="num" w:pos="3229"/>
        </w:tabs>
        <w:ind w:left="3229" w:hanging="360"/>
      </w:pPr>
      <w:rPr>
        <w:rFonts w:ascii="Wingdings" w:hAnsi="Wingdings" w:hint="default"/>
      </w:rPr>
    </w:lvl>
    <w:lvl w:ilvl="3" w:tplc="04050001">
      <w:start w:val="1"/>
      <w:numFmt w:val="bullet"/>
      <w:lvlText w:val=""/>
      <w:lvlJc w:val="left"/>
      <w:pPr>
        <w:tabs>
          <w:tab w:val="num" w:pos="3949"/>
        </w:tabs>
        <w:ind w:left="3949" w:hanging="360"/>
      </w:pPr>
      <w:rPr>
        <w:rFonts w:ascii="Symbol" w:hAnsi="Symbol" w:hint="default"/>
      </w:rPr>
    </w:lvl>
    <w:lvl w:ilvl="4" w:tplc="04050003">
      <w:start w:val="1"/>
      <w:numFmt w:val="bullet"/>
      <w:lvlText w:val="o"/>
      <w:lvlJc w:val="left"/>
      <w:pPr>
        <w:tabs>
          <w:tab w:val="num" w:pos="4669"/>
        </w:tabs>
        <w:ind w:left="4669" w:hanging="360"/>
      </w:pPr>
      <w:rPr>
        <w:rFonts w:ascii="Courier New" w:hAnsi="Courier New" w:cs="Times New Roman" w:hint="default"/>
      </w:rPr>
    </w:lvl>
    <w:lvl w:ilvl="5" w:tplc="04050005">
      <w:start w:val="1"/>
      <w:numFmt w:val="bullet"/>
      <w:lvlText w:val=""/>
      <w:lvlJc w:val="left"/>
      <w:pPr>
        <w:tabs>
          <w:tab w:val="num" w:pos="5389"/>
        </w:tabs>
        <w:ind w:left="5389" w:hanging="360"/>
      </w:pPr>
      <w:rPr>
        <w:rFonts w:ascii="Wingdings" w:hAnsi="Wingdings" w:hint="default"/>
      </w:rPr>
    </w:lvl>
    <w:lvl w:ilvl="6" w:tplc="04050001">
      <w:start w:val="1"/>
      <w:numFmt w:val="bullet"/>
      <w:lvlText w:val=""/>
      <w:lvlJc w:val="left"/>
      <w:pPr>
        <w:tabs>
          <w:tab w:val="num" w:pos="6109"/>
        </w:tabs>
        <w:ind w:left="6109" w:hanging="360"/>
      </w:pPr>
      <w:rPr>
        <w:rFonts w:ascii="Symbol" w:hAnsi="Symbol" w:hint="default"/>
      </w:rPr>
    </w:lvl>
    <w:lvl w:ilvl="7" w:tplc="04050003">
      <w:start w:val="1"/>
      <w:numFmt w:val="bullet"/>
      <w:lvlText w:val="o"/>
      <w:lvlJc w:val="left"/>
      <w:pPr>
        <w:tabs>
          <w:tab w:val="num" w:pos="6829"/>
        </w:tabs>
        <w:ind w:left="6829" w:hanging="360"/>
      </w:pPr>
      <w:rPr>
        <w:rFonts w:ascii="Courier New" w:hAnsi="Courier New" w:cs="Times New Roman" w:hint="default"/>
      </w:rPr>
    </w:lvl>
    <w:lvl w:ilvl="8" w:tplc="04050005">
      <w:start w:val="1"/>
      <w:numFmt w:val="bullet"/>
      <w:lvlText w:val=""/>
      <w:lvlJc w:val="left"/>
      <w:pPr>
        <w:tabs>
          <w:tab w:val="num" w:pos="7549"/>
        </w:tabs>
        <w:ind w:left="7549" w:hanging="360"/>
      </w:pPr>
      <w:rPr>
        <w:rFonts w:ascii="Wingdings" w:hAnsi="Wingdings" w:hint="default"/>
      </w:rPr>
    </w:lvl>
  </w:abstractNum>
  <w:abstractNum w:abstractNumId="11">
    <w:nsid w:val="28DB1D74"/>
    <w:multiLevelType w:val="multilevel"/>
    <w:tmpl w:val="056ECAB2"/>
    <w:lvl w:ilvl="0">
      <w:start w:val="1"/>
      <w:numFmt w:val="decimal"/>
      <w:lvlText w:val="%1."/>
      <w:lvlJc w:val="left"/>
      <w:pPr>
        <w:tabs>
          <w:tab w:val="num" w:pos="-687"/>
        </w:tabs>
        <w:ind w:left="-687" w:hanging="360"/>
      </w:pPr>
      <w:rPr>
        <w:rFonts w:hint="default"/>
      </w:rPr>
    </w:lvl>
    <w:lvl w:ilvl="1">
      <w:start w:val="2"/>
      <w:numFmt w:val="decimal"/>
      <w:isLgl/>
      <w:lvlText w:val="%1.%2"/>
      <w:lvlJc w:val="left"/>
      <w:pPr>
        <w:tabs>
          <w:tab w:val="num" w:pos="-417"/>
        </w:tabs>
        <w:ind w:left="-417" w:hanging="630"/>
      </w:pPr>
      <w:rPr>
        <w:rFonts w:hint="default"/>
      </w:rPr>
    </w:lvl>
    <w:lvl w:ilvl="2">
      <w:start w:val="1"/>
      <w:numFmt w:val="decimal"/>
      <w:isLgl/>
      <w:lvlText w:val="%1.%2.%3"/>
      <w:lvlJc w:val="left"/>
      <w:pPr>
        <w:tabs>
          <w:tab w:val="num" w:pos="-327"/>
        </w:tabs>
        <w:ind w:left="-327" w:hanging="720"/>
      </w:pPr>
      <w:rPr>
        <w:rFonts w:hint="default"/>
      </w:rPr>
    </w:lvl>
    <w:lvl w:ilvl="3">
      <w:start w:val="1"/>
      <w:numFmt w:val="decimal"/>
      <w:isLgl/>
      <w:lvlText w:val="%1.%2.%3.%4"/>
      <w:lvlJc w:val="left"/>
      <w:pPr>
        <w:tabs>
          <w:tab w:val="num" w:pos="33"/>
        </w:tabs>
        <w:ind w:left="33" w:hanging="1080"/>
      </w:pPr>
      <w:rPr>
        <w:rFonts w:hint="default"/>
      </w:rPr>
    </w:lvl>
    <w:lvl w:ilvl="4">
      <w:start w:val="1"/>
      <w:numFmt w:val="decimal"/>
      <w:isLgl/>
      <w:lvlText w:val="%1.%2.%3.%4.%5"/>
      <w:lvlJc w:val="left"/>
      <w:pPr>
        <w:tabs>
          <w:tab w:val="num" w:pos="33"/>
        </w:tabs>
        <w:ind w:left="33" w:hanging="1080"/>
      </w:pPr>
      <w:rPr>
        <w:rFonts w:hint="default"/>
      </w:rPr>
    </w:lvl>
    <w:lvl w:ilvl="5">
      <w:start w:val="1"/>
      <w:numFmt w:val="decimal"/>
      <w:isLgl/>
      <w:lvlText w:val="%1.%2.%3.%4.%5.%6"/>
      <w:lvlJc w:val="left"/>
      <w:pPr>
        <w:tabs>
          <w:tab w:val="num" w:pos="393"/>
        </w:tabs>
        <w:ind w:left="393" w:hanging="1440"/>
      </w:pPr>
      <w:rPr>
        <w:rFonts w:hint="default"/>
      </w:rPr>
    </w:lvl>
    <w:lvl w:ilvl="6">
      <w:start w:val="1"/>
      <w:numFmt w:val="decimal"/>
      <w:isLgl/>
      <w:lvlText w:val="%1.%2.%3.%4.%5.%6.%7"/>
      <w:lvlJc w:val="left"/>
      <w:pPr>
        <w:tabs>
          <w:tab w:val="num" w:pos="393"/>
        </w:tabs>
        <w:ind w:left="393" w:hanging="1440"/>
      </w:pPr>
      <w:rPr>
        <w:rFonts w:hint="default"/>
      </w:rPr>
    </w:lvl>
    <w:lvl w:ilvl="7">
      <w:start w:val="1"/>
      <w:numFmt w:val="decimal"/>
      <w:isLgl/>
      <w:lvlText w:val="%1.%2.%3.%4.%5.%6.%7.%8"/>
      <w:lvlJc w:val="left"/>
      <w:pPr>
        <w:tabs>
          <w:tab w:val="num" w:pos="753"/>
        </w:tabs>
        <w:ind w:left="753" w:hanging="1800"/>
      </w:pPr>
      <w:rPr>
        <w:rFonts w:hint="default"/>
      </w:rPr>
    </w:lvl>
    <w:lvl w:ilvl="8">
      <w:start w:val="1"/>
      <w:numFmt w:val="decimal"/>
      <w:isLgl/>
      <w:lvlText w:val="%1.%2.%3.%4.%5.%6.%7.%8.%9"/>
      <w:lvlJc w:val="left"/>
      <w:pPr>
        <w:tabs>
          <w:tab w:val="num" w:pos="753"/>
        </w:tabs>
        <w:ind w:left="753" w:hanging="1800"/>
      </w:pPr>
      <w:rPr>
        <w:rFonts w:hint="default"/>
      </w:rPr>
    </w:lvl>
  </w:abstractNum>
  <w:abstractNum w:abstractNumId="12">
    <w:nsid w:val="33FC04DE"/>
    <w:multiLevelType w:val="hybridMultilevel"/>
    <w:tmpl w:val="AB84942A"/>
    <w:lvl w:ilvl="0" w:tplc="B3069C9E">
      <w:start w:val="1"/>
      <w:numFmt w:val="bullet"/>
      <w:lvlText w:val=""/>
      <w:lvlJc w:val="left"/>
      <w:pPr>
        <w:ind w:left="720" w:hanging="360"/>
      </w:pPr>
      <w:rPr>
        <w:rFonts w:ascii="Wingdings" w:hAnsi="Wingdings" w:hint="default"/>
        <w:color w:val="auto"/>
        <w:sz w:val="24"/>
        <w:szCs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A0762BE"/>
    <w:multiLevelType w:val="hybridMultilevel"/>
    <w:tmpl w:val="CADE2882"/>
    <w:lvl w:ilvl="0" w:tplc="B3069C9E">
      <w:start w:val="1"/>
      <w:numFmt w:val="bullet"/>
      <w:lvlText w:val=""/>
      <w:lvlJc w:val="left"/>
      <w:pPr>
        <w:tabs>
          <w:tab w:val="num" w:pos="1068"/>
        </w:tabs>
        <w:ind w:left="1068" w:hanging="360"/>
      </w:pPr>
      <w:rPr>
        <w:rFonts w:ascii="Wingdings" w:hAnsi="Wingdings" w:hint="default"/>
        <w:color w:val="auto"/>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nsid w:val="45B14DDA"/>
    <w:multiLevelType w:val="hybridMultilevel"/>
    <w:tmpl w:val="FAD8F8B2"/>
    <w:lvl w:ilvl="0" w:tplc="7D000BD0">
      <w:start w:val="1"/>
      <w:numFmt w:val="bullet"/>
      <w:lvlText w:val=""/>
      <w:lvlJc w:val="left"/>
      <w:pPr>
        <w:tabs>
          <w:tab w:val="num" w:pos="720"/>
        </w:tabs>
        <w:ind w:left="720" w:hanging="360"/>
      </w:pPr>
      <w:rPr>
        <w:rFonts w:ascii="Wingdings" w:hAnsi="Wingdings" w:hint="default"/>
        <w:b w:val="0"/>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465C6970"/>
    <w:multiLevelType w:val="hybridMultilevel"/>
    <w:tmpl w:val="7C58D846"/>
    <w:lvl w:ilvl="0" w:tplc="B3069C9E">
      <w:start w:val="1"/>
      <w:numFmt w:val="bullet"/>
      <w:lvlText w:val=""/>
      <w:lvlJc w:val="left"/>
      <w:pPr>
        <w:tabs>
          <w:tab w:val="num" w:pos="720"/>
        </w:tabs>
        <w:ind w:left="720" w:hanging="360"/>
      </w:pPr>
      <w:rPr>
        <w:rFonts w:ascii="Wingdings" w:hAnsi="Wingdings" w:hint="default"/>
        <w:b/>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4F9E2279"/>
    <w:multiLevelType w:val="hybridMultilevel"/>
    <w:tmpl w:val="B65429D2"/>
    <w:lvl w:ilvl="0" w:tplc="0405000F">
      <w:start w:val="3"/>
      <w:numFmt w:val="decimal"/>
      <w:lvlText w:val="%1."/>
      <w:lvlJc w:val="left"/>
      <w:pPr>
        <w:ind w:left="990" w:hanging="360"/>
      </w:pPr>
      <w:rPr>
        <w:rFonts w:hint="default"/>
      </w:rPr>
    </w:lvl>
    <w:lvl w:ilvl="1" w:tplc="04050019" w:tentative="1">
      <w:start w:val="1"/>
      <w:numFmt w:val="lowerLetter"/>
      <w:lvlText w:val="%2."/>
      <w:lvlJc w:val="left"/>
      <w:pPr>
        <w:ind w:left="1710" w:hanging="360"/>
      </w:pPr>
    </w:lvl>
    <w:lvl w:ilvl="2" w:tplc="0405001B" w:tentative="1">
      <w:start w:val="1"/>
      <w:numFmt w:val="lowerRoman"/>
      <w:lvlText w:val="%3."/>
      <w:lvlJc w:val="right"/>
      <w:pPr>
        <w:ind w:left="2430" w:hanging="180"/>
      </w:pPr>
    </w:lvl>
    <w:lvl w:ilvl="3" w:tplc="0405000F" w:tentative="1">
      <w:start w:val="1"/>
      <w:numFmt w:val="decimal"/>
      <w:lvlText w:val="%4."/>
      <w:lvlJc w:val="left"/>
      <w:pPr>
        <w:ind w:left="3150" w:hanging="360"/>
      </w:pPr>
    </w:lvl>
    <w:lvl w:ilvl="4" w:tplc="04050019" w:tentative="1">
      <w:start w:val="1"/>
      <w:numFmt w:val="lowerLetter"/>
      <w:lvlText w:val="%5."/>
      <w:lvlJc w:val="left"/>
      <w:pPr>
        <w:ind w:left="3870" w:hanging="360"/>
      </w:pPr>
    </w:lvl>
    <w:lvl w:ilvl="5" w:tplc="0405001B" w:tentative="1">
      <w:start w:val="1"/>
      <w:numFmt w:val="lowerRoman"/>
      <w:lvlText w:val="%6."/>
      <w:lvlJc w:val="right"/>
      <w:pPr>
        <w:ind w:left="4590" w:hanging="180"/>
      </w:pPr>
    </w:lvl>
    <w:lvl w:ilvl="6" w:tplc="0405000F" w:tentative="1">
      <w:start w:val="1"/>
      <w:numFmt w:val="decimal"/>
      <w:lvlText w:val="%7."/>
      <w:lvlJc w:val="left"/>
      <w:pPr>
        <w:ind w:left="5310" w:hanging="360"/>
      </w:pPr>
    </w:lvl>
    <w:lvl w:ilvl="7" w:tplc="04050019" w:tentative="1">
      <w:start w:val="1"/>
      <w:numFmt w:val="lowerLetter"/>
      <w:lvlText w:val="%8."/>
      <w:lvlJc w:val="left"/>
      <w:pPr>
        <w:ind w:left="6030" w:hanging="360"/>
      </w:pPr>
    </w:lvl>
    <w:lvl w:ilvl="8" w:tplc="0405001B" w:tentative="1">
      <w:start w:val="1"/>
      <w:numFmt w:val="lowerRoman"/>
      <w:lvlText w:val="%9."/>
      <w:lvlJc w:val="right"/>
      <w:pPr>
        <w:ind w:left="6750" w:hanging="180"/>
      </w:pPr>
    </w:lvl>
  </w:abstractNum>
  <w:abstractNum w:abstractNumId="17">
    <w:nsid w:val="51A01DEB"/>
    <w:multiLevelType w:val="hybridMultilevel"/>
    <w:tmpl w:val="DFE86A58"/>
    <w:lvl w:ilvl="0" w:tplc="B3069C9E">
      <w:start w:val="1"/>
      <w:numFmt w:val="bullet"/>
      <w:lvlText w:val=""/>
      <w:lvlJc w:val="left"/>
      <w:pPr>
        <w:ind w:left="720" w:hanging="360"/>
      </w:pPr>
      <w:rPr>
        <w:rFonts w:ascii="Wingdings" w:hAnsi="Wingdings"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6D4CF9"/>
    <w:multiLevelType w:val="hybridMultilevel"/>
    <w:tmpl w:val="A9220114"/>
    <w:lvl w:ilvl="0" w:tplc="B3069C9E">
      <w:start w:val="1"/>
      <w:numFmt w:val="bullet"/>
      <w:lvlText w:val=""/>
      <w:lvlJc w:val="left"/>
      <w:pPr>
        <w:ind w:left="1065" w:hanging="360"/>
      </w:pPr>
      <w:rPr>
        <w:rFonts w:ascii="Wingdings" w:hAnsi="Wingdings" w:hint="default"/>
        <w:color w:val="auto"/>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9">
    <w:nsid w:val="5DB36C6C"/>
    <w:multiLevelType w:val="hybridMultilevel"/>
    <w:tmpl w:val="6CB6E8C8"/>
    <w:lvl w:ilvl="0" w:tplc="B3069C9E">
      <w:start w:val="1"/>
      <w:numFmt w:val="bullet"/>
      <w:lvlText w:val=""/>
      <w:lvlJc w:val="left"/>
      <w:pPr>
        <w:ind w:left="720" w:hanging="360"/>
      </w:pPr>
      <w:rPr>
        <w:rFonts w:ascii="Wingdings" w:hAnsi="Wingdings"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56053A8"/>
    <w:multiLevelType w:val="hybridMultilevel"/>
    <w:tmpl w:val="45D6755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nsid w:val="6DCA2041"/>
    <w:multiLevelType w:val="hybridMultilevel"/>
    <w:tmpl w:val="A39C0212"/>
    <w:lvl w:ilvl="0" w:tplc="3B06BAE0">
      <w:start w:val="1"/>
      <w:numFmt w:val="decimal"/>
      <w:lvlText w:val="%1)"/>
      <w:lvlJc w:val="left"/>
      <w:pPr>
        <w:ind w:left="720" w:hanging="360"/>
      </w:pPr>
      <w:rPr>
        <w:rFonts w:ascii="Arial" w:hAnsi="Arial" w:hint="default"/>
        <w:b w:val="0"/>
        <w:i w:val="0"/>
        <w:caps w:val="0"/>
        <w:strike w:val="0"/>
        <w:dstrike w:val="0"/>
        <w:vanish w:val="0"/>
        <w:color w:val="auto"/>
        <w:sz w:val="18"/>
        <w:u w:val="none"/>
        <w:vertAlign w:val="superscrip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F5C6458"/>
    <w:multiLevelType w:val="hybridMultilevel"/>
    <w:tmpl w:val="C010DCCA"/>
    <w:lvl w:ilvl="0" w:tplc="00CE3A96">
      <w:start w:val="1"/>
      <w:numFmt w:val="bullet"/>
      <w:lvlText w:val=""/>
      <w:lvlJc w:val="left"/>
      <w:pPr>
        <w:ind w:left="720" w:hanging="360"/>
      </w:pPr>
      <w:rPr>
        <w:rFonts w:ascii="Wingdings" w:hAnsi="Wingdings"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7524CE6"/>
    <w:multiLevelType w:val="hybridMultilevel"/>
    <w:tmpl w:val="A19421A6"/>
    <w:lvl w:ilvl="0" w:tplc="0986A486">
      <w:start w:val="1"/>
      <w:numFmt w:val="bullet"/>
      <w:lvlText w:val=""/>
      <w:lvlJc w:val="left"/>
      <w:pPr>
        <w:ind w:left="720" w:hanging="360"/>
      </w:pPr>
      <w:rPr>
        <w:rFonts w:ascii="Symbol" w:hAnsi="Symbol" w:hint="default"/>
        <w:b/>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16"/>
  </w:num>
  <w:num w:numId="4">
    <w:abstractNumId w:val="4"/>
  </w:num>
  <w:num w:numId="5">
    <w:abstractNumId w:val="0"/>
  </w:num>
  <w:num w:numId="6">
    <w:abstractNumId w:val="5"/>
  </w:num>
  <w:num w:numId="7">
    <w:abstractNumId w:val="14"/>
  </w:num>
  <w:num w:numId="8">
    <w:abstractNumId w:val="18"/>
  </w:num>
  <w:num w:numId="9">
    <w:abstractNumId w:val="20"/>
  </w:num>
  <w:num w:numId="10">
    <w:abstractNumId w:val="12"/>
  </w:num>
  <w:num w:numId="11">
    <w:abstractNumId w:val="9"/>
  </w:num>
  <w:num w:numId="12">
    <w:abstractNumId w:val="3"/>
  </w:num>
  <w:num w:numId="13">
    <w:abstractNumId w:val="19"/>
  </w:num>
  <w:num w:numId="14">
    <w:abstractNumId w:val="10"/>
  </w:num>
  <w:num w:numId="15">
    <w:abstractNumId w:val="6"/>
  </w:num>
  <w:num w:numId="16">
    <w:abstractNumId w:val="13"/>
  </w:num>
  <w:num w:numId="17">
    <w:abstractNumId w:val="17"/>
  </w:num>
  <w:num w:numId="18">
    <w:abstractNumId w:val="21"/>
  </w:num>
  <w:num w:numId="19">
    <w:abstractNumId w:val="1"/>
  </w:num>
  <w:num w:numId="20">
    <w:abstractNumId w:val="8"/>
  </w:num>
  <w:num w:numId="21">
    <w:abstractNumId w:val="23"/>
  </w:num>
  <w:num w:numId="22">
    <w:abstractNumId w:val="15"/>
  </w:num>
  <w:num w:numId="23">
    <w:abstractNumId w:val="7"/>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663"/>
    <w:rsid w:val="00003DAF"/>
    <w:rsid w:val="000166A5"/>
    <w:rsid w:val="00025CA0"/>
    <w:rsid w:val="000268BF"/>
    <w:rsid w:val="00031D31"/>
    <w:rsid w:val="00031FF7"/>
    <w:rsid w:val="00050CEA"/>
    <w:rsid w:val="000510C6"/>
    <w:rsid w:val="000563FA"/>
    <w:rsid w:val="00070FB0"/>
    <w:rsid w:val="00071498"/>
    <w:rsid w:val="0008240B"/>
    <w:rsid w:val="00086B82"/>
    <w:rsid w:val="00090C52"/>
    <w:rsid w:val="00094D6B"/>
    <w:rsid w:val="000B0DC5"/>
    <w:rsid w:val="000B2BFC"/>
    <w:rsid w:val="000B42E1"/>
    <w:rsid w:val="000B6573"/>
    <w:rsid w:val="000C1C59"/>
    <w:rsid w:val="000C3E8E"/>
    <w:rsid w:val="000C4D7A"/>
    <w:rsid w:val="000C5E39"/>
    <w:rsid w:val="000E15F7"/>
    <w:rsid w:val="000E340E"/>
    <w:rsid w:val="000E427D"/>
    <w:rsid w:val="000E6AD1"/>
    <w:rsid w:val="000F1281"/>
    <w:rsid w:val="00101ABC"/>
    <w:rsid w:val="001038F9"/>
    <w:rsid w:val="001066E3"/>
    <w:rsid w:val="00110658"/>
    <w:rsid w:val="0011167B"/>
    <w:rsid w:val="00114E69"/>
    <w:rsid w:val="00116757"/>
    <w:rsid w:val="00123223"/>
    <w:rsid w:val="00133ACB"/>
    <w:rsid w:val="00137CDB"/>
    <w:rsid w:val="00140F09"/>
    <w:rsid w:val="00146CEA"/>
    <w:rsid w:val="00150AA9"/>
    <w:rsid w:val="00152B48"/>
    <w:rsid w:val="00153763"/>
    <w:rsid w:val="00155F8C"/>
    <w:rsid w:val="00160276"/>
    <w:rsid w:val="0018156D"/>
    <w:rsid w:val="00186D70"/>
    <w:rsid w:val="00187991"/>
    <w:rsid w:val="001A22B5"/>
    <w:rsid w:val="001A481F"/>
    <w:rsid w:val="001B0781"/>
    <w:rsid w:val="001B2F57"/>
    <w:rsid w:val="001C2789"/>
    <w:rsid w:val="001C3E93"/>
    <w:rsid w:val="001D13A8"/>
    <w:rsid w:val="001E0C70"/>
    <w:rsid w:val="001E4FDE"/>
    <w:rsid w:val="00203E1B"/>
    <w:rsid w:val="00207ABE"/>
    <w:rsid w:val="002114A7"/>
    <w:rsid w:val="00234B69"/>
    <w:rsid w:val="00246C98"/>
    <w:rsid w:val="00247889"/>
    <w:rsid w:val="00263FFD"/>
    <w:rsid w:val="00273F9E"/>
    <w:rsid w:val="00274138"/>
    <w:rsid w:val="00280C42"/>
    <w:rsid w:val="002810E5"/>
    <w:rsid w:val="00285BD8"/>
    <w:rsid w:val="002A10B7"/>
    <w:rsid w:val="002A23BB"/>
    <w:rsid w:val="002A2916"/>
    <w:rsid w:val="002A5A3D"/>
    <w:rsid w:val="002A6021"/>
    <w:rsid w:val="002B174C"/>
    <w:rsid w:val="002B6341"/>
    <w:rsid w:val="002B6B7F"/>
    <w:rsid w:val="002D1F32"/>
    <w:rsid w:val="002D5A65"/>
    <w:rsid w:val="002E6E37"/>
    <w:rsid w:val="002F763F"/>
    <w:rsid w:val="003030BE"/>
    <w:rsid w:val="00304CDB"/>
    <w:rsid w:val="00307070"/>
    <w:rsid w:val="00313F16"/>
    <w:rsid w:val="0032099A"/>
    <w:rsid w:val="0035122B"/>
    <w:rsid w:val="00353555"/>
    <w:rsid w:val="003543AB"/>
    <w:rsid w:val="00361FD2"/>
    <w:rsid w:val="0037211A"/>
    <w:rsid w:val="003723C2"/>
    <w:rsid w:val="00375344"/>
    <w:rsid w:val="00382B4F"/>
    <w:rsid w:val="00391DAA"/>
    <w:rsid w:val="00396551"/>
    <w:rsid w:val="003A5CB4"/>
    <w:rsid w:val="003B2461"/>
    <w:rsid w:val="003B3B40"/>
    <w:rsid w:val="003B5D1E"/>
    <w:rsid w:val="003C1F05"/>
    <w:rsid w:val="003C3162"/>
    <w:rsid w:val="003D044E"/>
    <w:rsid w:val="003D2F13"/>
    <w:rsid w:val="003D37B7"/>
    <w:rsid w:val="003F3BEF"/>
    <w:rsid w:val="00401DB2"/>
    <w:rsid w:val="00410F2B"/>
    <w:rsid w:val="00417370"/>
    <w:rsid w:val="004248BD"/>
    <w:rsid w:val="00425054"/>
    <w:rsid w:val="00430522"/>
    <w:rsid w:val="00440925"/>
    <w:rsid w:val="00446A5F"/>
    <w:rsid w:val="0045189D"/>
    <w:rsid w:val="00463EB4"/>
    <w:rsid w:val="00465D5C"/>
    <w:rsid w:val="004676B6"/>
    <w:rsid w:val="00474194"/>
    <w:rsid w:val="00492ABB"/>
    <w:rsid w:val="00497665"/>
    <w:rsid w:val="004B3844"/>
    <w:rsid w:val="004B48E8"/>
    <w:rsid w:val="004B6942"/>
    <w:rsid w:val="004E0CE4"/>
    <w:rsid w:val="004E2B0E"/>
    <w:rsid w:val="004E306E"/>
    <w:rsid w:val="004E718A"/>
    <w:rsid w:val="004F3908"/>
    <w:rsid w:val="004F4F8E"/>
    <w:rsid w:val="004F7663"/>
    <w:rsid w:val="00501A14"/>
    <w:rsid w:val="00505539"/>
    <w:rsid w:val="005065CA"/>
    <w:rsid w:val="005119B6"/>
    <w:rsid w:val="005160BC"/>
    <w:rsid w:val="0051747C"/>
    <w:rsid w:val="005328BD"/>
    <w:rsid w:val="00540CB5"/>
    <w:rsid w:val="00541897"/>
    <w:rsid w:val="005450AE"/>
    <w:rsid w:val="00547D99"/>
    <w:rsid w:val="005670E5"/>
    <w:rsid w:val="0057586E"/>
    <w:rsid w:val="00577AAD"/>
    <w:rsid w:val="005831D1"/>
    <w:rsid w:val="00587C19"/>
    <w:rsid w:val="00595466"/>
    <w:rsid w:val="005A00D5"/>
    <w:rsid w:val="005A0447"/>
    <w:rsid w:val="005B664A"/>
    <w:rsid w:val="005C0497"/>
    <w:rsid w:val="005D15A4"/>
    <w:rsid w:val="005D7AA5"/>
    <w:rsid w:val="005F7C40"/>
    <w:rsid w:val="00616093"/>
    <w:rsid w:val="00620E82"/>
    <w:rsid w:val="00627723"/>
    <w:rsid w:val="006410B3"/>
    <w:rsid w:val="00651079"/>
    <w:rsid w:val="0066165B"/>
    <w:rsid w:val="00663122"/>
    <w:rsid w:val="00671AD2"/>
    <w:rsid w:val="00673CB5"/>
    <w:rsid w:val="00684ED5"/>
    <w:rsid w:val="00687F21"/>
    <w:rsid w:val="00691095"/>
    <w:rsid w:val="006A3BD8"/>
    <w:rsid w:val="006B08F2"/>
    <w:rsid w:val="006C5C12"/>
    <w:rsid w:val="006C7369"/>
    <w:rsid w:val="006E32C6"/>
    <w:rsid w:val="007005CE"/>
    <w:rsid w:val="007017D4"/>
    <w:rsid w:val="0070559B"/>
    <w:rsid w:val="00705DBE"/>
    <w:rsid w:val="00711D57"/>
    <w:rsid w:val="0071612E"/>
    <w:rsid w:val="00717E0A"/>
    <w:rsid w:val="007233E7"/>
    <w:rsid w:val="00724C33"/>
    <w:rsid w:val="00725F49"/>
    <w:rsid w:val="00731BF7"/>
    <w:rsid w:val="00742B40"/>
    <w:rsid w:val="007433EA"/>
    <w:rsid w:val="00745CAB"/>
    <w:rsid w:val="007518BA"/>
    <w:rsid w:val="0075529B"/>
    <w:rsid w:val="00756CAF"/>
    <w:rsid w:val="00757768"/>
    <w:rsid w:val="00771237"/>
    <w:rsid w:val="007859E3"/>
    <w:rsid w:val="007875BF"/>
    <w:rsid w:val="00795B21"/>
    <w:rsid w:val="007A21B4"/>
    <w:rsid w:val="007A57A1"/>
    <w:rsid w:val="007B034C"/>
    <w:rsid w:val="007B3B6C"/>
    <w:rsid w:val="007B78E4"/>
    <w:rsid w:val="007C0B49"/>
    <w:rsid w:val="007C5119"/>
    <w:rsid w:val="007C5E43"/>
    <w:rsid w:val="007D5481"/>
    <w:rsid w:val="007E156D"/>
    <w:rsid w:val="007E5E28"/>
    <w:rsid w:val="007E7DF1"/>
    <w:rsid w:val="007F5052"/>
    <w:rsid w:val="007F67FD"/>
    <w:rsid w:val="00803690"/>
    <w:rsid w:val="00810E13"/>
    <w:rsid w:val="00810E1F"/>
    <w:rsid w:val="00826871"/>
    <w:rsid w:val="00826AF8"/>
    <w:rsid w:val="00827C87"/>
    <w:rsid w:val="0083370A"/>
    <w:rsid w:val="008405EE"/>
    <w:rsid w:val="00841362"/>
    <w:rsid w:val="00847C5F"/>
    <w:rsid w:val="00851034"/>
    <w:rsid w:val="00852F2C"/>
    <w:rsid w:val="008623DB"/>
    <w:rsid w:val="00862FE2"/>
    <w:rsid w:val="00864036"/>
    <w:rsid w:val="008648A9"/>
    <w:rsid w:val="00872EE8"/>
    <w:rsid w:val="00875594"/>
    <w:rsid w:val="00884006"/>
    <w:rsid w:val="00887E4E"/>
    <w:rsid w:val="00894A75"/>
    <w:rsid w:val="008A4E1B"/>
    <w:rsid w:val="008A5472"/>
    <w:rsid w:val="008B3C8B"/>
    <w:rsid w:val="008C7196"/>
    <w:rsid w:val="008D194F"/>
    <w:rsid w:val="008D4509"/>
    <w:rsid w:val="008D4FC1"/>
    <w:rsid w:val="008D5770"/>
    <w:rsid w:val="008D7814"/>
    <w:rsid w:val="008F2546"/>
    <w:rsid w:val="00910BD2"/>
    <w:rsid w:val="009216D2"/>
    <w:rsid w:val="00943491"/>
    <w:rsid w:val="0094549F"/>
    <w:rsid w:val="00951335"/>
    <w:rsid w:val="00951DA8"/>
    <w:rsid w:val="00955B3B"/>
    <w:rsid w:val="00966F55"/>
    <w:rsid w:val="00971E3E"/>
    <w:rsid w:val="00973C13"/>
    <w:rsid w:val="00977835"/>
    <w:rsid w:val="0099596F"/>
    <w:rsid w:val="009A2147"/>
    <w:rsid w:val="009A6D38"/>
    <w:rsid w:val="009A775B"/>
    <w:rsid w:val="009B038A"/>
    <w:rsid w:val="009D1425"/>
    <w:rsid w:val="009D3994"/>
    <w:rsid w:val="009E13B1"/>
    <w:rsid w:val="009E25BC"/>
    <w:rsid w:val="009E321F"/>
    <w:rsid w:val="009E488B"/>
    <w:rsid w:val="009F5EED"/>
    <w:rsid w:val="009F6107"/>
    <w:rsid w:val="009F650E"/>
    <w:rsid w:val="009F66BE"/>
    <w:rsid w:val="00A07E15"/>
    <w:rsid w:val="00A07EF0"/>
    <w:rsid w:val="00A242A0"/>
    <w:rsid w:val="00A259D4"/>
    <w:rsid w:val="00A369FB"/>
    <w:rsid w:val="00A37690"/>
    <w:rsid w:val="00A44CF3"/>
    <w:rsid w:val="00A559F5"/>
    <w:rsid w:val="00A57F38"/>
    <w:rsid w:val="00A61BB6"/>
    <w:rsid w:val="00A70078"/>
    <w:rsid w:val="00A73956"/>
    <w:rsid w:val="00A87BD5"/>
    <w:rsid w:val="00A934F7"/>
    <w:rsid w:val="00A94D11"/>
    <w:rsid w:val="00AA5F4E"/>
    <w:rsid w:val="00AB3B5A"/>
    <w:rsid w:val="00AB50C5"/>
    <w:rsid w:val="00AB5FB3"/>
    <w:rsid w:val="00AB6AA7"/>
    <w:rsid w:val="00AC2FBC"/>
    <w:rsid w:val="00AE2F8C"/>
    <w:rsid w:val="00AE73CF"/>
    <w:rsid w:val="00AF13C7"/>
    <w:rsid w:val="00AF78A1"/>
    <w:rsid w:val="00AF7C19"/>
    <w:rsid w:val="00B00B59"/>
    <w:rsid w:val="00B065BA"/>
    <w:rsid w:val="00B0670F"/>
    <w:rsid w:val="00B2177E"/>
    <w:rsid w:val="00B21DE4"/>
    <w:rsid w:val="00B23160"/>
    <w:rsid w:val="00B256C3"/>
    <w:rsid w:val="00B26DA0"/>
    <w:rsid w:val="00B30DDC"/>
    <w:rsid w:val="00B42D9E"/>
    <w:rsid w:val="00B5424D"/>
    <w:rsid w:val="00B56031"/>
    <w:rsid w:val="00B577DD"/>
    <w:rsid w:val="00B66867"/>
    <w:rsid w:val="00B673A3"/>
    <w:rsid w:val="00B67C08"/>
    <w:rsid w:val="00B754B7"/>
    <w:rsid w:val="00B75515"/>
    <w:rsid w:val="00B77F51"/>
    <w:rsid w:val="00B82C0E"/>
    <w:rsid w:val="00B83FC0"/>
    <w:rsid w:val="00B85AD9"/>
    <w:rsid w:val="00B86AA2"/>
    <w:rsid w:val="00B95EE8"/>
    <w:rsid w:val="00B971CA"/>
    <w:rsid w:val="00BB33D9"/>
    <w:rsid w:val="00BC3104"/>
    <w:rsid w:val="00BC36BB"/>
    <w:rsid w:val="00BC6296"/>
    <w:rsid w:val="00BD6D1A"/>
    <w:rsid w:val="00BF01B4"/>
    <w:rsid w:val="00BF3249"/>
    <w:rsid w:val="00BF5C8B"/>
    <w:rsid w:val="00BF6D88"/>
    <w:rsid w:val="00C04F13"/>
    <w:rsid w:val="00C11D64"/>
    <w:rsid w:val="00C235F7"/>
    <w:rsid w:val="00C24E07"/>
    <w:rsid w:val="00C327C5"/>
    <w:rsid w:val="00C32FC3"/>
    <w:rsid w:val="00C33707"/>
    <w:rsid w:val="00C368FE"/>
    <w:rsid w:val="00C5051E"/>
    <w:rsid w:val="00C51A7B"/>
    <w:rsid w:val="00C546D0"/>
    <w:rsid w:val="00C5618F"/>
    <w:rsid w:val="00C57D57"/>
    <w:rsid w:val="00C61EA2"/>
    <w:rsid w:val="00C63B9C"/>
    <w:rsid w:val="00C7014A"/>
    <w:rsid w:val="00C805F0"/>
    <w:rsid w:val="00C822BC"/>
    <w:rsid w:val="00C8769E"/>
    <w:rsid w:val="00C91D06"/>
    <w:rsid w:val="00CA2675"/>
    <w:rsid w:val="00CA3F67"/>
    <w:rsid w:val="00CA50E2"/>
    <w:rsid w:val="00CA6C96"/>
    <w:rsid w:val="00CB182E"/>
    <w:rsid w:val="00CC0FD4"/>
    <w:rsid w:val="00CC11ED"/>
    <w:rsid w:val="00CC7BBB"/>
    <w:rsid w:val="00CD5C0F"/>
    <w:rsid w:val="00CD63B0"/>
    <w:rsid w:val="00CD6508"/>
    <w:rsid w:val="00CF2783"/>
    <w:rsid w:val="00D04375"/>
    <w:rsid w:val="00D05343"/>
    <w:rsid w:val="00D07C22"/>
    <w:rsid w:val="00D127F0"/>
    <w:rsid w:val="00D24669"/>
    <w:rsid w:val="00D24DD1"/>
    <w:rsid w:val="00D36DA8"/>
    <w:rsid w:val="00D3761D"/>
    <w:rsid w:val="00D40EBF"/>
    <w:rsid w:val="00D46F0F"/>
    <w:rsid w:val="00D526F3"/>
    <w:rsid w:val="00D53731"/>
    <w:rsid w:val="00D574C3"/>
    <w:rsid w:val="00D64754"/>
    <w:rsid w:val="00D65D8D"/>
    <w:rsid w:val="00D7243D"/>
    <w:rsid w:val="00D82410"/>
    <w:rsid w:val="00D84AB7"/>
    <w:rsid w:val="00D9706B"/>
    <w:rsid w:val="00DB66EB"/>
    <w:rsid w:val="00DB68A9"/>
    <w:rsid w:val="00DD4375"/>
    <w:rsid w:val="00DE4986"/>
    <w:rsid w:val="00DE64C8"/>
    <w:rsid w:val="00E00D8B"/>
    <w:rsid w:val="00E03870"/>
    <w:rsid w:val="00E2034D"/>
    <w:rsid w:val="00E26F8B"/>
    <w:rsid w:val="00E3016F"/>
    <w:rsid w:val="00E40A16"/>
    <w:rsid w:val="00E418CE"/>
    <w:rsid w:val="00E440E4"/>
    <w:rsid w:val="00E4642A"/>
    <w:rsid w:val="00E4767C"/>
    <w:rsid w:val="00E47936"/>
    <w:rsid w:val="00E5484A"/>
    <w:rsid w:val="00E6332A"/>
    <w:rsid w:val="00E71F2B"/>
    <w:rsid w:val="00E77B06"/>
    <w:rsid w:val="00E85C25"/>
    <w:rsid w:val="00E923BF"/>
    <w:rsid w:val="00E9722A"/>
    <w:rsid w:val="00EB348D"/>
    <w:rsid w:val="00EC00EE"/>
    <w:rsid w:val="00EC5CE5"/>
    <w:rsid w:val="00EC7304"/>
    <w:rsid w:val="00EC7C46"/>
    <w:rsid w:val="00ED30D5"/>
    <w:rsid w:val="00ED746C"/>
    <w:rsid w:val="00EE2696"/>
    <w:rsid w:val="00EE678E"/>
    <w:rsid w:val="00EF679D"/>
    <w:rsid w:val="00EF75A6"/>
    <w:rsid w:val="00F013C2"/>
    <w:rsid w:val="00F0507E"/>
    <w:rsid w:val="00F06349"/>
    <w:rsid w:val="00F10E4B"/>
    <w:rsid w:val="00F1132A"/>
    <w:rsid w:val="00F1606B"/>
    <w:rsid w:val="00F26536"/>
    <w:rsid w:val="00F476DD"/>
    <w:rsid w:val="00F56EF8"/>
    <w:rsid w:val="00F60A86"/>
    <w:rsid w:val="00F62EAC"/>
    <w:rsid w:val="00F64220"/>
    <w:rsid w:val="00F64298"/>
    <w:rsid w:val="00F677A1"/>
    <w:rsid w:val="00F70C18"/>
    <w:rsid w:val="00F76AF1"/>
    <w:rsid w:val="00F823B4"/>
    <w:rsid w:val="00F82ECB"/>
    <w:rsid w:val="00F95EA7"/>
    <w:rsid w:val="00F97BAD"/>
    <w:rsid w:val="00FA0CFA"/>
    <w:rsid w:val="00FA17CC"/>
    <w:rsid w:val="00FA1A38"/>
    <w:rsid w:val="00FA290C"/>
    <w:rsid w:val="00FA37F4"/>
    <w:rsid w:val="00FA4844"/>
    <w:rsid w:val="00FA6032"/>
    <w:rsid w:val="00FA6FF3"/>
    <w:rsid w:val="00FB193A"/>
    <w:rsid w:val="00FB6A5B"/>
    <w:rsid w:val="00FC109B"/>
    <w:rsid w:val="00FC3FB0"/>
    <w:rsid w:val="00FC5A0C"/>
    <w:rsid w:val="00FD01F5"/>
    <w:rsid w:val="00FE2629"/>
    <w:rsid w:val="00FE409A"/>
    <w:rsid w:val="00FF59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7663"/>
    <w:pPr>
      <w:spacing w:after="0" w:line="240" w:lineRule="auto"/>
    </w:pPr>
    <w:rPr>
      <w:rFonts w:ascii="Arial" w:eastAsia="Times New Roman" w:hAnsi="Arial" w:cs="Times New Roman"/>
      <w:sz w:val="24"/>
      <w:szCs w:val="20"/>
      <w:lang w:eastAsia="cs-CZ"/>
    </w:rPr>
  </w:style>
  <w:style w:type="paragraph" w:styleId="Nadpis1">
    <w:name w:val="heading 1"/>
    <w:basedOn w:val="Normln"/>
    <w:next w:val="Normln"/>
    <w:link w:val="Nadpis1Char"/>
    <w:qFormat/>
    <w:rsid w:val="004F7663"/>
    <w:pPr>
      <w:keepNext/>
      <w:numPr>
        <w:numId w:val="1"/>
      </w:numPr>
      <w:spacing w:line="360" w:lineRule="auto"/>
      <w:jc w:val="both"/>
      <w:outlineLvl w:val="0"/>
    </w:pPr>
    <w:rPr>
      <w:b/>
      <w:bCs/>
      <w:sz w:val="36"/>
    </w:rPr>
  </w:style>
  <w:style w:type="paragraph" w:styleId="Nadpis2">
    <w:name w:val="heading 2"/>
    <w:basedOn w:val="Normln"/>
    <w:next w:val="Normln"/>
    <w:link w:val="Nadpis2Char"/>
    <w:qFormat/>
    <w:rsid w:val="004F7663"/>
    <w:pPr>
      <w:keepNext/>
      <w:numPr>
        <w:ilvl w:val="1"/>
        <w:numId w:val="1"/>
      </w:numPr>
      <w:spacing w:line="360" w:lineRule="auto"/>
      <w:jc w:val="both"/>
      <w:outlineLvl w:val="1"/>
    </w:pPr>
    <w:rPr>
      <w:b/>
      <w:bCs/>
      <w:sz w:val="32"/>
    </w:rPr>
  </w:style>
  <w:style w:type="paragraph" w:styleId="Nadpis3">
    <w:name w:val="heading 3"/>
    <w:basedOn w:val="Normln"/>
    <w:next w:val="Normln"/>
    <w:link w:val="Nadpis3Char"/>
    <w:qFormat/>
    <w:rsid w:val="004F7663"/>
    <w:pPr>
      <w:keepNext/>
      <w:numPr>
        <w:ilvl w:val="2"/>
        <w:numId w:val="1"/>
      </w:numPr>
      <w:spacing w:line="360" w:lineRule="auto"/>
      <w:jc w:val="both"/>
      <w:outlineLvl w:val="2"/>
    </w:pPr>
    <w:rPr>
      <w:b/>
      <w:bCs/>
      <w:i/>
      <w:iCs/>
      <w:sz w:val="32"/>
    </w:rPr>
  </w:style>
  <w:style w:type="paragraph" w:styleId="Nadpis4">
    <w:name w:val="heading 4"/>
    <w:basedOn w:val="Normln"/>
    <w:next w:val="Normln"/>
    <w:link w:val="Nadpis4Char"/>
    <w:qFormat/>
    <w:rsid w:val="004F7663"/>
    <w:pPr>
      <w:keepNext/>
      <w:numPr>
        <w:ilvl w:val="3"/>
        <w:numId w:val="1"/>
      </w:numPr>
      <w:jc w:val="both"/>
      <w:outlineLvl w:val="3"/>
    </w:pPr>
    <w:rPr>
      <w:b/>
      <w:bCs/>
      <w:i/>
      <w:iCs/>
      <w:sz w:val="20"/>
    </w:rPr>
  </w:style>
  <w:style w:type="paragraph" w:styleId="Nadpis5">
    <w:name w:val="heading 5"/>
    <w:basedOn w:val="Normln"/>
    <w:next w:val="Normln"/>
    <w:link w:val="Nadpis5Char"/>
    <w:qFormat/>
    <w:rsid w:val="004F7663"/>
    <w:pPr>
      <w:keepNext/>
      <w:numPr>
        <w:ilvl w:val="4"/>
        <w:numId w:val="1"/>
      </w:numPr>
      <w:spacing w:line="360" w:lineRule="auto"/>
      <w:jc w:val="both"/>
      <w:outlineLvl w:val="4"/>
    </w:pPr>
    <w:rPr>
      <w:b/>
      <w:bCs/>
    </w:rPr>
  </w:style>
  <w:style w:type="paragraph" w:styleId="Nadpis6">
    <w:name w:val="heading 6"/>
    <w:basedOn w:val="Normln"/>
    <w:next w:val="Normln"/>
    <w:link w:val="Nadpis6Char"/>
    <w:qFormat/>
    <w:rsid w:val="004F7663"/>
    <w:pPr>
      <w:keepNext/>
      <w:numPr>
        <w:ilvl w:val="5"/>
        <w:numId w:val="1"/>
      </w:numPr>
      <w:spacing w:line="360" w:lineRule="auto"/>
      <w:jc w:val="both"/>
      <w:outlineLvl w:val="5"/>
    </w:pPr>
    <w:rPr>
      <w:rFonts w:cs="Arial"/>
      <w:b/>
      <w:bCs/>
      <w:sz w:val="36"/>
      <w:szCs w:val="24"/>
    </w:rPr>
  </w:style>
  <w:style w:type="paragraph" w:styleId="Nadpis7">
    <w:name w:val="heading 7"/>
    <w:basedOn w:val="Normln"/>
    <w:next w:val="Normln"/>
    <w:link w:val="Nadpis7Char"/>
    <w:qFormat/>
    <w:rsid w:val="004F7663"/>
    <w:pPr>
      <w:keepNext/>
      <w:numPr>
        <w:ilvl w:val="6"/>
        <w:numId w:val="1"/>
      </w:numPr>
      <w:spacing w:line="360" w:lineRule="auto"/>
      <w:jc w:val="both"/>
      <w:outlineLvl w:val="6"/>
    </w:pPr>
    <w:rPr>
      <w:rFonts w:cs="Arial"/>
      <w:b/>
      <w:bCs/>
      <w:i/>
      <w:iCs/>
      <w:sz w:val="28"/>
      <w:szCs w:val="24"/>
    </w:rPr>
  </w:style>
  <w:style w:type="paragraph" w:styleId="Nadpis8">
    <w:name w:val="heading 8"/>
    <w:basedOn w:val="Normln"/>
    <w:next w:val="Normln"/>
    <w:link w:val="Nadpis8Char"/>
    <w:qFormat/>
    <w:rsid w:val="004F7663"/>
    <w:pPr>
      <w:keepNext/>
      <w:numPr>
        <w:ilvl w:val="7"/>
        <w:numId w:val="1"/>
      </w:numPr>
      <w:spacing w:line="360" w:lineRule="auto"/>
      <w:jc w:val="both"/>
      <w:outlineLvl w:val="7"/>
    </w:pPr>
    <w:rPr>
      <w:rFonts w:cs="Arial"/>
      <w:b/>
      <w:bCs/>
      <w:sz w:val="36"/>
      <w:szCs w:val="24"/>
    </w:rPr>
  </w:style>
  <w:style w:type="paragraph" w:styleId="Nadpis9">
    <w:name w:val="heading 9"/>
    <w:basedOn w:val="Normln"/>
    <w:next w:val="Normln"/>
    <w:link w:val="Nadpis9Char"/>
    <w:qFormat/>
    <w:rsid w:val="004F7663"/>
    <w:pPr>
      <w:numPr>
        <w:ilvl w:val="8"/>
        <w:numId w:val="1"/>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F7663"/>
    <w:pPr>
      <w:tabs>
        <w:tab w:val="center" w:pos="4536"/>
        <w:tab w:val="right" w:pos="9072"/>
      </w:tabs>
    </w:pPr>
  </w:style>
  <w:style w:type="character" w:customStyle="1" w:styleId="ZhlavChar">
    <w:name w:val="Záhlaví Char"/>
    <w:basedOn w:val="Standardnpsmoodstavce"/>
    <w:link w:val="Zhlav"/>
    <w:uiPriority w:val="99"/>
    <w:rsid w:val="004F7663"/>
  </w:style>
  <w:style w:type="paragraph" w:styleId="Zpat">
    <w:name w:val="footer"/>
    <w:basedOn w:val="Normln"/>
    <w:link w:val="ZpatChar"/>
    <w:uiPriority w:val="99"/>
    <w:unhideWhenUsed/>
    <w:rsid w:val="004F7663"/>
    <w:pPr>
      <w:tabs>
        <w:tab w:val="center" w:pos="4536"/>
        <w:tab w:val="right" w:pos="9072"/>
      </w:tabs>
    </w:pPr>
  </w:style>
  <w:style w:type="character" w:customStyle="1" w:styleId="ZpatChar">
    <w:name w:val="Zápatí Char"/>
    <w:basedOn w:val="Standardnpsmoodstavce"/>
    <w:link w:val="Zpat"/>
    <w:uiPriority w:val="99"/>
    <w:rsid w:val="004F7663"/>
  </w:style>
  <w:style w:type="paragraph" w:styleId="Textbubliny">
    <w:name w:val="Balloon Text"/>
    <w:basedOn w:val="Normln"/>
    <w:link w:val="TextbublinyChar"/>
    <w:uiPriority w:val="99"/>
    <w:semiHidden/>
    <w:unhideWhenUsed/>
    <w:rsid w:val="004F7663"/>
    <w:rPr>
      <w:rFonts w:ascii="Tahoma" w:hAnsi="Tahoma" w:cs="Tahoma"/>
      <w:sz w:val="16"/>
      <w:szCs w:val="16"/>
    </w:rPr>
  </w:style>
  <w:style w:type="character" w:customStyle="1" w:styleId="TextbublinyChar">
    <w:name w:val="Text bubliny Char"/>
    <w:basedOn w:val="Standardnpsmoodstavce"/>
    <w:link w:val="Textbubliny"/>
    <w:uiPriority w:val="99"/>
    <w:semiHidden/>
    <w:rsid w:val="004F7663"/>
    <w:rPr>
      <w:rFonts w:ascii="Tahoma" w:hAnsi="Tahoma" w:cs="Tahoma"/>
      <w:sz w:val="16"/>
      <w:szCs w:val="16"/>
    </w:rPr>
  </w:style>
  <w:style w:type="character" w:customStyle="1" w:styleId="Nadpis1Char">
    <w:name w:val="Nadpis 1 Char"/>
    <w:basedOn w:val="Standardnpsmoodstavce"/>
    <w:link w:val="Nadpis1"/>
    <w:rsid w:val="004F7663"/>
    <w:rPr>
      <w:rFonts w:ascii="Arial" w:eastAsia="Times New Roman" w:hAnsi="Arial" w:cs="Times New Roman"/>
      <w:b/>
      <w:bCs/>
      <w:sz w:val="36"/>
      <w:szCs w:val="20"/>
      <w:lang w:eastAsia="cs-CZ"/>
    </w:rPr>
  </w:style>
  <w:style w:type="character" w:customStyle="1" w:styleId="Nadpis2Char">
    <w:name w:val="Nadpis 2 Char"/>
    <w:basedOn w:val="Standardnpsmoodstavce"/>
    <w:link w:val="Nadpis2"/>
    <w:rsid w:val="004F7663"/>
    <w:rPr>
      <w:rFonts w:ascii="Arial" w:eastAsia="Times New Roman" w:hAnsi="Arial" w:cs="Times New Roman"/>
      <w:b/>
      <w:bCs/>
      <w:sz w:val="32"/>
      <w:szCs w:val="20"/>
      <w:lang w:eastAsia="cs-CZ"/>
    </w:rPr>
  </w:style>
  <w:style w:type="character" w:customStyle="1" w:styleId="Nadpis3Char">
    <w:name w:val="Nadpis 3 Char"/>
    <w:basedOn w:val="Standardnpsmoodstavce"/>
    <w:link w:val="Nadpis3"/>
    <w:rsid w:val="004F7663"/>
    <w:rPr>
      <w:rFonts w:ascii="Arial" w:eastAsia="Times New Roman" w:hAnsi="Arial" w:cs="Times New Roman"/>
      <w:b/>
      <w:bCs/>
      <w:i/>
      <w:iCs/>
      <w:sz w:val="32"/>
      <w:szCs w:val="20"/>
      <w:lang w:eastAsia="cs-CZ"/>
    </w:rPr>
  </w:style>
  <w:style w:type="character" w:customStyle="1" w:styleId="Nadpis4Char">
    <w:name w:val="Nadpis 4 Char"/>
    <w:basedOn w:val="Standardnpsmoodstavce"/>
    <w:link w:val="Nadpis4"/>
    <w:rsid w:val="004F7663"/>
    <w:rPr>
      <w:rFonts w:ascii="Arial" w:eastAsia="Times New Roman" w:hAnsi="Arial" w:cs="Times New Roman"/>
      <w:b/>
      <w:bCs/>
      <w:i/>
      <w:iCs/>
      <w:sz w:val="20"/>
      <w:szCs w:val="20"/>
      <w:lang w:eastAsia="cs-CZ"/>
    </w:rPr>
  </w:style>
  <w:style w:type="character" w:customStyle="1" w:styleId="Nadpis5Char">
    <w:name w:val="Nadpis 5 Char"/>
    <w:basedOn w:val="Standardnpsmoodstavce"/>
    <w:link w:val="Nadpis5"/>
    <w:rsid w:val="004F7663"/>
    <w:rPr>
      <w:rFonts w:ascii="Arial" w:eastAsia="Times New Roman" w:hAnsi="Arial" w:cs="Times New Roman"/>
      <w:b/>
      <w:bCs/>
      <w:sz w:val="24"/>
      <w:szCs w:val="20"/>
      <w:lang w:eastAsia="cs-CZ"/>
    </w:rPr>
  </w:style>
  <w:style w:type="character" w:customStyle="1" w:styleId="Nadpis6Char">
    <w:name w:val="Nadpis 6 Char"/>
    <w:basedOn w:val="Standardnpsmoodstavce"/>
    <w:link w:val="Nadpis6"/>
    <w:rsid w:val="004F7663"/>
    <w:rPr>
      <w:rFonts w:ascii="Arial" w:eastAsia="Times New Roman" w:hAnsi="Arial" w:cs="Arial"/>
      <w:b/>
      <w:bCs/>
      <w:sz w:val="36"/>
      <w:szCs w:val="24"/>
      <w:lang w:eastAsia="cs-CZ"/>
    </w:rPr>
  </w:style>
  <w:style w:type="character" w:customStyle="1" w:styleId="Nadpis7Char">
    <w:name w:val="Nadpis 7 Char"/>
    <w:basedOn w:val="Standardnpsmoodstavce"/>
    <w:link w:val="Nadpis7"/>
    <w:rsid w:val="004F7663"/>
    <w:rPr>
      <w:rFonts w:ascii="Arial" w:eastAsia="Times New Roman" w:hAnsi="Arial" w:cs="Arial"/>
      <w:b/>
      <w:bCs/>
      <w:i/>
      <w:iCs/>
      <w:sz w:val="28"/>
      <w:szCs w:val="24"/>
      <w:lang w:eastAsia="cs-CZ"/>
    </w:rPr>
  </w:style>
  <w:style w:type="character" w:customStyle="1" w:styleId="Nadpis8Char">
    <w:name w:val="Nadpis 8 Char"/>
    <w:basedOn w:val="Standardnpsmoodstavce"/>
    <w:link w:val="Nadpis8"/>
    <w:rsid w:val="004F7663"/>
    <w:rPr>
      <w:rFonts w:ascii="Arial" w:eastAsia="Times New Roman" w:hAnsi="Arial" w:cs="Arial"/>
      <w:b/>
      <w:bCs/>
      <w:sz w:val="36"/>
      <w:szCs w:val="24"/>
      <w:lang w:eastAsia="cs-CZ"/>
    </w:rPr>
  </w:style>
  <w:style w:type="character" w:customStyle="1" w:styleId="Nadpis9Char">
    <w:name w:val="Nadpis 9 Char"/>
    <w:basedOn w:val="Standardnpsmoodstavce"/>
    <w:link w:val="Nadpis9"/>
    <w:rsid w:val="004F7663"/>
    <w:rPr>
      <w:rFonts w:ascii="Arial" w:eastAsia="Times New Roman" w:hAnsi="Arial" w:cs="Arial"/>
      <w:lang w:eastAsia="cs-CZ"/>
    </w:rPr>
  </w:style>
  <w:style w:type="paragraph" w:styleId="Zkladntext">
    <w:name w:val="Body Text"/>
    <w:basedOn w:val="Normln"/>
    <w:link w:val="ZkladntextChar"/>
    <w:rsid w:val="004F7663"/>
    <w:pPr>
      <w:spacing w:line="360" w:lineRule="auto"/>
      <w:jc w:val="both"/>
    </w:pPr>
  </w:style>
  <w:style w:type="character" w:customStyle="1" w:styleId="ZkladntextChar">
    <w:name w:val="Základní text Char"/>
    <w:basedOn w:val="Standardnpsmoodstavce"/>
    <w:link w:val="Zkladntext"/>
    <w:rsid w:val="004F7663"/>
    <w:rPr>
      <w:rFonts w:ascii="Arial" w:eastAsia="Times New Roman" w:hAnsi="Arial" w:cs="Times New Roman"/>
      <w:sz w:val="24"/>
      <w:szCs w:val="20"/>
      <w:lang w:eastAsia="cs-CZ"/>
    </w:rPr>
  </w:style>
  <w:style w:type="character" w:styleId="slostrnky">
    <w:name w:val="page number"/>
    <w:basedOn w:val="Standardnpsmoodstavce"/>
    <w:rsid w:val="004F7663"/>
  </w:style>
  <w:style w:type="paragraph" w:styleId="Textpoznpodarou">
    <w:name w:val="footnote text"/>
    <w:basedOn w:val="Normln"/>
    <w:link w:val="TextpoznpodarouChar"/>
    <w:semiHidden/>
    <w:rsid w:val="004F7663"/>
    <w:rPr>
      <w:sz w:val="20"/>
    </w:rPr>
  </w:style>
  <w:style w:type="character" w:customStyle="1" w:styleId="TextpoznpodarouChar">
    <w:name w:val="Text pozn. pod čarou Char"/>
    <w:basedOn w:val="Standardnpsmoodstavce"/>
    <w:link w:val="Textpoznpodarou"/>
    <w:semiHidden/>
    <w:rsid w:val="004F7663"/>
    <w:rPr>
      <w:rFonts w:ascii="Arial" w:eastAsia="Times New Roman" w:hAnsi="Arial" w:cs="Times New Roman"/>
      <w:sz w:val="20"/>
      <w:szCs w:val="20"/>
      <w:lang w:eastAsia="cs-CZ"/>
    </w:rPr>
  </w:style>
  <w:style w:type="character" w:styleId="Znakapoznpodarou">
    <w:name w:val="footnote reference"/>
    <w:semiHidden/>
    <w:rsid w:val="004F7663"/>
    <w:rPr>
      <w:vertAlign w:val="superscript"/>
    </w:rPr>
  </w:style>
  <w:style w:type="paragraph" w:styleId="Zkladntextodsazen">
    <w:name w:val="Body Text Indent"/>
    <w:basedOn w:val="Normln"/>
    <w:link w:val="ZkladntextodsazenChar"/>
    <w:rsid w:val="004F7663"/>
    <w:pPr>
      <w:spacing w:line="360" w:lineRule="auto"/>
      <w:ind w:firstLine="360"/>
      <w:jc w:val="both"/>
    </w:pPr>
  </w:style>
  <w:style w:type="character" w:customStyle="1" w:styleId="ZkladntextodsazenChar">
    <w:name w:val="Základní text odsazený Char"/>
    <w:basedOn w:val="Standardnpsmoodstavce"/>
    <w:link w:val="Zkladntextodsazen"/>
    <w:rsid w:val="004F7663"/>
    <w:rPr>
      <w:rFonts w:ascii="Arial" w:eastAsia="Times New Roman" w:hAnsi="Arial" w:cs="Times New Roman"/>
      <w:sz w:val="24"/>
      <w:szCs w:val="20"/>
      <w:lang w:eastAsia="cs-CZ"/>
    </w:rPr>
  </w:style>
  <w:style w:type="paragraph" w:styleId="Zkladntext2">
    <w:name w:val="Body Text 2"/>
    <w:basedOn w:val="Normln"/>
    <w:link w:val="Zkladntext2Char"/>
    <w:rsid w:val="004F7663"/>
    <w:pPr>
      <w:spacing w:line="360" w:lineRule="auto"/>
      <w:jc w:val="both"/>
    </w:pPr>
  </w:style>
  <w:style w:type="character" w:customStyle="1" w:styleId="Zkladntext2Char">
    <w:name w:val="Základní text 2 Char"/>
    <w:basedOn w:val="Standardnpsmoodstavce"/>
    <w:link w:val="Zkladntext2"/>
    <w:rsid w:val="004F7663"/>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4F7663"/>
    <w:pPr>
      <w:spacing w:line="480" w:lineRule="auto"/>
      <w:ind w:firstLine="708"/>
      <w:jc w:val="both"/>
    </w:pPr>
    <w:rPr>
      <w:color w:val="FF0000"/>
    </w:rPr>
  </w:style>
  <w:style w:type="character" w:customStyle="1" w:styleId="Zkladntextodsazen2Char">
    <w:name w:val="Základní text odsazený 2 Char"/>
    <w:basedOn w:val="Standardnpsmoodstavce"/>
    <w:link w:val="Zkladntextodsazen2"/>
    <w:rsid w:val="004F7663"/>
    <w:rPr>
      <w:rFonts w:ascii="Arial" w:eastAsia="Times New Roman" w:hAnsi="Arial" w:cs="Times New Roman"/>
      <w:color w:val="FF0000"/>
      <w:sz w:val="24"/>
      <w:szCs w:val="20"/>
      <w:lang w:eastAsia="cs-CZ"/>
    </w:rPr>
  </w:style>
  <w:style w:type="paragraph" w:styleId="Zkladntext3">
    <w:name w:val="Body Text 3"/>
    <w:basedOn w:val="Normln"/>
    <w:link w:val="Zkladntext3Char"/>
    <w:rsid w:val="004F7663"/>
    <w:pPr>
      <w:spacing w:line="360" w:lineRule="auto"/>
      <w:jc w:val="both"/>
    </w:pPr>
    <w:rPr>
      <w:rFonts w:cs="Arial"/>
      <w:color w:val="008000"/>
    </w:rPr>
  </w:style>
  <w:style w:type="character" w:customStyle="1" w:styleId="Zkladntext3Char">
    <w:name w:val="Základní text 3 Char"/>
    <w:basedOn w:val="Standardnpsmoodstavce"/>
    <w:link w:val="Zkladntext3"/>
    <w:rsid w:val="004F7663"/>
    <w:rPr>
      <w:rFonts w:ascii="Arial" w:eastAsia="Times New Roman" w:hAnsi="Arial" w:cs="Arial"/>
      <w:color w:val="008000"/>
      <w:sz w:val="24"/>
      <w:szCs w:val="20"/>
      <w:lang w:eastAsia="cs-CZ"/>
    </w:rPr>
  </w:style>
  <w:style w:type="paragraph" w:styleId="Zkladntextodsazen3">
    <w:name w:val="Body Text Indent 3"/>
    <w:basedOn w:val="Normln"/>
    <w:link w:val="Zkladntextodsazen3Char"/>
    <w:rsid w:val="004F7663"/>
    <w:pPr>
      <w:ind w:left="709"/>
      <w:jc w:val="both"/>
    </w:pPr>
  </w:style>
  <w:style w:type="character" w:customStyle="1" w:styleId="Zkladntextodsazen3Char">
    <w:name w:val="Základní text odsazený 3 Char"/>
    <w:basedOn w:val="Standardnpsmoodstavce"/>
    <w:link w:val="Zkladntextodsazen3"/>
    <w:rsid w:val="004F7663"/>
    <w:rPr>
      <w:rFonts w:ascii="Arial" w:eastAsia="Times New Roman" w:hAnsi="Arial" w:cs="Times New Roman"/>
      <w:sz w:val="24"/>
      <w:szCs w:val="20"/>
      <w:lang w:eastAsia="cs-CZ"/>
    </w:rPr>
  </w:style>
  <w:style w:type="character" w:styleId="Hypertextovodkaz">
    <w:name w:val="Hyperlink"/>
    <w:rsid w:val="004F7663"/>
    <w:rPr>
      <w:color w:val="0000FF"/>
      <w:u w:val="single"/>
    </w:rPr>
  </w:style>
  <w:style w:type="paragraph" w:styleId="Rozloendokumentu">
    <w:name w:val="Document Map"/>
    <w:basedOn w:val="Normln"/>
    <w:link w:val="RozloendokumentuChar"/>
    <w:semiHidden/>
    <w:rsid w:val="004F7663"/>
    <w:pPr>
      <w:shd w:val="clear" w:color="auto" w:fill="000080"/>
    </w:pPr>
    <w:rPr>
      <w:rFonts w:ascii="Tahoma" w:hAnsi="Tahoma" w:cs="Tahoma"/>
      <w:sz w:val="20"/>
    </w:rPr>
  </w:style>
  <w:style w:type="character" w:customStyle="1" w:styleId="RozloendokumentuChar">
    <w:name w:val="Rozložení dokumentu Char"/>
    <w:basedOn w:val="Standardnpsmoodstavce"/>
    <w:link w:val="Rozloendokumentu"/>
    <w:semiHidden/>
    <w:rsid w:val="004F7663"/>
    <w:rPr>
      <w:rFonts w:ascii="Tahoma" w:eastAsia="Times New Roman" w:hAnsi="Tahoma" w:cs="Tahoma"/>
      <w:sz w:val="20"/>
      <w:szCs w:val="20"/>
      <w:shd w:val="clear" w:color="auto" w:fill="000080"/>
      <w:lang w:eastAsia="cs-CZ"/>
    </w:rPr>
  </w:style>
  <w:style w:type="table" w:styleId="Mkatabulky">
    <w:name w:val="Table Grid"/>
    <w:basedOn w:val="Normlntabulka"/>
    <w:rsid w:val="004F766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F7663"/>
    <w:pPr>
      <w:spacing w:after="200" w:line="276" w:lineRule="auto"/>
      <w:ind w:left="720"/>
      <w:contextualSpacing/>
    </w:pPr>
    <w:rPr>
      <w:rFonts w:ascii="Calibri" w:eastAsia="Calibri" w:hAnsi="Calibri"/>
      <w:sz w:val="22"/>
      <w:szCs w:val="22"/>
      <w:lang w:eastAsia="en-US"/>
    </w:rPr>
  </w:style>
  <w:style w:type="paragraph" w:customStyle="1" w:styleId="datum">
    <w:name w:val="datum"/>
    <w:next w:val="Normln"/>
    <w:qFormat/>
    <w:rsid w:val="004F7663"/>
    <w:pPr>
      <w:spacing w:after="0" w:line="300" w:lineRule="exact"/>
    </w:pPr>
    <w:rPr>
      <w:rFonts w:ascii="Arial" w:eastAsia="Calibri" w:hAnsi="Arial" w:cs="Arial"/>
      <w:b/>
      <w:sz w:val="18"/>
      <w:lang w:val="en-US"/>
    </w:rPr>
  </w:style>
  <w:style w:type="character" w:styleId="Sledovanodkaz">
    <w:name w:val="FollowedHyperlink"/>
    <w:uiPriority w:val="99"/>
    <w:unhideWhenUsed/>
    <w:rsid w:val="004F7663"/>
    <w:rPr>
      <w:color w:val="800080"/>
      <w:u w:val="single"/>
    </w:rPr>
  </w:style>
  <w:style w:type="character" w:styleId="Siln">
    <w:name w:val="Strong"/>
    <w:basedOn w:val="Standardnpsmoodstavce"/>
    <w:uiPriority w:val="22"/>
    <w:qFormat/>
    <w:rsid w:val="006410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7663"/>
    <w:pPr>
      <w:spacing w:after="0" w:line="240" w:lineRule="auto"/>
    </w:pPr>
    <w:rPr>
      <w:rFonts w:ascii="Arial" w:eastAsia="Times New Roman" w:hAnsi="Arial" w:cs="Times New Roman"/>
      <w:sz w:val="24"/>
      <w:szCs w:val="20"/>
      <w:lang w:eastAsia="cs-CZ"/>
    </w:rPr>
  </w:style>
  <w:style w:type="paragraph" w:styleId="Nadpis1">
    <w:name w:val="heading 1"/>
    <w:basedOn w:val="Normln"/>
    <w:next w:val="Normln"/>
    <w:link w:val="Nadpis1Char"/>
    <w:qFormat/>
    <w:rsid w:val="004F7663"/>
    <w:pPr>
      <w:keepNext/>
      <w:numPr>
        <w:numId w:val="1"/>
      </w:numPr>
      <w:spacing w:line="360" w:lineRule="auto"/>
      <w:jc w:val="both"/>
      <w:outlineLvl w:val="0"/>
    </w:pPr>
    <w:rPr>
      <w:b/>
      <w:bCs/>
      <w:sz w:val="36"/>
    </w:rPr>
  </w:style>
  <w:style w:type="paragraph" w:styleId="Nadpis2">
    <w:name w:val="heading 2"/>
    <w:basedOn w:val="Normln"/>
    <w:next w:val="Normln"/>
    <w:link w:val="Nadpis2Char"/>
    <w:qFormat/>
    <w:rsid w:val="004F7663"/>
    <w:pPr>
      <w:keepNext/>
      <w:numPr>
        <w:ilvl w:val="1"/>
        <w:numId w:val="1"/>
      </w:numPr>
      <w:spacing w:line="360" w:lineRule="auto"/>
      <w:jc w:val="both"/>
      <w:outlineLvl w:val="1"/>
    </w:pPr>
    <w:rPr>
      <w:b/>
      <w:bCs/>
      <w:sz w:val="32"/>
    </w:rPr>
  </w:style>
  <w:style w:type="paragraph" w:styleId="Nadpis3">
    <w:name w:val="heading 3"/>
    <w:basedOn w:val="Normln"/>
    <w:next w:val="Normln"/>
    <w:link w:val="Nadpis3Char"/>
    <w:qFormat/>
    <w:rsid w:val="004F7663"/>
    <w:pPr>
      <w:keepNext/>
      <w:numPr>
        <w:ilvl w:val="2"/>
        <w:numId w:val="1"/>
      </w:numPr>
      <w:spacing w:line="360" w:lineRule="auto"/>
      <w:jc w:val="both"/>
      <w:outlineLvl w:val="2"/>
    </w:pPr>
    <w:rPr>
      <w:b/>
      <w:bCs/>
      <w:i/>
      <w:iCs/>
      <w:sz w:val="32"/>
    </w:rPr>
  </w:style>
  <w:style w:type="paragraph" w:styleId="Nadpis4">
    <w:name w:val="heading 4"/>
    <w:basedOn w:val="Normln"/>
    <w:next w:val="Normln"/>
    <w:link w:val="Nadpis4Char"/>
    <w:qFormat/>
    <w:rsid w:val="004F7663"/>
    <w:pPr>
      <w:keepNext/>
      <w:numPr>
        <w:ilvl w:val="3"/>
        <w:numId w:val="1"/>
      </w:numPr>
      <w:jc w:val="both"/>
      <w:outlineLvl w:val="3"/>
    </w:pPr>
    <w:rPr>
      <w:b/>
      <w:bCs/>
      <w:i/>
      <w:iCs/>
      <w:sz w:val="20"/>
    </w:rPr>
  </w:style>
  <w:style w:type="paragraph" w:styleId="Nadpis5">
    <w:name w:val="heading 5"/>
    <w:basedOn w:val="Normln"/>
    <w:next w:val="Normln"/>
    <w:link w:val="Nadpis5Char"/>
    <w:qFormat/>
    <w:rsid w:val="004F7663"/>
    <w:pPr>
      <w:keepNext/>
      <w:numPr>
        <w:ilvl w:val="4"/>
        <w:numId w:val="1"/>
      </w:numPr>
      <w:spacing w:line="360" w:lineRule="auto"/>
      <w:jc w:val="both"/>
      <w:outlineLvl w:val="4"/>
    </w:pPr>
    <w:rPr>
      <w:b/>
      <w:bCs/>
    </w:rPr>
  </w:style>
  <w:style w:type="paragraph" w:styleId="Nadpis6">
    <w:name w:val="heading 6"/>
    <w:basedOn w:val="Normln"/>
    <w:next w:val="Normln"/>
    <w:link w:val="Nadpis6Char"/>
    <w:qFormat/>
    <w:rsid w:val="004F7663"/>
    <w:pPr>
      <w:keepNext/>
      <w:numPr>
        <w:ilvl w:val="5"/>
        <w:numId w:val="1"/>
      </w:numPr>
      <w:spacing w:line="360" w:lineRule="auto"/>
      <w:jc w:val="both"/>
      <w:outlineLvl w:val="5"/>
    </w:pPr>
    <w:rPr>
      <w:rFonts w:cs="Arial"/>
      <w:b/>
      <w:bCs/>
      <w:sz w:val="36"/>
      <w:szCs w:val="24"/>
    </w:rPr>
  </w:style>
  <w:style w:type="paragraph" w:styleId="Nadpis7">
    <w:name w:val="heading 7"/>
    <w:basedOn w:val="Normln"/>
    <w:next w:val="Normln"/>
    <w:link w:val="Nadpis7Char"/>
    <w:qFormat/>
    <w:rsid w:val="004F7663"/>
    <w:pPr>
      <w:keepNext/>
      <w:numPr>
        <w:ilvl w:val="6"/>
        <w:numId w:val="1"/>
      </w:numPr>
      <w:spacing w:line="360" w:lineRule="auto"/>
      <w:jc w:val="both"/>
      <w:outlineLvl w:val="6"/>
    </w:pPr>
    <w:rPr>
      <w:rFonts w:cs="Arial"/>
      <w:b/>
      <w:bCs/>
      <w:i/>
      <w:iCs/>
      <w:sz w:val="28"/>
      <w:szCs w:val="24"/>
    </w:rPr>
  </w:style>
  <w:style w:type="paragraph" w:styleId="Nadpis8">
    <w:name w:val="heading 8"/>
    <w:basedOn w:val="Normln"/>
    <w:next w:val="Normln"/>
    <w:link w:val="Nadpis8Char"/>
    <w:qFormat/>
    <w:rsid w:val="004F7663"/>
    <w:pPr>
      <w:keepNext/>
      <w:numPr>
        <w:ilvl w:val="7"/>
        <w:numId w:val="1"/>
      </w:numPr>
      <w:spacing w:line="360" w:lineRule="auto"/>
      <w:jc w:val="both"/>
      <w:outlineLvl w:val="7"/>
    </w:pPr>
    <w:rPr>
      <w:rFonts w:cs="Arial"/>
      <w:b/>
      <w:bCs/>
      <w:sz w:val="36"/>
      <w:szCs w:val="24"/>
    </w:rPr>
  </w:style>
  <w:style w:type="paragraph" w:styleId="Nadpis9">
    <w:name w:val="heading 9"/>
    <w:basedOn w:val="Normln"/>
    <w:next w:val="Normln"/>
    <w:link w:val="Nadpis9Char"/>
    <w:qFormat/>
    <w:rsid w:val="004F7663"/>
    <w:pPr>
      <w:numPr>
        <w:ilvl w:val="8"/>
        <w:numId w:val="1"/>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F7663"/>
    <w:pPr>
      <w:tabs>
        <w:tab w:val="center" w:pos="4536"/>
        <w:tab w:val="right" w:pos="9072"/>
      </w:tabs>
    </w:pPr>
  </w:style>
  <w:style w:type="character" w:customStyle="1" w:styleId="ZhlavChar">
    <w:name w:val="Záhlaví Char"/>
    <w:basedOn w:val="Standardnpsmoodstavce"/>
    <w:link w:val="Zhlav"/>
    <w:uiPriority w:val="99"/>
    <w:rsid w:val="004F7663"/>
  </w:style>
  <w:style w:type="paragraph" w:styleId="Zpat">
    <w:name w:val="footer"/>
    <w:basedOn w:val="Normln"/>
    <w:link w:val="ZpatChar"/>
    <w:uiPriority w:val="99"/>
    <w:unhideWhenUsed/>
    <w:rsid w:val="004F7663"/>
    <w:pPr>
      <w:tabs>
        <w:tab w:val="center" w:pos="4536"/>
        <w:tab w:val="right" w:pos="9072"/>
      </w:tabs>
    </w:pPr>
  </w:style>
  <w:style w:type="character" w:customStyle="1" w:styleId="ZpatChar">
    <w:name w:val="Zápatí Char"/>
    <w:basedOn w:val="Standardnpsmoodstavce"/>
    <w:link w:val="Zpat"/>
    <w:uiPriority w:val="99"/>
    <w:rsid w:val="004F7663"/>
  </w:style>
  <w:style w:type="paragraph" w:styleId="Textbubliny">
    <w:name w:val="Balloon Text"/>
    <w:basedOn w:val="Normln"/>
    <w:link w:val="TextbublinyChar"/>
    <w:uiPriority w:val="99"/>
    <w:semiHidden/>
    <w:unhideWhenUsed/>
    <w:rsid w:val="004F7663"/>
    <w:rPr>
      <w:rFonts w:ascii="Tahoma" w:hAnsi="Tahoma" w:cs="Tahoma"/>
      <w:sz w:val="16"/>
      <w:szCs w:val="16"/>
    </w:rPr>
  </w:style>
  <w:style w:type="character" w:customStyle="1" w:styleId="TextbublinyChar">
    <w:name w:val="Text bubliny Char"/>
    <w:basedOn w:val="Standardnpsmoodstavce"/>
    <w:link w:val="Textbubliny"/>
    <w:uiPriority w:val="99"/>
    <w:semiHidden/>
    <w:rsid w:val="004F7663"/>
    <w:rPr>
      <w:rFonts w:ascii="Tahoma" w:hAnsi="Tahoma" w:cs="Tahoma"/>
      <w:sz w:val="16"/>
      <w:szCs w:val="16"/>
    </w:rPr>
  </w:style>
  <w:style w:type="character" w:customStyle="1" w:styleId="Nadpis1Char">
    <w:name w:val="Nadpis 1 Char"/>
    <w:basedOn w:val="Standardnpsmoodstavce"/>
    <w:link w:val="Nadpis1"/>
    <w:rsid w:val="004F7663"/>
    <w:rPr>
      <w:rFonts w:ascii="Arial" w:eastAsia="Times New Roman" w:hAnsi="Arial" w:cs="Times New Roman"/>
      <w:b/>
      <w:bCs/>
      <w:sz w:val="36"/>
      <w:szCs w:val="20"/>
      <w:lang w:eastAsia="cs-CZ"/>
    </w:rPr>
  </w:style>
  <w:style w:type="character" w:customStyle="1" w:styleId="Nadpis2Char">
    <w:name w:val="Nadpis 2 Char"/>
    <w:basedOn w:val="Standardnpsmoodstavce"/>
    <w:link w:val="Nadpis2"/>
    <w:rsid w:val="004F7663"/>
    <w:rPr>
      <w:rFonts w:ascii="Arial" w:eastAsia="Times New Roman" w:hAnsi="Arial" w:cs="Times New Roman"/>
      <w:b/>
      <w:bCs/>
      <w:sz w:val="32"/>
      <w:szCs w:val="20"/>
      <w:lang w:eastAsia="cs-CZ"/>
    </w:rPr>
  </w:style>
  <w:style w:type="character" w:customStyle="1" w:styleId="Nadpis3Char">
    <w:name w:val="Nadpis 3 Char"/>
    <w:basedOn w:val="Standardnpsmoodstavce"/>
    <w:link w:val="Nadpis3"/>
    <w:rsid w:val="004F7663"/>
    <w:rPr>
      <w:rFonts w:ascii="Arial" w:eastAsia="Times New Roman" w:hAnsi="Arial" w:cs="Times New Roman"/>
      <w:b/>
      <w:bCs/>
      <w:i/>
      <w:iCs/>
      <w:sz w:val="32"/>
      <w:szCs w:val="20"/>
      <w:lang w:eastAsia="cs-CZ"/>
    </w:rPr>
  </w:style>
  <w:style w:type="character" w:customStyle="1" w:styleId="Nadpis4Char">
    <w:name w:val="Nadpis 4 Char"/>
    <w:basedOn w:val="Standardnpsmoodstavce"/>
    <w:link w:val="Nadpis4"/>
    <w:rsid w:val="004F7663"/>
    <w:rPr>
      <w:rFonts w:ascii="Arial" w:eastAsia="Times New Roman" w:hAnsi="Arial" w:cs="Times New Roman"/>
      <w:b/>
      <w:bCs/>
      <w:i/>
      <w:iCs/>
      <w:sz w:val="20"/>
      <w:szCs w:val="20"/>
      <w:lang w:eastAsia="cs-CZ"/>
    </w:rPr>
  </w:style>
  <w:style w:type="character" w:customStyle="1" w:styleId="Nadpis5Char">
    <w:name w:val="Nadpis 5 Char"/>
    <w:basedOn w:val="Standardnpsmoodstavce"/>
    <w:link w:val="Nadpis5"/>
    <w:rsid w:val="004F7663"/>
    <w:rPr>
      <w:rFonts w:ascii="Arial" w:eastAsia="Times New Roman" w:hAnsi="Arial" w:cs="Times New Roman"/>
      <w:b/>
      <w:bCs/>
      <w:sz w:val="24"/>
      <w:szCs w:val="20"/>
      <w:lang w:eastAsia="cs-CZ"/>
    </w:rPr>
  </w:style>
  <w:style w:type="character" w:customStyle="1" w:styleId="Nadpis6Char">
    <w:name w:val="Nadpis 6 Char"/>
    <w:basedOn w:val="Standardnpsmoodstavce"/>
    <w:link w:val="Nadpis6"/>
    <w:rsid w:val="004F7663"/>
    <w:rPr>
      <w:rFonts w:ascii="Arial" w:eastAsia="Times New Roman" w:hAnsi="Arial" w:cs="Arial"/>
      <w:b/>
      <w:bCs/>
      <w:sz w:val="36"/>
      <w:szCs w:val="24"/>
      <w:lang w:eastAsia="cs-CZ"/>
    </w:rPr>
  </w:style>
  <w:style w:type="character" w:customStyle="1" w:styleId="Nadpis7Char">
    <w:name w:val="Nadpis 7 Char"/>
    <w:basedOn w:val="Standardnpsmoodstavce"/>
    <w:link w:val="Nadpis7"/>
    <w:rsid w:val="004F7663"/>
    <w:rPr>
      <w:rFonts w:ascii="Arial" w:eastAsia="Times New Roman" w:hAnsi="Arial" w:cs="Arial"/>
      <w:b/>
      <w:bCs/>
      <w:i/>
      <w:iCs/>
      <w:sz w:val="28"/>
      <w:szCs w:val="24"/>
      <w:lang w:eastAsia="cs-CZ"/>
    </w:rPr>
  </w:style>
  <w:style w:type="character" w:customStyle="1" w:styleId="Nadpis8Char">
    <w:name w:val="Nadpis 8 Char"/>
    <w:basedOn w:val="Standardnpsmoodstavce"/>
    <w:link w:val="Nadpis8"/>
    <w:rsid w:val="004F7663"/>
    <w:rPr>
      <w:rFonts w:ascii="Arial" w:eastAsia="Times New Roman" w:hAnsi="Arial" w:cs="Arial"/>
      <w:b/>
      <w:bCs/>
      <w:sz w:val="36"/>
      <w:szCs w:val="24"/>
      <w:lang w:eastAsia="cs-CZ"/>
    </w:rPr>
  </w:style>
  <w:style w:type="character" w:customStyle="1" w:styleId="Nadpis9Char">
    <w:name w:val="Nadpis 9 Char"/>
    <w:basedOn w:val="Standardnpsmoodstavce"/>
    <w:link w:val="Nadpis9"/>
    <w:rsid w:val="004F7663"/>
    <w:rPr>
      <w:rFonts w:ascii="Arial" w:eastAsia="Times New Roman" w:hAnsi="Arial" w:cs="Arial"/>
      <w:lang w:eastAsia="cs-CZ"/>
    </w:rPr>
  </w:style>
  <w:style w:type="paragraph" w:styleId="Zkladntext">
    <w:name w:val="Body Text"/>
    <w:basedOn w:val="Normln"/>
    <w:link w:val="ZkladntextChar"/>
    <w:rsid w:val="004F7663"/>
    <w:pPr>
      <w:spacing w:line="360" w:lineRule="auto"/>
      <w:jc w:val="both"/>
    </w:pPr>
  </w:style>
  <w:style w:type="character" w:customStyle="1" w:styleId="ZkladntextChar">
    <w:name w:val="Základní text Char"/>
    <w:basedOn w:val="Standardnpsmoodstavce"/>
    <w:link w:val="Zkladntext"/>
    <w:rsid w:val="004F7663"/>
    <w:rPr>
      <w:rFonts w:ascii="Arial" w:eastAsia="Times New Roman" w:hAnsi="Arial" w:cs="Times New Roman"/>
      <w:sz w:val="24"/>
      <w:szCs w:val="20"/>
      <w:lang w:eastAsia="cs-CZ"/>
    </w:rPr>
  </w:style>
  <w:style w:type="character" w:styleId="slostrnky">
    <w:name w:val="page number"/>
    <w:basedOn w:val="Standardnpsmoodstavce"/>
    <w:rsid w:val="004F7663"/>
  </w:style>
  <w:style w:type="paragraph" w:styleId="Textpoznpodarou">
    <w:name w:val="footnote text"/>
    <w:basedOn w:val="Normln"/>
    <w:link w:val="TextpoznpodarouChar"/>
    <w:semiHidden/>
    <w:rsid w:val="004F7663"/>
    <w:rPr>
      <w:sz w:val="20"/>
    </w:rPr>
  </w:style>
  <w:style w:type="character" w:customStyle="1" w:styleId="TextpoznpodarouChar">
    <w:name w:val="Text pozn. pod čarou Char"/>
    <w:basedOn w:val="Standardnpsmoodstavce"/>
    <w:link w:val="Textpoznpodarou"/>
    <w:semiHidden/>
    <w:rsid w:val="004F7663"/>
    <w:rPr>
      <w:rFonts w:ascii="Arial" w:eastAsia="Times New Roman" w:hAnsi="Arial" w:cs="Times New Roman"/>
      <w:sz w:val="20"/>
      <w:szCs w:val="20"/>
      <w:lang w:eastAsia="cs-CZ"/>
    </w:rPr>
  </w:style>
  <w:style w:type="character" w:styleId="Znakapoznpodarou">
    <w:name w:val="footnote reference"/>
    <w:semiHidden/>
    <w:rsid w:val="004F7663"/>
    <w:rPr>
      <w:vertAlign w:val="superscript"/>
    </w:rPr>
  </w:style>
  <w:style w:type="paragraph" w:styleId="Zkladntextodsazen">
    <w:name w:val="Body Text Indent"/>
    <w:basedOn w:val="Normln"/>
    <w:link w:val="ZkladntextodsazenChar"/>
    <w:rsid w:val="004F7663"/>
    <w:pPr>
      <w:spacing w:line="360" w:lineRule="auto"/>
      <w:ind w:firstLine="360"/>
      <w:jc w:val="both"/>
    </w:pPr>
  </w:style>
  <w:style w:type="character" w:customStyle="1" w:styleId="ZkladntextodsazenChar">
    <w:name w:val="Základní text odsazený Char"/>
    <w:basedOn w:val="Standardnpsmoodstavce"/>
    <w:link w:val="Zkladntextodsazen"/>
    <w:rsid w:val="004F7663"/>
    <w:rPr>
      <w:rFonts w:ascii="Arial" w:eastAsia="Times New Roman" w:hAnsi="Arial" w:cs="Times New Roman"/>
      <w:sz w:val="24"/>
      <w:szCs w:val="20"/>
      <w:lang w:eastAsia="cs-CZ"/>
    </w:rPr>
  </w:style>
  <w:style w:type="paragraph" w:styleId="Zkladntext2">
    <w:name w:val="Body Text 2"/>
    <w:basedOn w:val="Normln"/>
    <w:link w:val="Zkladntext2Char"/>
    <w:rsid w:val="004F7663"/>
    <w:pPr>
      <w:spacing w:line="360" w:lineRule="auto"/>
      <w:jc w:val="both"/>
    </w:pPr>
  </w:style>
  <w:style w:type="character" w:customStyle="1" w:styleId="Zkladntext2Char">
    <w:name w:val="Základní text 2 Char"/>
    <w:basedOn w:val="Standardnpsmoodstavce"/>
    <w:link w:val="Zkladntext2"/>
    <w:rsid w:val="004F7663"/>
    <w:rPr>
      <w:rFonts w:ascii="Arial" w:eastAsia="Times New Roman" w:hAnsi="Arial" w:cs="Times New Roman"/>
      <w:sz w:val="24"/>
      <w:szCs w:val="20"/>
      <w:lang w:eastAsia="cs-CZ"/>
    </w:rPr>
  </w:style>
  <w:style w:type="paragraph" w:styleId="Zkladntextodsazen2">
    <w:name w:val="Body Text Indent 2"/>
    <w:basedOn w:val="Normln"/>
    <w:link w:val="Zkladntextodsazen2Char"/>
    <w:rsid w:val="004F7663"/>
    <w:pPr>
      <w:spacing w:line="480" w:lineRule="auto"/>
      <w:ind w:firstLine="708"/>
      <w:jc w:val="both"/>
    </w:pPr>
    <w:rPr>
      <w:color w:val="FF0000"/>
    </w:rPr>
  </w:style>
  <w:style w:type="character" w:customStyle="1" w:styleId="Zkladntextodsazen2Char">
    <w:name w:val="Základní text odsazený 2 Char"/>
    <w:basedOn w:val="Standardnpsmoodstavce"/>
    <w:link w:val="Zkladntextodsazen2"/>
    <w:rsid w:val="004F7663"/>
    <w:rPr>
      <w:rFonts w:ascii="Arial" w:eastAsia="Times New Roman" w:hAnsi="Arial" w:cs="Times New Roman"/>
      <w:color w:val="FF0000"/>
      <w:sz w:val="24"/>
      <w:szCs w:val="20"/>
      <w:lang w:eastAsia="cs-CZ"/>
    </w:rPr>
  </w:style>
  <w:style w:type="paragraph" w:styleId="Zkladntext3">
    <w:name w:val="Body Text 3"/>
    <w:basedOn w:val="Normln"/>
    <w:link w:val="Zkladntext3Char"/>
    <w:rsid w:val="004F7663"/>
    <w:pPr>
      <w:spacing w:line="360" w:lineRule="auto"/>
      <w:jc w:val="both"/>
    </w:pPr>
    <w:rPr>
      <w:rFonts w:cs="Arial"/>
      <w:color w:val="008000"/>
    </w:rPr>
  </w:style>
  <w:style w:type="character" w:customStyle="1" w:styleId="Zkladntext3Char">
    <w:name w:val="Základní text 3 Char"/>
    <w:basedOn w:val="Standardnpsmoodstavce"/>
    <w:link w:val="Zkladntext3"/>
    <w:rsid w:val="004F7663"/>
    <w:rPr>
      <w:rFonts w:ascii="Arial" w:eastAsia="Times New Roman" w:hAnsi="Arial" w:cs="Arial"/>
      <w:color w:val="008000"/>
      <w:sz w:val="24"/>
      <w:szCs w:val="20"/>
      <w:lang w:eastAsia="cs-CZ"/>
    </w:rPr>
  </w:style>
  <w:style w:type="paragraph" w:styleId="Zkladntextodsazen3">
    <w:name w:val="Body Text Indent 3"/>
    <w:basedOn w:val="Normln"/>
    <w:link w:val="Zkladntextodsazen3Char"/>
    <w:rsid w:val="004F7663"/>
    <w:pPr>
      <w:ind w:left="709"/>
      <w:jc w:val="both"/>
    </w:pPr>
  </w:style>
  <w:style w:type="character" w:customStyle="1" w:styleId="Zkladntextodsazen3Char">
    <w:name w:val="Základní text odsazený 3 Char"/>
    <w:basedOn w:val="Standardnpsmoodstavce"/>
    <w:link w:val="Zkladntextodsazen3"/>
    <w:rsid w:val="004F7663"/>
    <w:rPr>
      <w:rFonts w:ascii="Arial" w:eastAsia="Times New Roman" w:hAnsi="Arial" w:cs="Times New Roman"/>
      <w:sz w:val="24"/>
      <w:szCs w:val="20"/>
      <w:lang w:eastAsia="cs-CZ"/>
    </w:rPr>
  </w:style>
  <w:style w:type="character" w:styleId="Hypertextovodkaz">
    <w:name w:val="Hyperlink"/>
    <w:rsid w:val="004F7663"/>
    <w:rPr>
      <w:color w:val="0000FF"/>
      <w:u w:val="single"/>
    </w:rPr>
  </w:style>
  <w:style w:type="paragraph" w:styleId="Rozloendokumentu">
    <w:name w:val="Document Map"/>
    <w:basedOn w:val="Normln"/>
    <w:link w:val="RozloendokumentuChar"/>
    <w:semiHidden/>
    <w:rsid w:val="004F7663"/>
    <w:pPr>
      <w:shd w:val="clear" w:color="auto" w:fill="000080"/>
    </w:pPr>
    <w:rPr>
      <w:rFonts w:ascii="Tahoma" w:hAnsi="Tahoma" w:cs="Tahoma"/>
      <w:sz w:val="20"/>
    </w:rPr>
  </w:style>
  <w:style w:type="character" w:customStyle="1" w:styleId="RozloendokumentuChar">
    <w:name w:val="Rozložení dokumentu Char"/>
    <w:basedOn w:val="Standardnpsmoodstavce"/>
    <w:link w:val="Rozloendokumentu"/>
    <w:semiHidden/>
    <w:rsid w:val="004F7663"/>
    <w:rPr>
      <w:rFonts w:ascii="Tahoma" w:eastAsia="Times New Roman" w:hAnsi="Tahoma" w:cs="Tahoma"/>
      <w:sz w:val="20"/>
      <w:szCs w:val="20"/>
      <w:shd w:val="clear" w:color="auto" w:fill="000080"/>
      <w:lang w:eastAsia="cs-CZ"/>
    </w:rPr>
  </w:style>
  <w:style w:type="table" w:styleId="Mkatabulky">
    <w:name w:val="Table Grid"/>
    <w:basedOn w:val="Normlntabulka"/>
    <w:rsid w:val="004F766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F7663"/>
    <w:pPr>
      <w:spacing w:after="200" w:line="276" w:lineRule="auto"/>
      <w:ind w:left="720"/>
      <w:contextualSpacing/>
    </w:pPr>
    <w:rPr>
      <w:rFonts w:ascii="Calibri" w:eastAsia="Calibri" w:hAnsi="Calibri"/>
      <w:sz w:val="22"/>
      <w:szCs w:val="22"/>
      <w:lang w:eastAsia="en-US"/>
    </w:rPr>
  </w:style>
  <w:style w:type="paragraph" w:customStyle="1" w:styleId="datum">
    <w:name w:val="datum"/>
    <w:next w:val="Normln"/>
    <w:qFormat/>
    <w:rsid w:val="004F7663"/>
    <w:pPr>
      <w:spacing w:after="0" w:line="300" w:lineRule="exact"/>
    </w:pPr>
    <w:rPr>
      <w:rFonts w:ascii="Arial" w:eastAsia="Calibri" w:hAnsi="Arial" w:cs="Arial"/>
      <w:b/>
      <w:sz w:val="18"/>
      <w:lang w:val="en-US"/>
    </w:rPr>
  </w:style>
  <w:style w:type="character" w:styleId="Sledovanodkaz">
    <w:name w:val="FollowedHyperlink"/>
    <w:uiPriority w:val="99"/>
    <w:unhideWhenUsed/>
    <w:rsid w:val="004F7663"/>
    <w:rPr>
      <w:color w:val="800080"/>
      <w:u w:val="single"/>
    </w:rPr>
  </w:style>
  <w:style w:type="character" w:styleId="Siln">
    <w:name w:val="Strong"/>
    <w:basedOn w:val="Standardnpsmoodstavce"/>
    <w:uiPriority w:val="22"/>
    <w:qFormat/>
    <w:rsid w:val="00641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804223">
      <w:bodyDiv w:val="1"/>
      <w:marLeft w:val="0"/>
      <w:marRight w:val="0"/>
      <w:marTop w:val="0"/>
      <w:marBottom w:val="0"/>
      <w:divBdr>
        <w:top w:val="none" w:sz="0" w:space="0" w:color="auto"/>
        <w:left w:val="none" w:sz="0" w:space="0" w:color="auto"/>
        <w:bottom w:val="none" w:sz="0" w:space="0" w:color="auto"/>
        <w:right w:val="none" w:sz="0" w:space="0" w:color="auto"/>
      </w:divBdr>
    </w:div>
    <w:div w:id="170570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4.xml"/><Relationship Id="rId10" Type="http://schemas.openxmlformats.org/officeDocument/2006/relationships/footer" Target="footer2.xm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E1106-0F07-45F6-9152-58A17927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46</Pages>
  <Words>10508</Words>
  <Characters>62001</Characters>
  <Application>Microsoft Office Word</Application>
  <DocSecurity>0</DocSecurity>
  <Lines>516</Lines>
  <Paragraphs>144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Kužela Jan Ing. (MPSV)</dc:creator>
  <cp:lastModifiedBy>Fajdová Hana Ing.</cp:lastModifiedBy>
  <cp:revision>8</cp:revision>
  <cp:lastPrinted>2017-04-12T06:23:00Z</cp:lastPrinted>
  <dcterms:created xsi:type="dcterms:W3CDTF">2017-04-12T10:37:00Z</dcterms:created>
  <dcterms:modified xsi:type="dcterms:W3CDTF">2017-04-21T06:25:00Z</dcterms:modified>
</cp:coreProperties>
</file>