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384" w:rsidRPr="00D911E6" w:rsidRDefault="00406384" w:rsidP="00406384">
      <w:pPr>
        <w:jc w:val="both"/>
        <w:textAlignment w:val="baseline"/>
        <w:rPr>
          <w:rFonts w:ascii="Arial" w:hAnsi="Arial" w:cs="Arial"/>
          <w:b/>
        </w:rPr>
      </w:pPr>
      <w:r w:rsidRPr="00D911E6">
        <w:rPr>
          <w:rFonts w:ascii="Arial" w:hAnsi="Arial" w:cs="Arial"/>
          <w:b/>
        </w:rPr>
        <w:t xml:space="preserve">Příloha č. 2 k Příkazu ministryně č. </w:t>
      </w:r>
    </w:p>
    <w:p w:rsidR="00406384" w:rsidRPr="00D911E6" w:rsidRDefault="00406384" w:rsidP="00406384">
      <w:pPr>
        <w:tabs>
          <w:tab w:val="left" w:pos="720"/>
        </w:tabs>
        <w:overflowPunct w:val="0"/>
        <w:autoSpaceDE w:val="0"/>
        <w:autoSpaceDN w:val="0"/>
        <w:adjustRightInd w:val="0"/>
        <w:jc w:val="both"/>
        <w:textAlignment w:val="baseline"/>
        <w:rPr>
          <w:rFonts w:ascii="Arial" w:hAnsi="Arial" w:cs="Arial"/>
        </w:rPr>
      </w:pPr>
    </w:p>
    <w:p w:rsidR="00406384" w:rsidRPr="00D911E6" w:rsidRDefault="00406384" w:rsidP="00406384">
      <w:pPr>
        <w:tabs>
          <w:tab w:val="left" w:pos="720"/>
        </w:tabs>
        <w:overflowPunct w:val="0"/>
        <w:autoSpaceDE w:val="0"/>
        <w:autoSpaceDN w:val="0"/>
        <w:adjustRightInd w:val="0"/>
        <w:jc w:val="both"/>
        <w:textAlignment w:val="baseline"/>
        <w:rPr>
          <w:rFonts w:ascii="Arial" w:hAnsi="Arial" w:cs="Arial"/>
          <w:b/>
        </w:rPr>
      </w:pPr>
      <w:r w:rsidRPr="00D911E6">
        <w:rPr>
          <w:rFonts w:ascii="Arial" w:hAnsi="Arial" w:cs="Arial"/>
          <w:b/>
        </w:rPr>
        <w:t xml:space="preserve">Zásady hodnocení projektů Dotačního programu „Podpora veřejně účelných aktivit seniorských a </w:t>
      </w:r>
      <w:proofErr w:type="spellStart"/>
      <w:r w:rsidRPr="00D911E6">
        <w:rPr>
          <w:rFonts w:ascii="Arial" w:hAnsi="Arial" w:cs="Arial"/>
          <w:b/>
        </w:rPr>
        <w:t>proseniorských</w:t>
      </w:r>
      <w:proofErr w:type="spellEnd"/>
      <w:r w:rsidRPr="00D911E6">
        <w:rPr>
          <w:rFonts w:ascii="Arial" w:hAnsi="Arial" w:cs="Arial"/>
          <w:b/>
        </w:rPr>
        <w:t xml:space="preserve"> organizací s celostátní působností“ </w:t>
      </w:r>
      <w:r w:rsidRPr="00D911E6">
        <w:rPr>
          <w:rFonts w:ascii="Arial" w:hAnsi="Arial" w:cs="Arial"/>
          <w:b/>
        </w:rPr>
        <w:br/>
        <w:t>pro rok 2021</w:t>
      </w:r>
    </w:p>
    <w:p w:rsidR="00406384" w:rsidRPr="00D911E6" w:rsidRDefault="00406384" w:rsidP="00406384">
      <w:pPr>
        <w:spacing w:line="360" w:lineRule="auto"/>
        <w:ind w:left="454" w:hanging="454"/>
        <w:jc w:val="both"/>
        <w:rPr>
          <w:rFonts w:ascii="Arial" w:hAnsi="Arial" w:cs="Arial"/>
          <w:b/>
        </w:rPr>
      </w:pPr>
      <w:bookmarkStart w:id="0" w:name="_Toc74895655"/>
      <w:bookmarkStart w:id="1" w:name="_Toc74895969"/>
    </w:p>
    <w:p w:rsidR="00406384" w:rsidRPr="00D911E6" w:rsidRDefault="00406384" w:rsidP="00406384">
      <w:pPr>
        <w:spacing w:line="360" w:lineRule="auto"/>
        <w:ind w:left="454" w:hanging="454"/>
        <w:jc w:val="both"/>
        <w:rPr>
          <w:rFonts w:ascii="Arial" w:hAnsi="Arial" w:cs="Arial"/>
          <w:b/>
        </w:rPr>
      </w:pPr>
      <w:r w:rsidRPr="00D911E6">
        <w:rPr>
          <w:rFonts w:ascii="Arial" w:hAnsi="Arial" w:cs="Arial"/>
          <w:b/>
        </w:rPr>
        <w:t>1. ÚVOD</w:t>
      </w:r>
      <w:bookmarkEnd w:id="0"/>
      <w:bookmarkEnd w:id="1"/>
    </w:p>
    <w:p w:rsidR="00406384" w:rsidRPr="00D911E6" w:rsidRDefault="00406384" w:rsidP="00406384">
      <w:pPr>
        <w:spacing w:line="360" w:lineRule="auto"/>
        <w:jc w:val="both"/>
        <w:rPr>
          <w:rFonts w:ascii="Arial" w:hAnsi="Arial" w:cs="Arial"/>
        </w:rPr>
      </w:pPr>
      <w:r w:rsidRPr="00D911E6">
        <w:rPr>
          <w:rFonts w:ascii="Arial" w:hAnsi="Arial" w:cs="Arial"/>
        </w:rPr>
        <w:t>Vyhodnocování žádostí je velice odpovědná a vysoce odborná činnost, která má zajistit posouzení cílů, obsahu a kvalitativních aspektů služeb popsaných v žádosti (projektu). Zároveň je třeba zajistit objektivitu vyhodnocení tak, aby nebyly poškozeny dobré a potřebné služby nebo nové originální postupy.</w:t>
      </w:r>
    </w:p>
    <w:p w:rsidR="00406384" w:rsidRPr="00D911E6" w:rsidRDefault="00406384" w:rsidP="00406384">
      <w:pPr>
        <w:spacing w:line="360" w:lineRule="auto"/>
        <w:jc w:val="both"/>
        <w:rPr>
          <w:rFonts w:ascii="Arial" w:hAnsi="Arial" w:cs="Arial"/>
        </w:rPr>
      </w:pPr>
    </w:p>
    <w:p w:rsidR="00406384" w:rsidRPr="00D911E6" w:rsidRDefault="00406384" w:rsidP="00406384">
      <w:pPr>
        <w:tabs>
          <w:tab w:val="left" w:pos="2443"/>
        </w:tabs>
        <w:spacing w:line="360" w:lineRule="auto"/>
        <w:jc w:val="both"/>
        <w:rPr>
          <w:rFonts w:ascii="Arial" w:hAnsi="Arial" w:cs="Arial"/>
        </w:rPr>
      </w:pPr>
      <w:r w:rsidRPr="00D911E6">
        <w:rPr>
          <w:rFonts w:ascii="Arial" w:hAnsi="Arial" w:cs="Arial"/>
        </w:rPr>
        <w:t>Předložený model vyhodnocování má za cíl:</w:t>
      </w:r>
    </w:p>
    <w:p w:rsidR="00406384" w:rsidRPr="00D911E6" w:rsidRDefault="00406384" w:rsidP="00406384">
      <w:pPr>
        <w:tabs>
          <w:tab w:val="left" w:pos="2443"/>
        </w:tabs>
        <w:spacing w:line="360" w:lineRule="auto"/>
        <w:jc w:val="both"/>
        <w:rPr>
          <w:rFonts w:ascii="Arial" w:hAnsi="Arial" w:cs="Arial"/>
        </w:rPr>
      </w:pPr>
      <w:r w:rsidRPr="00D911E6">
        <w:rPr>
          <w:rFonts w:ascii="Arial" w:hAnsi="Arial" w:cs="Arial"/>
        </w:rPr>
        <w:t>• zajištění transparentního procesu hodnocení projektů,</w:t>
      </w:r>
    </w:p>
    <w:p w:rsidR="00406384" w:rsidRPr="00D911E6" w:rsidRDefault="00406384" w:rsidP="00406384">
      <w:pPr>
        <w:tabs>
          <w:tab w:val="left" w:pos="2443"/>
        </w:tabs>
        <w:spacing w:line="360" w:lineRule="auto"/>
        <w:jc w:val="both"/>
        <w:rPr>
          <w:rFonts w:ascii="Arial" w:hAnsi="Arial" w:cs="Arial"/>
        </w:rPr>
      </w:pPr>
      <w:r w:rsidRPr="00D911E6">
        <w:rPr>
          <w:rFonts w:ascii="Arial" w:hAnsi="Arial" w:cs="Arial"/>
        </w:rPr>
        <w:t>• snížení nežádoucí míry subjektivity při hodnocení projektu,</w:t>
      </w:r>
    </w:p>
    <w:p w:rsidR="00406384" w:rsidRPr="00D911E6" w:rsidRDefault="00406384" w:rsidP="00406384">
      <w:pPr>
        <w:spacing w:line="360" w:lineRule="auto"/>
        <w:jc w:val="both"/>
        <w:rPr>
          <w:rFonts w:ascii="Arial" w:hAnsi="Arial" w:cs="Arial"/>
        </w:rPr>
      </w:pPr>
      <w:r w:rsidRPr="00D911E6">
        <w:rPr>
          <w:rFonts w:ascii="Arial" w:hAnsi="Arial" w:cs="Arial"/>
        </w:rPr>
        <w:t>• eliminaci ekonomické nerovnosti při přidělování finančních prostředků, zajištění účelnosti, hospodárnosti a efektivnosti vynakládání finančních prostředků ze státního rozpočtu.</w:t>
      </w:r>
    </w:p>
    <w:p w:rsidR="00406384" w:rsidRPr="00D911E6" w:rsidRDefault="00406384" w:rsidP="00406384">
      <w:pPr>
        <w:spacing w:line="360" w:lineRule="auto"/>
        <w:ind w:firstLine="454"/>
        <w:jc w:val="both"/>
        <w:rPr>
          <w:rFonts w:ascii="Arial" w:hAnsi="Arial" w:cs="Arial"/>
          <w:bCs/>
        </w:rPr>
      </w:pPr>
    </w:p>
    <w:tbl>
      <w:tblPr>
        <w:tblW w:w="0" w:type="auto"/>
        <w:tblInd w:w="-10" w:type="dxa"/>
        <w:tblLayout w:type="fixed"/>
        <w:tblCellMar>
          <w:left w:w="0" w:type="dxa"/>
          <w:right w:w="0" w:type="dxa"/>
        </w:tblCellMar>
        <w:tblLook w:val="0000" w:firstRow="0" w:lastRow="0" w:firstColumn="0" w:lastColumn="0" w:noHBand="0" w:noVBand="0"/>
      </w:tblPr>
      <w:tblGrid>
        <w:gridCol w:w="1815"/>
        <w:gridCol w:w="7414"/>
      </w:tblGrid>
      <w:tr w:rsidR="00406384" w:rsidRPr="00D911E6" w:rsidTr="002879C7">
        <w:trPr>
          <w:trHeight w:val="900"/>
        </w:trPr>
        <w:tc>
          <w:tcPr>
            <w:tcW w:w="1815" w:type="dxa"/>
            <w:tcBorders>
              <w:top w:val="single" w:sz="4" w:space="0" w:color="auto"/>
              <w:left w:val="single" w:sz="4" w:space="0" w:color="auto"/>
              <w:bottom w:val="single" w:sz="4" w:space="0" w:color="auto"/>
              <w:right w:val="single" w:sz="4" w:space="0" w:color="auto"/>
            </w:tcBorders>
          </w:tcPr>
          <w:p w:rsidR="00406384" w:rsidRPr="00D911E6" w:rsidRDefault="00406384" w:rsidP="002879C7">
            <w:pPr>
              <w:spacing w:line="360" w:lineRule="auto"/>
              <w:jc w:val="both"/>
              <w:rPr>
                <w:rFonts w:ascii="Arial" w:hAnsi="Arial" w:cs="Arial"/>
                <w:bCs/>
              </w:rPr>
            </w:pPr>
            <w:r w:rsidRPr="00D911E6">
              <w:rPr>
                <w:rFonts w:ascii="Arial" w:hAnsi="Arial" w:cs="Arial"/>
                <w:bCs/>
              </w:rPr>
              <w:t>Hospodárnost</w:t>
            </w:r>
          </w:p>
        </w:tc>
        <w:tc>
          <w:tcPr>
            <w:tcW w:w="7414" w:type="dxa"/>
            <w:tcBorders>
              <w:top w:val="single" w:sz="4" w:space="0" w:color="auto"/>
              <w:left w:val="nil"/>
              <w:bottom w:val="single" w:sz="4" w:space="0" w:color="auto"/>
              <w:right w:val="single" w:sz="4" w:space="0" w:color="auto"/>
            </w:tcBorders>
          </w:tcPr>
          <w:p w:rsidR="00406384" w:rsidRPr="00D911E6" w:rsidRDefault="00406384" w:rsidP="002879C7">
            <w:pPr>
              <w:spacing w:line="360" w:lineRule="auto"/>
              <w:jc w:val="both"/>
              <w:rPr>
                <w:rFonts w:ascii="Arial" w:hAnsi="Arial" w:cs="Arial"/>
                <w:bCs/>
              </w:rPr>
            </w:pPr>
            <w:r w:rsidRPr="00D911E6">
              <w:rPr>
                <w:rFonts w:ascii="Arial" w:hAnsi="Arial" w:cs="Arial"/>
                <w:bCs/>
              </w:rPr>
              <w:t xml:space="preserve">Použití veřejných prostředků k zajištění stanovených úkolů s co nejnižším vynaložením těchto prostředků, a to při dodržení odpovídající kvality plněných úkolů. </w:t>
            </w:r>
          </w:p>
        </w:tc>
      </w:tr>
      <w:tr w:rsidR="00406384" w:rsidRPr="00D911E6" w:rsidTr="002879C7">
        <w:trPr>
          <w:trHeight w:val="900"/>
        </w:trPr>
        <w:tc>
          <w:tcPr>
            <w:tcW w:w="1815" w:type="dxa"/>
            <w:tcBorders>
              <w:top w:val="nil"/>
              <w:left w:val="single" w:sz="4" w:space="0" w:color="auto"/>
              <w:bottom w:val="single" w:sz="4" w:space="0" w:color="auto"/>
              <w:right w:val="single" w:sz="4" w:space="0" w:color="auto"/>
            </w:tcBorders>
          </w:tcPr>
          <w:p w:rsidR="00406384" w:rsidRPr="00D911E6" w:rsidRDefault="00406384" w:rsidP="002879C7">
            <w:pPr>
              <w:spacing w:line="360" w:lineRule="auto"/>
              <w:jc w:val="both"/>
              <w:rPr>
                <w:rFonts w:ascii="Arial" w:hAnsi="Arial" w:cs="Arial"/>
                <w:bCs/>
              </w:rPr>
            </w:pPr>
            <w:r w:rsidRPr="00D911E6">
              <w:rPr>
                <w:rFonts w:ascii="Arial" w:hAnsi="Arial" w:cs="Arial"/>
                <w:bCs/>
              </w:rPr>
              <w:t>Efektivnost</w:t>
            </w:r>
          </w:p>
        </w:tc>
        <w:tc>
          <w:tcPr>
            <w:tcW w:w="7414" w:type="dxa"/>
            <w:tcBorders>
              <w:top w:val="nil"/>
              <w:left w:val="nil"/>
              <w:bottom w:val="single" w:sz="4" w:space="0" w:color="auto"/>
              <w:right w:val="single" w:sz="4" w:space="0" w:color="auto"/>
            </w:tcBorders>
          </w:tcPr>
          <w:p w:rsidR="00406384" w:rsidRPr="00D911E6" w:rsidRDefault="00406384" w:rsidP="002879C7">
            <w:pPr>
              <w:spacing w:line="360" w:lineRule="auto"/>
              <w:jc w:val="both"/>
              <w:rPr>
                <w:rFonts w:ascii="Arial" w:hAnsi="Arial" w:cs="Arial"/>
                <w:bCs/>
              </w:rPr>
            </w:pPr>
            <w:r w:rsidRPr="00D911E6">
              <w:rPr>
                <w:rFonts w:ascii="Arial" w:hAnsi="Arial" w:cs="Arial"/>
                <w:bCs/>
              </w:rPr>
              <w:t>Použití veřejných prostředků, kterým se dosáhne nejvýše možného rozsahu, kvality a přínosu plněných úkolů ve srovnání s objemem prostředků vynaložených na jejich plnění.</w:t>
            </w:r>
          </w:p>
        </w:tc>
      </w:tr>
      <w:tr w:rsidR="00406384" w:rsidRPr="00D911E6" w:rsidTr="002879C7">
        <w:trPr>
          <w:trHeight w:val="600"/>
        </w:trPr>
        <w:tc>
          <w:tcPr>
            <w:tcW w:w="1815" w:type="dxa"/>
            <w:tcBorders>
              <w:top w:val="nil"/>
              <w:left w:val="single" w:sz="4" w:space="0" w:color="auto"/>
              <w:bottom w:val="single" w:sz="4" w:space="0" w:color="auto"/>
              <w:right w:val="single" w:sz="4" w:space="0" w:color="auto"/>
            </w:tcBorders>
          </w:tcPr>
          <w:p w:rsidR="00406384" w:rsidRPr="00D911E6" w:rsidRDefault="00406384" w:rsidP="002879C7">
            <w:pPr>
              <w:spacing w:line="360" w:lineRule="auto"/>
              <w:jc w:val="both"/>
              <w:rPr>
                <w:rFonts w:ascii="Arial" w:hAnsi="Arial" w:cs="Arial"/>
                <w:bCs/>
              </w:rPr>
            </w:pPr>
            <w:r w:rsidRPr="00D911E6">
              <w:rPr>
                <w:rFonts w:ascii="Arial" w:hAnsi="Arial" w:cs="Arial"/>
                <w:bCs/>
              </w:rPr>
              <w:t>Účelnost</w:t>
            </w:r>
          </w:p>
        </w:tc>
        <w:tc>
          <w:tcPr>
            <w:tcW w:w="7414" w:type="dxa"/>
            <w:tcBorders>
              <w:top w:val="nil"/>
              <w:left w:val="nil"/>
              <w:bottom w:val="single" w:sz="4" w:space="0" w:color="auto"/>
              <w:right w:val="single" w:sz="4" w:space="0" w:color="auto"/>
            </w:tcBorders>
          </w:tcPr>
          <w:p w:rsidR="00406384" w:rsidRPr="00D911E6" w:rsidRDefault="00406384" w:rsidP="002879C7">
            <w:pPr>
              <w:spacing w:line="360" w:lineRule="auto"/>
              <w:jc w:val="both"/>
              <w:rPr>
                <w:rFonts w:ascii="Arial" w:hAnsi="Arial" w:cs="Arial"/>
                <w:bCs/>
              </w:rPr>
            </w:pPr>
            <w:r w:rsidRPr="00D911E6">
              <w:rPr>
                <w:rFonts w:ascii="Arial" w:hAnsi="Arial" w:cs="Arial"/>
                <w:bCs/>
              </w:rPr>
              <w:t>Použití veřejných prostředků, které zajistí optimální míru dosažení cílů při plnění stanovených úkolů.</w:t>
            </w:r>
          </w:p>
        </w:tc>
      </w:tr>
    </w:tbl>
    <w:p w:rsidR="00406384" w:rsidRPr="00D911E6" w:rsidRDefault="00406384" w:rsidP="00406384">
      <w:pPr>
        <w:tabs>
          <w:tab w:val="left" w:pos="900"/>
          <w:tab w:val="center" w:pos="4536"/>
        </w:tabs>
        <w:spacing w:line="360" w:lineRule="auto"/>
        <w:jc w:val="both"/>
        <w:rPr>
          <w:rFonts w:ascii="Arial" w:hAnsi="Arial" w:cs="Arial"/>
          <w:b/>
        </w:rPr>
      </w:pPr>
    </w:p>
    <w:p w:rsidR="00406384" w:rsidRPr="00D911E6" w:rsidRDefault="00406384" w:rsidP="00406384">
      <w:pPr>
        <w:tabs>
          <w:tab w:val="left" w:pos="900"/>
          <w:tab w:val="center" w:pos="4536"/>
        </w:tabs>
        <w:spacing w:line="360" w:lineRule="auto"/>
        <w:jc w:val="both"/>
        <w:rPr>
          <w:rFonts w:ascii="Arial" w:hAnsi="Arial" w:cs="Arial"/>
          <w:b/>
        </w:rPr>
      </w:pPr>
      <w:r w:rsidRPr="00D911E6">
        <w:rPr>
          <w:rFonts w:ascii="Arial" w:hAnsi="Arial" w:cs="Arial"/>
          <w:b/>
        </w:rPr>
        <w:t>2. OBECNÉ PODMÍNKY HODNOCENÍ PROJEKTŮ</w:t>
      </w:r>
    </w:p>
    <w:p w:rsidR="00406384" w:rsidRPr="00D911E6" w:rsidRDefault="00406384" w:rsidP="00406384">
      <w:pPr>
        <w:tabs>
          <w:tab w:val="left" w:pos="720"/>
        </w:tabs>
        <w:overflowPunct w:val="0"/>
        <w:autoSpaceDE w:val="0"/>
        <w:autoSpaceDN w:val="0"/>
        <w:adjustRightInd w:val="0"/>
        <w:spacing w:line="360" w:lineRule="auto"/>
        <w:jc w:val="both"/>
        <w:textAlignment w:val="baseline"/>
        <w:rPr>
          <w:rFonts w:ascii="Arial" w:hAnsi="Arial" w:cs="Arial"/>
        </w:rPr>
      </w:pPr>
      <w:r w:rsidRPr="00D911E6">
        <w:rPr>
          <w:rFonts w:ascii="Arial" w:hAnsi="Arial" w:cs="Arial"/>
        </w:rPr>
        <w:t xml:space="preserve">Hodnotitelé se řídí schválenými a platnými podklady, tj. Zásadami hodnocení projektů Dotačního programu „Podpora veřejně účelných aktivit seniorských a </w:t>
      </w:r>
      <w:proofErr w:type="spellStart"/>
      <w:r w:rsidRPr="00D911E6">
        <w:rPr>
          <w:rFonts w:ascii="Arial" w:hAnsi="Arial" w:cs="Arial"/>
        </w:rPr>
        <w:t>proseniorských</w:t>
      </w:r>
      <w:proofErr w:type="spellEnd"/>
      <w:r w:rsidRPr="00D911E6">
        <w:rPr>
          <w:rFonts w:ascii="Arial" w:hAnsi="Arial" w:cs="Arial"/>
        </w:rPr>
        <w:t xml:space="preserve"> organizací s celostátní působností“ pro rok 2021 (dále jen „Zásady“) a Metodikou MPSV Dotačního programu „Podpora veřejně účelných aktivit seniorských a </w:t>
      </w:r>
      <w:proofErr w:type="spellStart"/>
      <w:r w:rsidRPr="00D911E6">
        <w:rPr>
          <w:rFonts w:ascii="Arial" w:hAnsi="Arial" w:cs="Arial"/>
        </w:rPr>
        <w:t>proseniorských</w:t>
      </w:r>
      <w:proofErr w:type="spellEnd"/>
      <w:r w:rsidRPr="00D911E6">
        <w:rPr>
          <w:rFonts w:ascii="Arial" w:hAnsi="Arial" w:cs="Arial"/>
        </w:rPr>
        <w:t xml:space="preserve"> organizací s celostátní působností“ pro rok 2021 (dále jen „Metodika“).</w:t>
      </w:r>
      <w:r w:rsidRPr="00D911E6">
        <w:rPr>
          <w:rFonts w:ascii="Arial" w:hAnsi="Arial" w:cs="Arial"/>
        </w:rPr>
        <w:br w:type="page"/>
      </w:r>
    </w:p>
    <w:p w:rsidR="00406384" w:rsidRPr="00D911E6" w:rsidRDefault="00406384" w:rsidP="00406384">
      <w:pPr>
        <w:spacing w:line="360" w:lineRule="auto"/>
        <w:jc w:val="both"/>
        <w:rPr>
          <w:rFonts w:ascii="Arial" w:hAnsi="Arial" w:cs="Arial"/>
          <w:b/>
        </w:rPr>
      </w:pPr>
      <w:r w:rsidRPr="00D911E6">
        <w:rPr>
          <w:rFonts w:ascii="Arial" w:hAnsi="Arial" w:cs="Arial"/>
          <w:b/>
        </w:rPr>
        <w:lastRenderedPageBreak/>
        <w:t xml:space="preserve">2. 1. Hodnocení žádostí o dotaci </w:t>
      </w:r>
    </w:p>
    <w:p w:rsidR="00406384" w:rsidRPr="00D911E6" w:rsidRDefault="00406384" w:rsidP="00406384">
      <w:pPr>
        <w:spacing w:line="360" w:lineRule="auto"/>
        <w:jc w:val="both"/>
        <w:rPr>
          <w:rFonts w:ascii="Arial" w:hAnsi="Arial" w:cs="Arial"/>
        </w:rPr>
      </w:pPr>
      <w:r w:rsidRPr="00D911E6">
        <w:rPr>
          <w:rFonts w:ascii="Arial" w:hAnsi="Arial" w:cs="Arial"/>
        </w:rPr>
        <w:t xml:space="preserve">Obsah projektu musí být v souladu se schválenými dotačními oblastmi pro rok 2021 (viz Metodika). Žádost o dotaci organizace bude hodnocena externím (odborníkem z oblasti politiky stárnutí) a interním hodnotitelem (zaměstnanci odboru sociálních služeb a sociální práce), který v žádosti vymezí zbytné náklady, </w:t>
      </w:r>
      <w:r w:rsidRPr="00D911E6">
        <w:rPr>
          <w:rFonts w:ascii="Arial" w:hAnsi="Arial" w:cs="Arial"/>
        </w:rPr>
        <w:br/>
        <w:t xml:space="preserve">a to s ohledem na údaje uvedené v popisu projektu. Za obsahovou část bude možné získat maximálně 80 bodů, přičemž v případě, že dojde mezi oběma hodnotiteli k rozdílu 15 bodů a více, bude žádost přehodnocena třetím hodnotitelem. Za finanční část projektu (rozpočet) bude možné získat maximálně 20 bodů, přičemž výsledný počet bodů bude vyčíslen z obsahové části projektu plus body za hodnocení rozpočtu. V případě přehodnocení projektu bude v rámci obsahové části stanoven výsledný počet bodů na základě získaných bodů mezi hodnocením třetího hodnotitele a nejbližšího bodového výsledku z předchozích dvou hodnocení. </w:t>
      </w:r>
    </w:p>
    <w:p w:rsidR="00406384" w:rsidRPr="00D911E6" w:rsidRDefault="00406384" w:rsidP="00406384">
      <w:pPr>
        <w:spacing w:line="360" w:lineRule="auto"/>
        <w:jc w:val="both"/>
        <w:rPr>
          <w:rFonts w:ascii="Arial" w:hAnsi="Arial" w:cs="Arial"/>
        </w:rPr>
      </w:pPr>
    </w:p>
    <w:p w:rsidR="00406384" w:rsidRPr="00D911E6" w:rsidRDefault="00406384" w:rsidP="00406384">
      <w:pPr>
        <w:spacing w:line="360" w:lineRule="auto"/>
        <w:jc w:val="both"/>
        <w:rPr>
          <w:rFonts w:ascii="Arial" w:hAnsi="Arial" w:cs="Arial"/>
          <w:u w:val="single"/>
        </w:rPr>
      </w:pPr>
      <w:r w:rsidRPr="00D911E6">
        <w:rPr>
          <w:rFonts w:ascii="Arial" w:hAnsi="Arial" w:cs="Arial"/>
          <w:u w:val="single"/>
        </w:rPr>
        <w:t xml:space="preserve">Vyhodnocování žádostí o dotaci těchto organizací probíhá ve třech fázích: </w:t>
      </w:r>
    </w:p>
    <w:p w:rsidR="00406384" w:rsidRPr="00D911E6" w:rsidRDefault="00406384" w:rsidP="00406384">
      <w:pPr>
        <w:numPr>
          <w:ilvl w:val="0"/>
          <w:numId w:val="1"/>
        </w:numPr>
        <w:spacing w:line="360" w:lineRule="auto"/>
        <w:jc w:val="both"/>
        <w:rPr>
          <w:rFonts w:ascii="Arial" w:hAnsi="Arial" w:cs="Arial"/>
        </w:rPr>
      </w:pPr>
      <w:r w:rsidRPr="00D911E6">
        <w:rPr>
          <w:rFonts w:ascii="Arial" w:hAnsi="Arial" w:cs="Arial"/>
        </w:rPr>
        <w:t>obsahové hodnocení žádosti,</w:t>
      </w:r>
    </w:p>
    <w:p w:rsidR="00406384" w:rsidRPr="00D911E6" w:rsidRDefault="00406384" w:rsidP="00406384">
      <w:pPr>
        <w:numPr>
          <w:ilvl w:val="0"/>
          <w:numId w:val="1"/>
        </w:numPr>
        <w:spacing w:line="360" w:lineRule="auto"/>
        <w:jc w:val="both"/>
        <w:rPr>
          <w:rFonts w:ascii="Arial" w:hAnsi="Arial" w:cs="Arial"/>
        </w:rPr>
      </w:pPr>
      <w:r w:rsidRPr="00D911E6">
        <w:rPr>
          <w:rFonts w:ascii="Arial" w:hAnsi="Arial" w:cs="Arial"/>
        </w:rPr>
        <w:t>hodnocení finanční stránky žádosti,</w:t>
      </w:r>
    </w:p>
    <w:p w:rsidR="00406384" w:rsidRPr="00D911E6" w:rsidRDefault="00406384" w:rsidP="00406384">
      <w:pPr>
        <w:numPr>
          <w:ilvl w:val="0"/>
          <w:numId w:val="1"/>
        </w:numPr>
        <w:spacing w:line="360" w:lineRule="auto"/>
        <w:jc w:val="both"/>
        <w:rPr>
          <w:rFonts w:ascii="Arial" w:hAnsi="Arial" w:cs="Arial"/>
        </w:rPr>
      </w:pPr>
      <w:r w:rsidRPr="00D911E6">
        <w:rPr>
          <w:rFonts w:ascii="Arial" w:hAnsi="Arial" w:cs="Arial"/>
        </w:rPr>
        <w:t>celkové hodnocení žádosti.</w:t>
      </w:r>
    </w:p>
    <w:p w:rsidR="00406384" w:rsidRPr="00D911E6" w:rsidRDefault="00406384" w:rsidP="00406384">
      <w:pPr>
        <w:tabs>
          <w:tab w:val="left" w:pos="360"/>
        </w:tabs>
        <w:overflowPunct w:val="0"/>
        <w:autoSpaceDE w:val="0"/>
        <w:autoSpaceDN w:val="0"/>
        <w:adjustRightInd w:val="0"/>
        <w:spacing w:line="360" w:lineRule="auto"/>
        <w:jc w:val="both"/>
        <w:textAlignment w:val="baseline"/>
        <w:rPr>
          <w:rFonts w:ascii="Arial" w:hAnsi="Arial" w:cs="Arial"/>
        </w:rPr>
      </w:pPr>
    </w:p>
    <w:p w:rsidR="00406384" w:rsidRPr="00D911E6" w:rsidRDefault="00406384" w:rsidP="00406384">
      <w:pPr>
        <w:tabs>
          <w:tab w:val="num" w:pos="1789"/>
        </w:tabs>
        <w:spacing w:line="360" w:lineRule="auto"/>
        <w:jc w:val="both"/>
        <w:rPr>
          <w:rFonts w:ascii="Arial" w:hAnsi="Arial" w:cs="Arial"/>
          <w:b/>
        </w:rPr>
      </w:pPr>
      <w:r w:rsidRPr="00D911E6">
        <w:rPr>
          <w:rFonts w:ascii="Arial" w:hAnsi="Arial" w:cs="Arial"/>
          <w:b/>
        </w:rPr>
        <w:t xml:space="preserve">Ad 1. </w:t>
      </w:r>
      <w:bookmarkStart w:id="2" w:name="_Toc74895657"/>
      <w:bookmarkStart w:id="3" w:name="_Toc74895971"/>
      <w:r w:rsidRPr="00D911E6">
        <w:rPr>
          <w:rFonts w:ascii="Arial" w:hAnsi="Arial" w:cs="Arial"/>
          <w:b/>
        </w:rPr>
        <w:t xml:space="preserve">Obsahové hodnocení </w:t>
      </w:r>
      <w:bookmarkStart w:id="4" w:name="_Toc74895658"/>
      <w:bookmarkStart w:id="5" w:name="_Toc74895972"/>
      <w:bookmarkEnd w:id="2"/>
      <w:bookmarkEnd w:id="3"/>
      <w:r w:rsidRPr="00D911E6">
        <w:rPr>
          <w:rFonts w:ascii="Arial" w:hAnsi="Arial" w:cs="Arial"/>
          <w:b/>
        </w:rPr>
        <w:t>žádosti</w:t>
      </w:r>
    </w:p>
    <w:bookmarkEnd w:id="4"/>
    <w:bookmarkEnd w:id="5"/>
    <w:p w:rsidR="00406384" w:rsidRPr="00D911E6" w:rsidRDefault="00406384" w:rsidP="00406384">
      <w:pPr>
        <w:spacing w:line="360" w:lineRule="auto"/>
        <w:jc w:val="both"/>
        <w:rPr>
          <w:rFonts w:ascii="Arial" w:hAnsi="Arial" w:cs="Arial"/>
          <w:bCs/>
        </w:rPr>
      </w:pPr>
      <w:r w:rsidRPr="00D911E6">
        <w:rPr>
          <w:rFonts w:ascii="Arial" w:hAnsi="Arial" w:cs="Arial"/>
        </w:rPr>
        <w:t xml:space="preserve">Obsahové hodnocení žádosti o poskytování dotace ze státního rozpočtu pro rok 2021 v oblasti podpory veřejně účelných aktivit seniorských a </w:t>
      </w:r>
      <w:proofErr w:type="spellStart"/>
      <w:r w:rsidRPr="00D911E6">
        <w:rPr>
          <w:rFonts w:ascii="Arial" w:hAnsi="Arial" w:cs="Arial"/>
        </w:rPr>
        <w:t>proseniorských</w:t>
      </w:r>
      <w:proofErr w:type="spellEnd"/>
      <w:r w:rsidRPr="00D911E6">
        <w:rPr>
          <w:rFonts w:ascii="Arial" w:hAnsi="Arial" w:cs="Arial"/>
        </w:rPr>
        <w:t xml:space="preserve"> organizací s celostátní působností provádějí externí a interní hodnotitelé. Při hodnocení žádostí </w:t>
      </w:r>
      <w:r w:rsidRPr="00D911E6">
        <w:rPr>
          <w:rFonts w:ascii="Arial" w:hAnsi="Arial" w:cs="Arial"/>
          <w:bCs/>
        </w:rPr>
        <w:t>nejprve posoudí, do jaké míry projekt svým obsahem odpovídá zaměření vyhlašovaných dotačních oblastí a dále při hodnocení kladou důraz na kvalitu, potřebnost a efektivnost poskytované služby.</w:t>
      </w:r>
    </w:p>
    <w:p w:rsidR="00406384" w:rsidRPr="00D911E6" w:rsidRDefault="00406384" w:rsidP="00406384">
      <w:pPr>
        <w:spacing w:line="360" w:lineRule="auto"/>
        <w:jc w:val="both"/>
        <w:rPr>
          <w:rFonts w:ascii="Arial" w:hAnsi="Arial" w:cs="Arial"/>
        </w:rPr>
      </w:pPr>
      <w:bookmarkStart w:id="6" w:name="_Toc47850237"/>
      <w:r w:rsidRPr="00D911E6">
        <w:rPr>
          <w:rFonts w:ascii="Arial" w:hAnsi="Arial" w:cs="Arial"/>
        </w:rPr>
        <w:t>Na závěr vyplní v rámci webové aplikace OK služby senior hodnotící formulář pro externí hodnotitele. Interní hodnotitel vyplní ve zmíněné webové aplikaci, na základě svého hodnocení, obsahovou část hodnotícího formuláře pro interní hodnotitele</w:t>
      </w:r>
      <w:r w:rsidRPr="00D911E6">
        <w:rPr>
          <w:rFonts w:ascii="Arial" w:hAnsi="Arial" w:cs="Arial"/>
          <w:bCs/>
        </w:rPr>
        <w:t>. Oba hodnotitelé mohou v rámci obsahového hodnocení přidělit maximálně 80 bodů.</w:t>
      </w:r>
    </w:p>
    <w:bookmarkEnd w:id="6"/>
    <w:p w:rsidR="00406384" w:rsidRPr="00D911E6" w:rsidRDefault="00406384" w:rsidP="00406384">
      <w:pPr>
        <w:spacing w:line="360" w:lineRule="auto"/>
        <w:jc w:val="both"/>
        <w:rPr>
          <w:rFonts w:ascii="Arial" w:hAnsi="Arial" w:cs="Arial"/>
          <w:b/>
          <w:bCs/>
        </w:rPr>
      </w:pPr>
    </w:p>
    <w:p w:rsidR="00406384" w:rsidRPr="00D911E6" w:rsidRDefault="00406384" w:rsidP="00406384">
      <w:pPr>
        <w:autoSpaceDE w:val="0"/>
        <w:autoSpaceDN w:val="0"/>
        <w:spacing w:line="360" w:lineRule="auto"/>
        <w:jc w:val="both"/>
        <w:rPr>
          <w:rFonts w:ascii="Arial" w:hAnsi="Arial" w:cs="Arial"/>
          <w:bCs/>
        </w:rPr>
      </w:pPr>
      <w:bookmarkStart w:id="7" w:name="_Toc47239151"/>
      <w:bookmarkStart w:id="8" w:name="_Toc47850238"/>
      <w:r w:rsidRPr="00D911E6">
        <w:rPr>
          <w:rFonts w:ascii="Arial" w:hAnsi="Arial" w:cs="Arial"/>
          <w:bCs/>
        </w:rPr>
        <w:t xml:space="preserve">V této části projektu je na základě specificky vymezených kritérií hodnocena kvalita předloženého projektu a zpracování žádosti. Hodnotitel každou bodovanou část </w:t>
      </w:r>
      <w:r w:rsidRPr="00D911E6">
        <w:rPr>
          <w:rFonts w:ascii="Arial" w:hAnsi="Arial" w:cs="Arial"/>
          <w:bCs/>
        </w:rPr>
        <w:lastRenderedPageBreak/>
        <w:t>projektu ohodnotí určitým počtem bodů, přičemž v případě, že přidělí menší počet bodů, než je maximální možný, uvede ve slovním hodnocení odůvodnění, proč daný počet bodů snížil. Povinností hodnotitele je tímto způsobem vyplnit všechny body hodnotícího formuláře.</w:t>
      </w:r>
    </w:p>
    <w:bookmarkEnd w:id="7"/>
    <w:bookmarkEnd w:id="8"/>
    <w:p w:rsidR="00406384" w:rsidRPr="00D911E6" w:rsidRDefault="00406384" w:rsidP="00406384">
      <w:pPr>
        <w:spacing w:line="360" w:lineRule="auto"/>
        <w:jc w:val="both"/>
        <w:rPr>
          <w:rFonts w:ascii="Arial" w:hAnsi="Arial" w:cs="Arial"/>
        </w:rPr>
      </w:pPr>
    </w:p>
    <w:p w:rsidR="00406384" w:rsidRPr="00D911E6" w:rsidRDefault="00406384" w:rsidP="00406384">
      <w:pPr>
        <w:spacing w:line="360" w:lineRule="auto"/>
        <w:jc w:val="both"/>
        <w:rPr>
          <w:rFonts w:ascii="Arial" w:hAnsi="Arial" w:cs="Arial"/>
          <w:b/>
        </w:rPr>
      </w:pPr>
      <w:bookmarkStart w:id="9" w:name="_Toc47239152"/>
      <w:bookmarkStart w:id="10" w:name="_Toc47850240"/>
      <w:bookmarkStart w:id="11" w:name="_Toc74895661"/>
      <w:bookmarkStart w:id="12" w:name="_Toc74895975"/>
      <w:r w:rsidRPr="00D911E6">
        <w:rPr>
          <w:rFonts w:ascii="Arial" w:hAnsi="Arial" w:cs="Arial"/>
          <w:b/>
        </w:rPr>
        <w:t xml:space="preserve">Ad 2. Hodnocení finanční stránky </w:t>
      </w:r>
      <w:bookmarkEnd w:id="9"/>
      <w:bookmarkEnd w:id="10"/>
      <w:r w:rsidRPr="00D911E6">
        <w:rPr>
          <w:rFonts w:ascii="Arial" w:hAnsi="Arial" w:cs="Arial"/>
          <w:b/>
        </w:rPr>
        <w:t xml:space="preserve">žádosti </w:t>
      </w:r>
      <w:bookmarkEnd w:id="11"/>
      <w:bookmarkEnd w:id="12"/>
    </w:p>
    <w:p w:rsidR="00406384" w:rsidRPr="00D911E6" w:rsidRDefault="00406384" w:rsidP="00406384">
      <w:pPr>
        <w:spacing w:line="360" w:lineRule="auto"/>
        <w:jc w:val="both"/>
        <w:rPr>
          <w:rFonts w:ascii="Arial" w:hAnsi="Arial" w:cs="Arial"/>
        </w:rPr>
      </w:pPr>
      <w:r w:rsidRPr="00D911E6">
        <w:rPr>
          <w:rFonts w:ascii="Arial" w:hAnsi="Arial" w:cs="Arial"/>
        </w:rPr>
        <w:t>Následuje hodnocení finanční stránky projektu, které je prováděno především interním hodnotitelem, externí hodnotitel hodnotí pouze úroveň zpracování rozpočtu. Hodnocení finanční stránky projektu (rozpočtu projektu) spočívá především ve vymezení zbytných nákladů, tedy nákladů, které nelze hradit z dotace, a v rozpoznání jasného a výrazného nadhodnocení finanční náročnosti projektu s ohledem na obsahové hodnocení projektu.</w:t>
      </w:r>
    </w:p>
    <w:p w:rsidR="00406384" w:rsidRPr="00D911E6" w:rsidRDefault="00406384" w:rsidP="00406384">
      <w:pPr>
        <w:spacing w:line="360" w:lineRule="auto"/>
        <w:jc w:val="both"/>
        <w:rPr>
          <w:rFonts w:ascii="Arial" w:hAnsi="Arial" w:cs="Arial"/>
        </w:rPr>
      </w:pPr>
      <w:r w:rsidRPr="00D911E6">
        <w:rPr>
          <w:rFonts w:ascii="Arial" w:hAnsi="Arial" w:cs="Arial"/>
        </w:rPr>
        <w:t>Veškeré vymezené zbytné náklady musí být ve formuláři řádně zdůvodněny tak, aby byly přezkoumatelné. Zbytné náklady se vymezují z požadavku na dotaci, nikoliv z rozpočtu.</w:t>
      </w:r>
    </w:p>
    <w:p w:rsidR="00406384" w:rsidRPr="00D911E6" w:rsidRDefault="00406384" w:rsidP="00406384">
      <w:pPr>
        <w:spacing w:line="360" w:lineRule="auto"/>
        <w:jc w:val="both"/>
        <w:rPr>
          <w:rFonts w:ascii="Arial" w:hAnsi="Arial" w:cs="Arial"/>
        </w:rPr>
      </w:pPr>
      <w:r w:rsidRPr="00D911E6">
        <w:rPr>
          <w:rFonts w:ascii="Arial" w:hAnsi="Arial" w:cs="Arial"/>
        </w:rPr>
        <w:t>Při stanovování zbytných nákladů se hodnotitel řídí, mimo výše uvedeného, u jednotlivých položek rozpočtu následujícími kritérii.</w:t>
      </w:r>
    </w:p>
    <w:p w:rsidR="00406384" w:rsidRPr="00D911E6" w:rsidRDefault="00406384" w:rsidP="00406384">
      <w:pPr>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6981"/>
      </w:tblGrid>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Provozní náklady</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Kritéria v dané oblasti</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Kancelářské potřeby</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Lze nárokovat pouze kancelářské potřeby nezbytně nutné k realizaci projektu. Nárok musí být vždy zcela v souladu s charakterem a rozsahem obsahové části projektu.</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Vybavení (DDHM do 40. tis. Kč)</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Požadavek v rámci této položky musí být dostatečně odůvodněn a musí být ve shodě s obsahem projektu. Nesmí docházet k duplicitnímu požadavku (např. když NNO předkládá více projektů). Žadatel musí prokázat, že uvedený požadavek</w:t>
            </w:r>
            <w:r w:rsidRPr="00D911E6">
              <w:rPr>
                <w:rFonts w:ascii="Arial" w:hAnsi="Arial" w:cs="Arial"/>
              </w:rPr>
              <w:br/>
              <w:t>je pro realizaci projektu skutečně nezbytný.</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Pohonné hmoty</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Požadavek musí být ve shodě s kritérii hospodárnosti, efektivnosti a účelnosti. Důležité také je, aby nedošlo k duplicitnímu požadavku, a to v případě, kdy NNO současně žádá o dotaci v rámci položky „cestovní náhrady“.</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Jiné materiálové náklady</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 xml:space="preserve">Zde může NNO nárokovat požadavek, který nelze svým charakterem zařadit do jedné z výše uvedených položek. </w:t>
            </w:r>
            <w:r w:rsidRPr="00D911E6">
              <w:rPr>
                <w:rFonts w:ascii="Arial" w:hAnsi="Arial" w:cs="Arial"/>
              </w:rPr>
              <w:lastRenderedPageBreak/>
              <w:t>Nezbytnost daného nároku pro realizaci projektu však musí být dostatečně odůvodněna. Je nutné si uvědomit, že dotace je poskytována na jednoroční projekt, proto nelze žádat na rozsáhlé vybavení prostor (nábytek lze nárokovat jen v nezbytném rozsahu apod.), popř. na výpočetní a jinou techniku, která není nezbytná pro jednoroční realizaci projektu. Požadavek posoudí hodnotitel s ohledem na charakter a rozsah projektu.</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lastRenderedPageBreak/>
              <w:t>Energie (elektřina, plyn, vodné a stočné aj.)</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V případě této položky musí žadatel dostatečně odůvodnit částku, kterou na dané energie žádá. Z dotace lze pokrýt pouze tu část ceny energie, která bezprostředně souvisí s podporovanou aktivitou (tzn. v případě, kdy jsou pro aktivity projektu využívány pouze 2 místnosti, lze žádat dotaci pouze</w:t>
            </w:r>
            <w:r w:rsidRPr="00D911E6">
              <w:rPr>
                <w:rFonts w:ascii="Arial" w:hAnsi="Arial" w:cs="Arial"/>
              </w:rPr>
              <w:br/>
              <w:t>na dílčí část ceny energií vztahující se k těmto prostorům). Žadatel musí výpočet řádně odůvodnit.</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Opravy a udržování budov</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Žádat lze pouze na drobné úpravy (např. vymalování, drobné opravy). Nezbytnost daného požadavku posoudí hodnotitel na základě obsahu a charakteru projektu.</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Cestovní náhrady zaměstnanců</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Požadavek musí být rovněž dostatečně odůvodněn. Požadavek se nesmí překrývat s požadavkem na pohonné hmoty.</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Cestovní náhrady uživatelů</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O dotaci na cestovní náhrady uživatelů lze žádat jen v odůvodněných případech.</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Telefony, poštovné, ostatní spoje</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Lze nárokovat pouze tu část celkové platby za danou službu, která souvisí s předkládaným projektem. Žadatel musí doložit mechanismus výpočtu daného požadavku.</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Nájemné</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 xml:space="preserve">Lze nárokovat pouze tu část celkové platby za danou službu, která souvisí s předkládaným projektem. Žadatel musí doložit mechanismus výpočtu daného požadavku. Výše nájemného by neměla překročit běžnou výši nájmu v dané lokalitě. </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Právní a ekonomické služby</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 xml:space="preserve">Předpokládáme, že v této kolonce může NNO žádat o dotaci na zajištění např. účetního zpracování dotace. Lze nárokovat pouze tu část celkové platby za danou službu, která souvisí </w:t>
            </w:r>
            <w:r w:rsidRPr="00D911E6">
              <w:rPr>
                <w:rFonts w:ascii="Arial" w:hAnsi="Arial" w:cs="Arial"/>
              </w:rPr>
              <w:lastRenderedPageBreak/>
              <w:t>s předkládaným projektem. Žadatel musí doložit mechanismus výpočtu daného požadavku.</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lastRenderedPageBreak/>
              <w:t>Školení a kurzy</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Lze žádat pouze o dotaci na zajištění školení, které je nezbytné pro realizaci projektu (nemělo by se jednat o školení typu: mzdové účetnictví, fundraising apod.). Výše požadavku by měla být úměrná rozsahu a charakteru projektu.</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Pořízení DNM do 60 tis. Kč</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Nezbytnost daného nároku pro realizaci projektu musí být v tomto bodě dostatečně odůvodněna. Je nutné si uvědomit, že dotace je poskytována na jednoroční projekt, proto nelze žádat na rozsáhlé vybavení prostor (nábytek apod.), popř.</w:t>
            </w:r>
            <w:r w:rsidRPr="00D911E6">
              <w:rPr>
                <w:rFonts w:ascii="Arial" w:hAnsi="Arial" w:cs="Arial"/>
              </w:rPr>
              <w:br/>
              <w:t>na výpočetní a jinou techniku, která není nezbytná</w:t>
            </w:r>
            <w:r w:rsidRPr="00D911E6">
              <w:rPr>
                <w:rFonts w:ascii="Arial" w:hAnsi="Arial" w:cs="Arial"/>
              </w:rPr>
              <w:br/>
              <w:t>pro jednoroční realizaci projektu. Požadavek posoudí hodnotitel s ohledem na charakter a rozsah projektu.</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Jiné služby</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Zde může NNO nárokovat požadavek, který nelze svým charakterem zařadit do jedné z výše uvedených položek. Nezbytnost daného nároku pro realizaci projektu však musí být dostatečně odůvodněna. O dotaci na ubytování lze žádat jen v odůvodněných případech.</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Drobný dlouhodobý hmotný majetek</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V oblasti výdajů na nákup jedné položky nového vybavení či zařízení drobného dlouhodobého hmotného majetku např. PC sestava (počítač, monitor, klávesnice, myš, základní software) nesmí pořizovací cena přesáhnout částku 25 000,- Kč.</w:t>
            </w:r>
          </w:p>
        </w:tc>
      </w:tr>
    </w:tbl>
    <w:p w:rsidR="00406384" w:rsidRPr="00D911E6" w:rsidRDefault="00406384" w:rsidP="00406384">
      <w:pPr>
        <w:keepNext/>
        <w:spacing w:line="360" w:lineRule="auto"/>
        <w:jc w:val="both"/>
        <w:outlineLvl w:val="2"/>
        <w:rPr>
          <w:rFonts w:ascii="Arial" w:hAnsi="Arial" w:cs="Arial"/>
        </w:rPr>
      </w:pPr>
    </w:p>
    <w:p w:rsidR="00406384" w:rsidRPr="00D911E6" w:rsidRDefault="00406384" w:rsidP="00406384">
      <w:pPr>
        <w:spacing w:line="360" w:lineRule="auto"/>
        <w:jc w:val="both"/>
        <w:rPr>
          <w:rFonts w:ascii="Arial" w:hAnsi="Arial" w:cs="Arial"/>
        </w:rPr>
      </w:pPr>
      <w:r w:rsidRPr="00D911E6">
        <w:rPr>
          <w:rFonts w:ascii="Arial" w:hAnsi="Arial" w:cs="Arial"/>
        </w:rPr>
        <w:t xml:space="preserve">V bodě týkajícím se osobních nákladů se hodnotí přiměřenost počtu zaměstnanců a jejich zařazení do pracovních tříd vzhledem k obsahu a rozsahu projektu, </w:t>
      </w:r>
      <w:r w:rsidRPr="00D911E6">
        <w:rPr>
          <w:rFonts w:ascii="Arial" w:hAnsi="Arial" w:cs="Arial"/>
        </w:rPr>
        <w:br/>
        <w:t xml:space="preserve">jeho charakteru, náročnosti poskytované služby a vzdělání. </w:t>
      </w:r>
      <w:r w:rsidRPr="00D911E6">
        <w:rPr>
          <w:rFonts w:ascii="Arial" w:hAnsi="Arial" w:cs="Arial"/>
          <w:b/>
        </w:rPr>
        <w:t xml:space="preserve">U všech zaměstnanců musí být uvedena odbornost opravňující daného zaměstnance k výkonu dané pracovní pozice. </w:t>
      </w:r>
      <w:r w:rsidRPr="00D911E6">
        <w:rPr>
          <w:rFonts w:ascii="Arial" w:hAnsi="Arial" w:cs="Arial"/>
        </w:rPr>
        <w:t xml:space="preserve">Míru úrovně odbornosti a zkušenosti zaměstnance posoudí hodnotitel. Z dotace lze mzdové nároky hradit toliko co do výše odpovídající platovému tarifu pro platovou třídu a platový stupeň do kterého by byl zaměstnanec zařazen dle zákoníku práce a prováděcích právních předpisů. </w:t>
      </w:r>
    </w:p>
    <w:p w:rsidR="00406384" w:rsidRPr="00D911E6" w:rsidRDefault="00406384" w:rsidP="00406384">
      <w:pPr>
        <w:spacing w:line="360" w:lineRule="auto"/>
        <w:jc w:val="both"/>
        <w:rPr>
          <w:rFonts w:ascii="Arial" w:hAnsi="Arial" w:cs="Arial"/>
        </w:rPr>
      </w:pPr>
    </w:p>
    <w:p w:rsidR="00406384" w:rsidRPr="00D911E6" w:rsidRDefault="00406384" w:rsidP="00406384">
      <w:pPr>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978"/>
      </w:tblGrid>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lastRenderedPageBreak/>
              <w:t>Hrubé mzdy/pracovní smlouvy</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 xml:space="preserve">Hodnotí se přiměřenost požadovaných mzdových prostředků ve srovnání s tabulkou platových tarifů. Vyčíslují se mzdové prostředky, které jsou nepřiměřené nebo </w:t>
            </w:r>
            <w:r w:rsidRPr="00D911E6">
              <w:rPr>
                <w:rFonts w:ascii="Arial" w:hAnsi="Arial" w:cs="Arial"/>
                <w:b/>
              </w:rPr>
              <w:t>výrazně neodpovídají platovým tarifům</w:t>
            </w:r>
            <w:r w:rsidRPr="00D911E6">
              <w:rPr>
                <w:rFonts w:ascii="Arial" w:hAnsi="Arial" w:cs="Arial"/>
              </w:rPr>
              <w:t xml:space="preserve"> (částka se zaokrouhlí na celé stovky dolů).       </w:t>
            </w:r>
            <w:r w:rsidRPr="00D911E6">
              <w:rPr>
                <w:rFonts w:ascii="Arial" w:hAnsi="Arial" w:cs="Arial"/>
                <w:color w:val="000000"/>
              </w:rPr>
              <w:t xml:space="preserve">Z </w:t>
            </w:r>
            <w:r w:rsidRPr="00D911E6">
              <w:rPr>
                <w:rFonts w:ascii="Arial" w:hAnsi="Arial" w:cs="Arial"/>
              </w:rPr>
              <w:t xml:space="preserve">poskytnuté dotace lze hradit mzdu zaměstnance do výše odpovídající platovým tarifům stanoveným podle nařízení </w:t>
            </w:r>
            <w:r w:rsidRPr="00D911E6">
              <w:rPr>
                <w:rFonts w:ascii="Arial" w:hAnsi="Arial" w:cs="Arial"/>
                <w:color w:val="000000" w:themeColor="text1"/>
              </w:rPr>
              <w:t xml:space="preserve">vlády č. 341/2017 Sb., o platových poměrech zaměstnanců </w:t>
            </w:r>
            <w:r w:rsidRPr="00D911E6">
              <w:rPr>
                <w:rFonts w:ascii="Arial" w:hAnsi="Arial" w:cs="Arial"/>
                <w:color w:val="000000" w:themeColor="text1"/>
              </w:rPr>
              <w:br/>
              <w:t xml:space="preserve">ve veřejných službách a správě, ve znění pozdějších předpisů, a to v platové stupnici určené pro jednotlivé skupiny zaměstnanců podle § 5 přílohy 1 nařízení vlády o platových poměrech zaměstnanců ve veřejných službách a správě </w:t>
            </w:r>
            <w:r w:rsidRPr="00D911E6">
              <w:rPr>
                <w:rFonts w:ascii="Arial" w:hAnsi="Arial" w:cs="Arial"/>
                <w:color w:val="000000" w:themeColor="text1"/>
              </w:rPr>
              <w:br/>
              <w:t>dle aktuální platové tabulky. Pro tyto účely se určení platového tarifu řídí zákoníkem práce a právními předpisy k jeho provedení</w:t>
            </w:r>
            <w:r w:rsidRPr="00D911E6">
              <w:rPr>
                <w:rFonts w:ascii="Arial" w:hAnsi="Arial" w:cs="Arial"/>
              </w:rPr>
              <w:t>. Podrobnější informace viz Metodika. Výši pracovních úvazků vzhledem k rozsahu a charakteru projektu posoudí hodnotitel.</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Dohody o pracovní činnosti</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V rámci DPČ lze nárokovat částku max. 250 Kč/hod., přičemž výši odměny pro daného zaměstnance posoudí hodnotitel. To se samozřejmě týká rovněž počtu pracovních úvazků.</w:t>
            </w:r>
          </w:p>
        </w:tc>
      </w:tr>
      <w:tr w:rsidR="00406384" w:rsidRPr="00D911E6" w:rsidTr="002879C7">
        <w:tc>
          <w:tcPr>
            <w:tcW w:w="2093"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Dohody o provedení práce</w:t>
            </w:r>
          </w:p>
        </w:tc>
        <w:tc>
          <w:tcPr>
            <w:tcW w:w="7119" w:type="dxa"/>
            <w:shd w:val="clear" w:color="auto" w:fill="auto"/>
          </w:tcPr>
          <w:p w:rsidR="00406384" w:rsidRPr="00D911E6" w:rsidRDefault="00406384" w:rsidP="002879C7">
            <w:pPr>
              <w:spacing w:line="360" w:lineRule="auto"/>
              <w:jc w:val="both"/>
              <w:rPr>
                <w:rFonts w:ascii="Arial" w:hAnsi="Arial" w:cs="Arial"/>
              </w:rPr>
            </w:pPr>
            <w:r w:rsidRPr="00D911E6">
              <w:rPr>
                <w:rFonts w:ascii="Arial" w:hAnsi="Arial" w:cs="Arial"/>
              </w:rPr>
              <w:t>V rámci DPP lze žádat max. o částku 500 Kč/hod., přičemž tuto limitní částku lze nárokovat pouze pro vysoce kvalifikované zaměstnance, kteří mají na starosti odbornou a náročnou práci. Výše odměny na DPP musí vycházet z odbornosti zaměstnance, místa realizace projektu a pracovní náplně.</w:t>
            </w:r>
          </w:p>
        </w:tc>
      </w:tr>
    </w:tbl>
    <w:p w:rsidR="00406384" w:rsidRPr="00D911E6" w:rsidRDefault="00406384" w:rsidP="00406384">
      <w:pPr>
        <w:spacing w:line="360" w:lineRule="auto"/>
        <w:jc w:val="both"/>
        <w:rPr>
          <w:rFonts w:ascii="Arial" w:hAnsi="Arial" w:cs="Arial"/>
        </w:rPr>
      </w:pPr>
    </w:p>
    <w:p w:rsidR="00406384" w:rsidRPr="00D911E6" w:rsidRDefault="00406384" w:rsidP="00406384">
      <w:pPr>
        <w:spacing w:line="360" w:lineRule="auto"/>
        <w:jc w:val="both"/>
        <w:rPr>
          <w:rFonts w:ascii="Arial" w:hAnsi="Arial" w:cs="Arial"/>
        </w:rPr>
      </w:pPr>
      <w:r w:rsidRPr="00D911E6">
        <w:rPr>
          <w:rFonts w:ascii="Arial" w:hAnsi="Arial" w:cs="Arial"/>
        </w:rPr>
        <w:t xml:space="preserve">Celkové finanční náklady, které nelze hradit z dotace MPSV nebo nejsou nutné pro realizaci projektu (zbytné náklady) jsou součtem provozních a osobních nákladů. </w:t>
      </w:r>
    </w:p>
    <w:p w:rsidR="00406384" w:rsidRPr="00D911E6" w:rsidRDefault="00406384" w:rsidP="00406384">
      <w:pPr>
        <w:spacing w:line="360" w:lineRule="auto"/>
        <w:jc w:val="both"/>
        <w:rPr>
          <w:rFonts w:ascii="Arial" w:hAnsi="Arial" w:cs="Arial"/>
        </w:rPr>
      </w:pPr>
    </w:p>
    <w:p w:rsidR="00406384" w:rsidRPr="00D911E6" w:rsidRDefault="00406384" w:rsidP="00406384">
      <w:pPr>
        <w:spacing w:line="360" w:lineRule="auto"/>
        <w:jc w:val="both"/>
        <w:rPr>
          <w:rFonts w:ascii="Arial" w:hAnsi="Arial" w:cs="Arial"/>
        </w:rPr>
      </w:pPr>
      <w:r w:rsidRPr="00D911E6">
        <w:rPr>
          <w:rFonts w:ascii="Arial" w:hAnsi="Arial" w:cs="Arial"/>
        </w:rPr>
        <w:t xml:space="preserve">Na základě vymezení zbytných nákladů a zhodnocení úrovně zpracování rozpočtu interní hodnotitel ve formuláři bodově a slovně ohodnotí kvalitu rozpočtu projektu. Bodové hodnocení potřebnosti/nutnosti navrhovaných výdajů pro realizaci projektu </w:t>
      </w:r>
      <w:r w:rsidRPr="00D911E6">
        <w:rPr>
          <w:rFonts w:ascii="Arial" w:hAnsi="Arial" w:cs="Arial"/>
        </w:rPr>
        <w:br/>
        <w:t>se řídí tím, jaký procentuální podíl požadavku na dotaci tvoří stanovené zbytné náklady:</w:t>
      </w:r>
    </w:p>
    <w:p w:rsidR="00406384" w:rsidRPr="00D911E6" w:rsidRDefault="00406384" w:rsidP="00406384">
      <w:pPr>
        <w:spacing w:line="360" w:lineRule="auto"/>
        <w:jc w:val="both"/>
        <w:rPr>
          <w:rFonts w:ascii="Arial" w:hAnsi="Arial" w:cs="Arial"/>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0"/>
        <w:gridCol w:w="900"/>
      </w:tblGrid>
      <w:tr w:rsidR="00406384" w:rsidRPr="00D911E6" w:rsidTr="002879C7">
        <w:tc>
          <w:tcPr>
            <w:tcW w:w="6120" w:type="dxa"/>
          </w:tcPr>
          <w:p w:rsidR="00406384" w:rsidRPr="00D911E6" w:rsidRDefault="00406384" w:rsidP="002879C7">
            <w:pPr>
              <w:spacing w:line="360" w:lineRule="auto"/>
              <w:jc w:val="both"/>
              <w:rPr>
                <w:rFonts w:ascii="Arial" w:eastAsia="Arial Unicode MS" w:hAnsi="Arial" w:cs="Arial"/>
                <w:b/>
                <w:iCs/>
              </w:rPr>
            </w:pPr>
            <w:r w:rsidRPr="00D911E6">
              <w:rPr>
                <w:rFonts w:ascii="Arial" w:hAnsi="Arial" w:cs="Arial"/>
              </w:rPr>
              <w:lastRenderedPageBreak/>
              <w:br w:type="page"/>
            </w:r>
            <w:r w:rsidRPr="00D911E6">
              <w:rPr>
                <w:rFonts w:ascii="Arial" w:eastAsia="Arial Unicode MS" w:hAnsi="Arial" w:cs="Arial"/>
                <w:b/>
                <w:iCs/>
              </w:rPr>
              <w:t>Podíl zbytných nákladů na požadavku na dotaci od MPSV</w:t>
            </w:r>
          </w:p>
        </w:tc>
        <w:tc>
          <w:tcPr>
            <w:tcW w:w="900" w:type="dxa"/>
            <w:vAlign w:val="center"/>
          </w:tcPr>
          <w:p w:rsidR="00406384" w:rsidRPr="00D911E6" w:rsidRDefault="00406384" w:rsidP="002879C7">
            <w:pPr>
              <w:spacing w:line="360" w:lineRule="auto"/>
              <w:jc w:val="both"/>
              <w:rPr>
                <w:rFonts w:ascii="Arial" w:eastAsia="Arial Unicode MS" w:hAnsi="Arial" w:cs="Arial"/>
                <w:b/>
                <w:iCs/>
              </w:rPr>
            </w:pPr>
            <w:r w:rsidRPr="00D911E6">
              <w:rPr>
                <w:rFonts w:ascii="Arial" w:eastAsia="Arial Unicode MS" w:hAnsi="Arial" w:cs="Arial"/>
                <w:b/>
                <w:iCs/>
              </w:rPr>
              <w:t>Počet bodů</w:t>
            </w:r>
          </w:p>
        </w:tc>
      </w:tr>
      <w:tr w:rsidR="00406384" w:rsidRPr="00D911E6" w:rsidTr="002879C7">
        <w:tc>
          <w:tcPr>
            <w:tcW w:w="6120" w:type="dxa"/>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 xml:space="preserve"> 0</w:t>
            </w:r>
            <w:proofErr w:type="gramStart"/>
            <w:r w:rsidRPr="00D911E6">
              <w:rPr>
                <w:rFonts w:ascii="Arial" w:eastAsia="Arial Unicode MS" w:hAnsi="Arial" w:cs="Arial"/>
                <w:bCs/>
                <w:iCs/>
              </w:rPr>
              <w:t>%  -</w:t>
            </w:r>
            <w:proofErr w:type="gramEnd"/>
            <w:r w:rsidRPr="00D911E6">
              <w:rPr>
                <w:rFonts w:ascii="Arial" w:eastAsia="Arial Unicode MS" w:hAnsi="Arial" w:cs="Arial"/>
                <w:bCs/>
                <w:iCs/>
              </w:rPr>
              <w:t xml:space="preserve">    5%</w:t>
            </w:r>
          </w:p>
        </w:tc>
        <w:tc>
          <w:tcPr>
            <w:tcW w:w="900" w:type="dxa"/>
            <w:vAlign w:val="center"/>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10</w:t>
            </w:r>
          </w:p>
        </w:tc>
      </w:tr>
      <w:tr w:rsidR="00406384" w:rsidRPr="00D911E6" w:rsidTr="002879C7">
        <w:tc>
          <w:tcPr>
            <w:tcW w:w="6120" w:type="dxa"/>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 xml:space="preserve"> 6</w:t>
            </w:r>
            <w:proofErr w:type="gramStart"/>
            <w:r w:rsidRPr="00D911E6">
              <w:rPr>
                <w:rFonts w:ascii="Arial" w:eastAsia="Arial Unicode MS" w:hAnsi="Arial" w:cs="Arial"/>
                <w:bCs/>
                <w:iCs/>
              </w:rPr>
              <w:t>%  -</w:t>
            </w:r>
            <w:proofErr w:type="gramEnd"/>
            <w:r w:rsidRPr="00D911E6">
              <w:rPr>
                <w:rFonts w:ascii="Arial" w:eastAsia="Arial Unicode MS" w:hAnsi="Arial" w:cs="Arial"/>
                <w:bCs/>
                <w:iCs/>
              </w:rPr>
              <w:t xml:space="preserve">  10%</w:t>
            </w:r>
          </w:p>
        </w:tc>
        <w:tc>
          <w:tcPr>
            <w:tcW w:w="900" w:type="dxa"/>
            <w:vAlign w:val="center"/>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9</w:t>
            </w:r>
          </w:p>
        </w:tc>
      </w:tr>
      <w:tr w:rsidR="00406384" w:rsidRPr="00D911E6" w:rsidTr="002879C7">
        <w:tc>
          <w:tcPr>
            <w:tcW w:w="6120" w:type="dxa"/>
          </w:tcPr>
          <w:p w:rsidR="00406384" w:rsidRPr="00D911E6" w:rsidRDefault="00406384" w:rsidP="002879C7">
            <w:pPr>
              <w:spacing w:line="360" w:lineRule="auto"/>
              <w:jc w:val="both"/>
              <w:rPr>
                <w:rFonts w:ascii="Arial" w:eastAsia="Arial Unicode MS" w:hAnsi="Arial" w:cs="Arial"/>
                <w:bCs/>
                <w:iCs/>
              </w:rPr>
            </w:pPr>
            <w:proofErr w:type="gramStart"/>
            <w:r w:rsidRPr="00D911E6">
              <w:rPr>
                <w:rFonts w:ascii="Arial" w:eastAsia="Arial Unicode MS" w:hAnsi="Arial" w:cs="Arial"/>
                <w:bCs/>
                <w:iCs/>
              </w:rPr>
              <w:t>11%</w:t>
            </w:r>
            <w:proofErr w:type="gramEnd"/>
            <w:r w:rsidRPr="00D911E6">
              <w:rPr>
                <w:rFonts w:ascii="Arial" w:eastAsia="Arial Unicode MS" w:hAnsi="Arial" w:cs="Arial"/>
                <w:bCs/>
                <w:iCs/>
              </w:rPr>
              <w:t xml:space="preserve"> – 15%</w:t>
            </w:r>
          </w:p>
        </w:tc>
        <w:tc>
          <w:tcPr>
            <w:tcW w:w="900" w:type="dxa"/>
            <w:vAlign w:val="center"/>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8</w:t>
            </w:r>
          </w:p>
        </w:tc>
      </w:tr>
      <w:tr w:rsidR="00406384" w:rsidRPr="00D911E6" w:rsidTr="002879C7">
        <w:tc>
          <w:tcPr>
            <w:tcW w:w="6120" w:type="dxa"/>
          </w:tcPr>
          <w:p w:rsidR="00406384" w:rsidRPr="00D911E6" w:rsidRDefault="00406384" w:rsidP="002879C7">
            <w:pPr>
              <w:spacing w:line="360" w:lineRule="auto"/>
              <w:jc w:val="both"/>
              <w:rPr>
                <w:rFonts w:ascii="Arial" w:eastAsia="Arial Unicode MS" w:hAnsi="Arial" w:cs="Arial"/>
                <w:bCs/>
                <w:iCs/>
              </w:rPr>
            </w:pPr>
            <w:proofErr w:type="gramStart"/>
            <w:r w:rsidRPr="00D911E6">
              <w:rPr>
                <w:rFonts w:ascii="Arial" w:eastAsia="Arial Unicode MS" w:hAnsi="Arial" w:cs="Arial"/>
                <w:bCs/>
                <w:iCs/>
              </w:rPr>
              <w:t>16%</w:t>
            </w:r>
            <w:proofErr w:type="gramEnd"/>
            <w:r w:rsidRPr="00D911E6">
              <w:rPr>
                <w:rFonts w:ascii="Arial" w:eastAsia="Arial Unicode MS" w:hAnsi="Arial" w:cs="Arial"/>
                <w:bCs/>
                <w:iCs/>
              </w:rPr>
              <w:t xml:space="preserve"> – 20%</w:t>
            </w:r>
          </w:p>
        </w:tc>
        <w:tc>
          <w:tcPr>
            <w:tcW w:w="900" w:type="dxa"/>
            <w:vAlign w:val="center"/>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7</w:t>
            </w:r>
          </w:p>
        </w:tc>
      </w:tr>
      <w:tr w:rsidR="00406384" w:rsidRPr="00D911E6" w:rsidTr="002879C7">
        <w:tc>
          <w:tcPr>
            <w:tcW w:w="6120" w:type="dxa"/>
          </w:tcPr>
          <w:p w:rsidR="00406384" w:rsidRPr="00D911E6" w:rsidRDefault="00406384" w:rsidP="002879C7">
            <w:pPr>
              <w:spacing w:line="360" w:lineRule="auto"/>
              <w:jc w:val="both"/>
              <w:rPr>
                <w:rFonts w:ascii="Arial" w:eastAsia="Arial Unicode MS" w:hAnsi="Arial" w:cs="Arial"/>
                <w:bCs/>
                <w:iCs/>
              </w:rPr>
            </w:pPr>
            <w:proofErr w:type="gramStart"/>
            <w:r w:rsidRPr="00D911E6">
              <w:rPr>
                <w:rFonts w:ascii="Arial" w:eastAsia="Arial Unicode MS" w:hAnsi="Arial" w:cs="Arial"/>
                <w:bCs/>
                <w:iCs/>
              </w:rPr>
              <w:t>21%</w:t>
            </w:r>
            <w:proofErr w:type="gramEnd"/>
            <w:r w:rsidRPr="00D911E6">
              <w:rPr>
                <w:rFonts w:ascii="Arial" w:eastAsia="Arial Unicode MS" w:hAnsi="Arial" w:cs="Arial"/>
                <w:bCs/>
                <w:iCs/>
              </w:rPr>
              <w:t xml:space="preserve"> – 25%</w:t>
            </w:r>
          </w:p>
        </w:tc>
        <w:tc>
          <w:tcPr>
            <w:tcW w:w="900" w:type="dxa"/>
            <w:vAlign w:val="center"/>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6</w:t>
            </w:r>
          </w:p>
        </w:tc>
      </w:tr>
      <w:tr w:rsidR="00406384" w:rsidRPr="00D911E6" w:rsidTr="002879C7">
        <w:tc>
          <w:tcPr>
            <w:tcW w:w="6120" w:type="dxa"/>
          </w:tcPr>
          <w:p w:rsidR="00406384" w:rsidRPr="00D911E6" w:rsidRDefault="00406384" w:rsidP="002879C7">
            <w:pPr>
              <w:spacing w:line="360" w:lineRule="auto"/>
              <w:jc w:val="both"/>
              <w:rPr>
                <w:rFonts w:ascii="Arial" w:eastAsia="Arial Unicode MS" w:hAnsi="Arial" w:cs="Arial"/>
                <w:bCs/>
                <w:iCs/>
              </w:rPr>
            </w:pPr>
            <w:proofErr w:type="gramStart"/>
            <w:r w:rsidRPr="00D911E6">
              <w:rPr>
                <w:rFonts w:ascii="Arial" w:eastAsia="Arial Unicode MS" w:hAnsi="Arial" w:cs="Arial"/>
                <w:bCs/>
                <w:iCs/>
              </w:rPr>
              <w:t>26%</w:t>
            </w:r>
            <w:proofErr w:type="gramEnd"/>
            <w:r w:rsidRPr="00D911E6">
              <w:rPr>
                <w:rFonts w:ascii="Arial" w:eastAsia="Arial Unicode MS" w:hAnsi="Arial" w:cs="Arial"/>
                <w:bCs/>
                <w:iCs/>
              </w:rPr>
              <w:t xml:space="preserve"> – 30%</w:t>
            </w:r>
          </w:p>
        </w:tc>
        <w:tc>
          <w:tcPr>
            <w:tcW w:w="900" w:type="dxa"/>
            <w:vAlign w:val="center"/>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5</w:t>
            </w:r>
          </w:p>
        </w:tc>
      </w:tr>
      <w:tr w:rsidR="00406384" w:rsidRPr="00D911E6" w:rsidTr="002879C7">
        <w:tc>
          <w:tcPr>
            <w:tcW w:w="6120" w:type="dxa"/>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 xml:space="preserve">31% </w:t>
            </w:r>
            <w:proofErr w:type="gramStart"/>
            <w:r w:rsidRPr="00D911E6">
              <w:rPr>
                <w:rFonts w:ascii="Arial" w:eastAsia="Arial Unicode MS" w:hAnsi="Arial" w:cs="Arial"/>
                <w:bCs/>
                <w:iCs/>
              </w:rPr>
              <w:t>-  35</w:t>
            </w:r>
            <w:proofErr w:type="gramEnd"/>
            <w:r w:rsidRPr="00D911E6">
              <w:rPr>
                <w:rFonts w:ascii="Arial" w:eastAsia="Arial Unicode MS" w:hAnsi="Arial" w:cs="Arial"/>
                <w:bCs/>
                <w:iCs/>
              </w:rPr>
              <w:t>%</w:t>
            </w:r>
          </w:p>
        </w:tc>
        <w:tc>
          <w:tcPr>
            <w:tcW w:w="900" w:type="dxa"/>
            <w:vAlign w:val="center"/>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4</w:t>
            </w:r>
          </w:p>
        </w:tc>
      </w:tr>
      <w:tr w:rsidR="00406384" w:rsidRPr="00D911E6" w:rsidTr="002879C7">
        <w:tc>
          <w:tcPr>
            <w:tcW w:w="6120" w:type="dxa"/>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 xml:space="preserve">36% </w:t>
            </w:r>
            <w:proofErr w:type="gramStart"/>
            <w:r w:rsidRPr="00D911E6">
              <w:rPr>
                <w:rFonts w:ascii="Arial" w:eastAsia="Arial Unicode MS" w:hAnsi="Arial" w:cs="Arial"/>
                <w:bCs/>
                <w:iCs/>
              </w:rPr>
              <w:t>-  40</w:t>
            </w:r>
            <w:proofErr w:type="gramEnd"/>
            <w:r w:rsidRPr="00D911E6">
              <w:rPr>
                <w:rFonts w:ascii="Arial" w:eastAsia="Arial Unicode MS" w:hAnsi="Arial" w:cs="Arial"/>
                <w:bCs/>
                <w:iCs/>
              </w:rPr>
              <w:t>%</w:t>
            </w:r>
          </w:p>
        </w:tc>
        <w:tc>
          <w:tcPr>
            <w:tcW w:w="900" w:type="dxa"/>
            <w:vAlign w:val="center"/>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3</w:t>
            </w:r>
          </w:p>
        </w:tc>
      </w:tr>
      <w:tr w:rsidR="00406384" w:rsidRPr="00D911E6" w:rsidTr="002879C7">
        <w:tc>
          <w:tcPr>
            <w:tcW w:w="6120" w:type="dxa"/>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 xml:space="preserve">41% </w:t>
            </w:r>
            <w:proofErr w:type="gramStart"/>
            <w:r w:rsidRPr="00D911E6">
              <w:rPr>
                <w:rFonts w:ascii="Arial" w:eastAsia="Arial Unicode MS" w:hAnsi="Arial" w:cs="Arial"/>
                <w:bCs/>
                <w:iCs/>
              </w:rPr>
              <w:t>-  45</w:t>
            </w:r>
            <w:proofErr w:type="gramEnd"/>
            <w:r w:rsidRPr="00D911E6">
              <w:rPr>
                <w:rFonts w:ascii="Arial" w:eastAsia="Arial Unicode MS" w:hAnsi="Arial" w:cs="Arial"/>
                <w:bCs/>
                <w:iCs/>
              </w:rPr>
              <w:t>%</w:t>
            </w:r>
          </w:p>
        </w:tc>
        <w:tc>
          <w:tcPr>
            <w:tcW w:w="900" w:type="dxa"/>
            <w:vAlign w:val="center"/>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2</w:t>
            </w:r>
          </w:p>
        </w:tc>
      </w:tr>
      <w:tr w:rsidR="00406384" w:rsidRPr="00D911E6" w:rsidTr="002879C7">
        <w:tc>
          <w:tcPr>
            <w:tcW w:w="6120" w:type="dxa"/>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 xml:space="preserve">45% </w:t>
            </w:r>
            <w:proofErr w:type="gramStart"/>
            <w:r w:rsidRPr="00D911E6">
              <w:rPr>
                <w:rFonts w:ascii="Arial" w:eastAsia="Arial Unicode MS" w:hAnsi="Arial" w:cs="Arial"/>
                <w:bCs/>
                <w:iCs/>
              </w:rPr>
              <w:t>-  50</w:t>
            </w:r>
            <w:proofErr w:type="gramEnd"/>
            <w:r w:rsidRPr="00D911E6">
              <w:rPr>
                <w:rFonts w:ascii="Arial" w:eastAsia="Arial Unicode MS" w:hAnsi="Arial" w:cs="Arial"/>
                <w:bCs/>
                <w:iCs/>
              </w:rPr>
              <w:t>%</w:t>
            </w:r>
          </w:p>
        </w:tc>
        <w:tc>
          <w:tcPr>
            <w:tcW w:w="900" w:type="dxa"/>
            <w:vAlign w:val="center"/>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1</w:t>
            </w:r>
          </w:p>
        </w:tc>
      </w:tr>
      <w:tr w:rsidR="00406384" w:rsidRPr="00D911E6" w:rsidTr="002879C7">
        <w:tc>
          <w:tcPr>
            <w:tcW w:w="6120" w:type="dxa"/>
          </w:tcPr>
          <w:p w:rsidR="00406384" w:rsidRPr="00D911E6" w:rsidRDefault="00406384" w:rsidP="002879C7">
            <w:pPr>
              <w:spacing w:line="360" w:lineRule="auto"/>
              <w:jc w:val="both"/>
              <w:rPr>
                <w:rFonts w:ascii="Arial" w:eastAsia="Arial Unicode MS" w:hAnsi="Arial" w:cs="Arial"/>
                <w:bCs/>
                <w:iCs/>
              </w:rPr>
            </w:pPr>
            <w:proofErr w:type="gramStart"/>
            <w:r w:rsidRPr="00D911E6">
              <w:rPr>
                <w:rFonts w:ascii="Arial" w:eastAsia="Arial Unicode MS" w:hAnsi="Arial" w:cs="Arial"/>
                <w:bCs/>
                <w:iCs/>
              </w:rPr>
              <w:t>51%</w:t>
            </w:r>
            <w:proofErr w:type="gramEnd"/>
            <w:r w:rsidRPr="00D911E6">
              <w:rPr>
                <w:rFonts w:ascii="Arial" w:eastAsia="Arial Unicode MS" w:hAnsi="Arial" w:cs="Arial"/>
                <w:bCs/>
                <w:iCs/>
              </w:rPr>
              <w:t xml:space="preserve"> - 100%</w:t>
            </w:r>
          </w:p>
        </w:tc>
        <w:tc>
          <w:tcPr>
            <w:tcW w:w="900" w:type="dxa"/>
            <w:vAlign w:val="center"/>
          </w:tcPr>
          <w:p w:rsidR="00406384" w:rsidRPr="00D911E6" w:rsidRDefault="00406384" w:rsidP="002879C7">
            <w:pPr>
              <w:spacing w:line="360" w:lineRule="auto"/>
              <w:jc w:val="both"/>
              <w:rPr>
                <w:rFonts w:ascii="Arial" w:eastAsia="Arial Unicode MS" w:hAnsi="Arial" w:cs="Arial"/>
                <w:bCs/>
                <w:iCs/>
              </w:rPr>
            </w:pPr>
            <w:r w:rsidRPr="00D911E6">
              <w:rPr>
                <w:rFonts w:ascii="Arial" w:eastAsia="Arial Unicode MS" w:hAnsi="Arial" w:cs="Arial"/>
                <w:bCs/>
                <w:iCs/>
              </w:rPr>
              <w:t>0</w:t>
            </w:r>
          </w:p>
        </w:tc>
      </w:tr>
    </w:tbl>
    <w:p w:rsidR="00406384" w:rsidRPr="00D911E6" w:rsidRDefault="00406384" w:rsidP="00406384">
      <w:pPr>
        <w:spacing w:line="360" w:lineRule="auto"/>
        <w:jc w:val="both"/>
        <w:rPr>
          <w:rFonts w:ascii="Arial" w:hAnsi="Arial" w:cs="Arial"/>
        </w:rPr>
      </w:pPr>
    </w:p>
    <w:p w:rsidR="00406384" w:rsidRPr="00D911E6" w:rsidRDefault="00406384" w:rsidP="00406384">
      <w:pPr>
        <w:spacing w:line="360" w:lineRule="auto"/>
        <w:jc w:val="both"/>
        <w:rPr>
          <w:rFonts w:ascii="Arial" w:hAnsi="Arial" w:cs="Arial"/>
          <w:b/>
        </w:rPr>
      </w:pPr>
      <w:r w:rsidRPr="00D911E6">
        <w:rPr>
          <w:rFonts w:ascii="Arial" w:hAnsi="Arial" w:cs="Arial"/>
          <w:b/>
        </w:rPr>
        <w:t>Ad 3. Celkové hodnocení žádosti</w:t>
      </w:r>
      <w:r w:rsidRPr="00D911E6">
        <w:rPr>
          <w:rFonts w:ascii="Arial" w:hAnsi="Arial" w:cs="Arial"/>
          <w:b/>
        </w:rPr>
        <w:tab/>
      </w:r>
      <w:r w:rsidRPr="00D911E6">
        <w:rPr>
          <w:rFonts w:ascii="Arial" w:hAnsi="Arial" w:cs="Arial"/>
          <w:b/>
        </w:rPr>
        <w:tab/>
      </w:r>
      <w:r w:rsidRPr="00D911E6">
        <w:rPr>
          <w:rFonts w:ascii="Arial" w:hAnsi="Arial" w:cs="Arial"/>
          <w:b/>
        </w:rPr>
        <w:tab/>
      </w:r>
      <w:r w:rsidRPr="00D911E6">
        <w:rPr>
          <w:rFonts w:ascii="Arial" w:hAnsi="Arial" w:cs="Arial"/>
          <w:b/>
        </w:rPr>
        <w:tab/>
      </w:r>
      <w:r w:rsidRPr="00D911E6">
        <w:rPr>
          <w:rFonts w:ascii="Arial" w:hAnsi="Arial" w:cs="Arial"/>
          <w:b/>
        </w:rPr>
        <w:tab/>
      </w:r>
    </w:p>
    <w:p w:rsidR="00406384" w:rsidRPr="00D911E6" w:rsidRDefault="00406384" w:rsidP="00406384">
      <w:pPr>
        <w:spacing w:line="360" w:lineRule="auto"/>
        <w:jc w:val="both"/>
        <w:rPr>
          <w:rFonts w:ascii="Arial" w:hAnsi="Arial" w:cs="Arial"/>
          <w:iCs/>
        </w:rPr>
      </w:pPr>
      <w:r w:rsidRPr="00D911E6">
        <w:rPr>
          <w:rFonts w:ascii="Arial" w:hAnsi="Arial" w:cs="Arial"/>
        </w:rPr>
        <w:t xml:space="preserve">Celkové hodnocení projektu provádí zaměstnanec oddělení stárnutí a sociálního začleňování MPSV, který administruje dotační řízení na podporu veřejně účelných aktivit seniorských a </w:t>
      </w:r>
      <w:proofErr w:type="spellStart"/>
      <w:r w:rsidRPr="00D911E6">
        <w:rPr>
          <w:rFonts w:ascii="Arial" w:hAnsi="Arial" w:cs="Arial"/>
        </w:rPr>
        <w:t>proseniorských</w:t>
      </w:r>
      <w:proofErr w:type="spellEnd"/>
      <w:r w:rsidRPr="00D911E6">
        <w:rPr>
          <w:rFonts w:ascii="Arial" w:hAnsi="Arial" w:cs="Arial"/>
        </w:rPr>
        <w:t xml:space="preserve"> organizací s celostátní působností. </w:t>
      </w:r>
      <w:r w:rsidRPr="00D911E6">
        <w:rPr>
          <w:rFonts w:ascii="Arial" w:hAnsi="Arial" w:cs="Arial"/>
          <w:iCs/>
        </w:rPr>
        <w:t>Celkové hodnocení žádosti organizací se skládá:</w:t>
      </w:r>
    </w:p>
    <w:p w:rsidR="00406384" w:rsidRPr="00D911E6" w:rsidRDefault="00406384" w:rsidP="00406384">
      <w:pPr>
        <w:spacing w:line="360" w:lineRule="auto"/>
        <w:jc w:val="both"/>
        <w:rPr>
          <w:rFonts w:ascii="Arial" w:hAnsi="Arial" w:cs="Arial"/>
          <w:iCs/>
        </w:rPr>
      </w:pPr>
    </w:p>
    <w:p w:rsidR="00406384" w:rsidRPr="00D911E6" w:rsidRDefault="00406384" w:rsidP="00406384">
      <w:pPr>
        <w:spacing w:line="360" w:lineRule="auto"/>
        <w:jc w:val="both"/>
        <w:rPr>
          <w:rFonts w:ascii="Arial" w:hAnsi="Arial" w:cs="Arial"/>
          <w:iCs/>
        </w:rPr>
      </w:pPr>
      <w:r w:rsidRPr="00D911E6">
        <w:rPr>
          <w:rFonts w:ascii="Arial" w:hAnsi="Arial" w:cs="Arial"/>
          <w:iCs/>
        </w:rPr>
        <w:t xml:space="preserve">a) z bodového hodnocení obsahové části projektu prováděného interním a externím hodnotitelem, maximum je 80 bodů, </w:t>
      </w:r>
    </w:p>
    <w:p w:rsidR="00406384" w:rsidRPr="00D911E6" w:rsidRDefault="00406384" w:rsidP="00406384">
      <w:pPr>
        <w:spacing w:line="360" w:lineRule="auto"/>
        <w:jc w:val="both"/>
        <w:rPr>
          <w:rFonts w:ascii="Arial" w:hAnsi="Arial" w:cs="Arial"/>
          <w:iCs/>
        </w:rPr>
      </w:pPr>
    </w:p>
    <w:p w:rsidR="00406384" w:rsidRPr="00D911E6" w:rsidRDefault="00406384" w:rsidP="00406384">
      <w:pPr>
        <w:spacing w:line="360" w:lineRule="auto"/>
        <w:jc w:val="both"/>
        <w:rPr>
          <w:rFonts w:ascii="Arial" w:hAnsi="Arial" w:cs="Arial"/>
          <w:iCs/>
        </w:rPr>
      </w:pPr>
      <w:r w:rsidRPr="00D911E6">
        <w:rPr>
          <w:rFonts w:ascii="Arial" w:hAnsi="Arial" w:cs="Arial"/>
          <w:iCs/>
        </w:rPr>
        <w:t>b) a bodového ohodnocení rozpočtu projektu, které provádí pouze interní hodnotitel, maximum je 20 bodů.</w:t>
      </w:r>
    </w:p>
    <w:p w:rsidR="00406384" w:rsidRPr="00D911E6" w:rsidRDefault="00406384" w:rsidP="00406384">
      <w:pPr>
        <w:spacing w:line="360" w:lineRule="auto"/>
        <w:jc w:val="both"/>
        <w:rPr>
          <w:rFonts w:ascii="Arial" w:hAnsi="Arial" w:cs="Arial"/>
        </w:rPr>
      </w:pPr>
    </w:p>
    <w:p w:rsidR="00406384" w:rsidRPr="00D911E6" w:rsidRDefault="00406384" w:rsidP="00406384">
      <w:pPr>
        <w:spacing w:line="360" w:lineRule="auto"/>
        <w:jc w:val="both"/>
        <w:rPr>
          <w:rFonts w:ascii="Arial" w:hAnsi="Arial" w:cs="Arial"/>
        </w:rPr>
      </w:pPr>
      <w:r w:rsidRPr="00D911E6">
        <w:rPr>
          <w:rFonts w:ascii="Arial" w:hAnsi="Arial" w:cs="Arial"/>
        </w:rPr>
        <w:t xml:space="preserve">Pokud bude rozdíl v bodovém obsahovém hodnocení žádosti externím a interním hodnotitelem 15 bodů a více, je žádost přehodnocena jiným nezávislým externím hodnotitelem. Výsledné bodové hodnocení je stanoveno na základě získaných bodů dvou bodově nejbližších obsahových hodnocení, ke kterým se připočítá počet bodů za rozpočet projektu. </w:t>
      </w:r>
    </w:p>
    <w:p w:rsidR="00406384" w:rsidRPr="00D911E6" w:rsidRDefault="00406384" w:rsidP="00406384">
      <w:pPr>
        <w:autoSpaceDE w:val="0"/>
        <w:autoSpaceDN w:val="0"/>
        <w:spacing w:line="360" w:lineRule="auto"/>
        <w:jc w:val="both"/>
        <w:rPr>
          <w:rFonts w:ascii="Arial" w:hAnsi="Arial" w:cs="Arial"/>
          <w:b/>
        </w:rPr>
      </w:pPr>
      <w:r w:rsidRPr="00D911E6">
        <w:rPr>
          <w:rFonts w:ascii="Arial" w:hAnsi="Arial" w:cs="Arial"/>
          <w:b/>
        </w:rPr>
        <w:t>Obsahová část:</w:t>
      </w:r>
    </w:p>
    <w:p w:rsidR="00406384" w:rsidRPr="00D911E6" w:rsidRDefault="00406384" w:rsidP="00406384">
      <w:pPr>
        <w:autoSpaceDE w:val="0"/>
        <w:autoSpaceDN w:val="0"/>
        <w:spacing w:line="360" w:lineRule="auto"/>
        <w:jc w:val="both"/>
        <w:rPr>
          <w:rFonts w:ascii="Arial" w:hAnsi="Arial" w:cs="Arial"/>
        </w:rPr>
      </w:pPr>
      <w:r w:rsidRPr="00D911E6">
        <w:rPr>
          <w:rFonts w:ascii="Arial" w:hAnsi="Arial" w:cs="Arial"/>
        </w:rPr>
        <w:t>Interní hodnotitel udělí max. 80 bodů</w:t>
      </w:r>
    </w:p>
    <w:p w:rsidR="00406384" w:rsidRPr="00D911E6" w:rsidRDefault="00406384" w:rsidP="00406384">
      <w:pPr>
        <w:autoSpaceDE w:val="0"/>
        <w:autoSpaceDN w:val="0"/>
        <w:spacing w:line="360" w:lineRule="auto"/>
        <w:jc w:val="both"/>
        <w:rPr>
          <w:rFonts w:ascii="Arial" w:hAnsi="Arial" w:cs="Arial"/>
        </w:rPr>
      </w:pPr>
      <w:r w:rsidRPr="00D911E6">
        <w:rPr>
          <w:rFonts w:ascii="Arial" w:hAnsi="Arial" w:cs="Arial"/>
        </w:rPr>
        <w:lastRenderedPageBreak/>
        <w:t>Externí hodnotitel udělí max. 80 bodů</w:t>
      </w:r>
    </w:p>
    <w:p w:rsidR="00406384" w:rsidRPr="00D911E6" w:rsidRDefault="00406384" w:rsidP="00406384">
      <w:pPr>
        <w:autoSpaceDE w:val="0"/>
        <w:autoSpaceDN w:val="0"/>
        <w:spacing w:line="360" w:lineRule="auto"/>
        <w:jc w:val="both"/>
        <w:rPr>
          <w:rFonts w:ascii="Arial" w:hAnsi="Arial" w:cs="Arial"/>
          <w:b/>
        </w:rPr>
      </w:pPr>
      <w:r w:rsidRPr="00D911E6">
        <w:rPr>
          <w:rFonts w:ascii="Arial" w:hAnsi="Arial" w:cs="Arial"/>
          <w:b/>
        </w:rPr>
        <w:t>Finanční část:</w:t>
      </w:r>
    </w:p>
    <w:p w:rsidR="00406384" w:rsidRPr="00D911E6" w:rsidRDefault="00406384" w:rsidP="00406384">
      <w:pPr>
        <w:autoSpaceDE w:val="0"/>
        <w:autoSpaceDN w:val="0"/>
        <w:spacing w:line="360" w:lineRule="auto"/>
        <w:jc w:val="both"/>
        <w:rPr>
          <w:rFonts w:ascii="Arial" w:hAnsi="Arial" w:cs="Arial"/>
        </w:rPr>
      </w:pPr>
      <w:r w:rsidRPr="00D911E6">
        <w:rPr>
          <w:rFonts w:ascii="Arial" w:hAnsi="Arial" w:cs="Arial"/>
        </w:rPr>
        <w:t xml:space="preserve">Interní hodnotitel udělí max. 20 bodů </w:t>
      </w:r>
    </w:p>
    <w:p w:rsidR="00406384" w:rsidRPr="00D911E6" w:rsidRDefault="00406384" w:rsidP="00406384">
      <w:pPr>
        <w:autoSpaceDE w:val="0"/>
        <w:autoSpaceDN w:val="0"/>
        <w:spacing w:line="360" w:lineRule="auto"/>
        <w:jc w:val="both"/>
        <w:rPr>
          <w:rFonts w:ascii="Arial" w:hAnsi="Arial" w:cs="Arial"/>
        </w:rPr>
      </w:pPr>
      <w:r w:rsidRPr="00D911E6">
        <w:rPr>
          <w:rFonts w:ascii="Arial" w:hAnsi="Arial" w:cs="Arial"/>
        </w:rPr>
        <w:t>Externí hodnotitel udělí max. 5 bodů</w:t>
      </w:r>
    </w:p>
    <w:p w:rsidR="00406384" w:rsidRPr="00D911E6" w:rsidRDefault="00406384" w:rsidP="00406384">
      <w:pPr>
        <w:autoSpaceDE w:val="0"/>
        <w:autoSpaceDN w:val="0"/>
        <w:spacing w:line="360" w:lineRule="auto"/>
        <w:jc w:val="both"/>
        <w:rPr>
          <w:rFonts w:ascii="Arial" w:hAnsi="Arial" w:cs="Arial"/>
        </w:rPr>
      </w:pPr>
    </w:p>
    <w:p w:rsidR="00406384" w:rsidRPr="00D911E6" w:rsidRDefault="00406384" w:rsidP="00406384">
      <w:pPr>
        <w:autoSpaceDE w:val="0"/>
        <w:autoSpaceDN w:val="0"/>
        <w:spacing w:line="360" w:lineRule="auto"/>
        <w:jc w:val="both"/>
        <w:rPr>
          <w:rFonts w:ascii="Arial" w:hAnsi="Arial" w:cs="Arial"/>
        </w:rPr>
      </w:pPr>
      <w:r w:rsidRPr="00D911E6">
        <w:rPr>
          <w:rFonts w:ascii="Arial" w:hAnsi="Arial" w:cs="Arial"/>
        </w:rPr>
        <w:t xml:space="preserve">Bodová hranice k podpoře projektů je pro interního hodnotitele stanovena 60 body </w:t>
      </w:r>
      <w:r w:rsidRPr="00D911E6">
        <w:rPr>
          <w:rFonts w:ascii="Arial" w:hAnsi="Arial" w:cs="Arial"/>
        </w:rPr>
        <w:br/>
        <w:t>a výše. U externího hodnotitele je hranice 50 bodů a výše.</w:t>
      </w:r>
    </w:p>
    <w:p w:rsidR="00406384" w:rsidRPr="00D911E6" w:rsidRDefault="00406384" w:rsidP="00406384">
      <w:pPr>
        <w:autoSpaceDE w:val="0"/>
        <w:autoSpaceDN w:val="0"/>
        <w:spacing w:line="360" w:lineRule="auto"/>
        <w:jc w:val="both"/>
        <w:rPr>
          <w:rFonts w:ascii="Arial" w:hAnsi="Arial" w:cs="Arial"/>
        </w:rPr>
      </w:pPr>
    </w:p>
    <w:p w:rsidR="00406384" w:rsidRPr="00D911E6" w:rsidRDefault="00406384" w:rsidP="00406384">
      <w:pPr>
        <w:autoSpaceDE w:val="0"/>
        <w:autoSpaceDN w:val="0"/>
        <w:spacing w:line="360" w:lineRule="auto"/>
        <w:jc w:val="both"/>
        <w:rPr>
          <w:rFonts w:ascii="Arial" w:hAnsi="Arial" w:cs="Arial"/>
        </w:rPr>
      </w:pPr>
      <w:r w:rsidRPr="00D911E6">
        <w:rPr>
          <w:rFonts w:ascii="Arial" w:hAnsi="Arial" w:cs="Arial"/>
        </w:rPr>
        <w:t xml:space="preserve">Proces hodnocení žádostí o dotaci koordinuje oddělení stárnutí a sociálního začleňování MPSV. Celkové hodnocení bude organizacím, které podaly žádost, k dispozici k nahlédnutí v rámci webové aplikace. </w:t>
      </w:r>
    </w:p>
    <w:p w:rsidR="00406384" w:rsidRPr="00D911E6" w:rsidRDefault="00406384" w:rsidP="00406384">
      <w:pPr>
        <w:spacing w:line="360" w:lineRule="auto"/>
        <w:jc w:val="both"/>
        <w:rPr>
          <w:rFonts w:ascii="Arial" w:hAnsi="Arial" w:cs="Arial"/>
        </w:rPr>
      </w:pPr>
    </w:p>
    <w:p w:rsidR="00406384" w:rsidRPr="00D911E6" w:rsidRDefault="00406384" w:rsidP="00406384">
      <w:pPr>
        <w:spacing w:line="360" w:lineRule="auto"/>
        <w:jc w:val="both"/>
        <w:rPr>
          <w:rFonts w:ascii="Arial" w:hAnsi="Arial" w:cs="Arial"/>
          <w:b/>
        </w:rPr>
      </w:pPr>
      <w:r w:rsidRPr="00D911E6">
        <w:rPr>
          <w:rFonts w:ascii="Arial" w:hAnsi="Arial" w:cs="Arial"/>
          <w:b/>
        </w:rPr>
        <w:t>3. JMENOVÁNÍ HODNOTITELŮ</w:t>
      </w:r>
    </w:p>
    <w:p w:rsidR="00406384" w:rsidRPr="00D911E6" w:rsidRDefault="00406384" w:rsidP="00406384">
      <w:pPr>
        <w:spacing w:line="360" w:lineRule="auto"/>
        <w:jc w:val="both"/>
        <w:rPr>
          <w:rFonts w:ascii="Arial" w:hAnsi="Arial" w:cs="Arial"/>
        </w:rPr>
      </w:pPr>
      <w:r w:rsidRPr="00D911E6">
        <w:rPr>
          <w:rFonts w:ascii="Arial" w:hAnsi="Arial" w:cs="Arial"/>
        </w:rPr>
        <w:t>Externí hodnotitelé jsou navrhováni a osloveni odborem sociálních služeb a sociální práce MPSV. V případě, že hodnocení provádí externí hodnotitelé, oddělení stárnutí a sociálního začleňování pro ně zajistí před vlastním zahájením hodnocení žádostí školení (individuální nebo hromadné). Externí hodnotitelé budou seznámeni se zásadami při obsahovém hodnocení žádostí a postupem při zpracování a odevzdání stanoviska k hodnocenému projektu a s veškerou dokumentací.</w:t>
      </w:r>
    </w:p>
    <w:p w:rsidR="00406384" w:rsidRPr="00D911E6" w:rsidRDefault="00406384" w:rsidP="00406384">
      <w:pPr>
        <w:spacing w:line="360" w:lineRule="auto"/>
        <w:jc w:val="both"/>
        <w:rPr>
          <w:rFonts w:ascii="Arial" w:hAnsi="Arial" w:cs="Arial"/>
        </w:rPr>
      </w:pPr>
    </w:p>
    <w:p w:rsidR="00406384" w:rsidRPr="00D911E6" w:rsidRDefault="00406384" w:rsidP="00406384">
      <w:pPr>
        <w:spacing w:line="360" w:lineRule="auto"/>
        <w:jc w:val="both"/>
        <w:rPr>
          <w:rFonts w:ascii="Arial" w:hAnsi="Arial" w:cs="Arial"/>
        </w:rPr>
      </w:pPr>
      <w:r w:rsidRPr="00D911E6">
        <w:rPr>
          <w:rFonts w:ascii="Arial" w:hAnsi="Arial" w:cs="Arial"/>
        </w:rPr>
        <w:t>Každý externí hodnotitel musí splňovat následující požadavky:</w:t>
      </w:r>
    </w:p>
    <w:p w:rsidR="00406384" w:rsidRPr="00D911E6" w:rsidRDefault="00406384" w:rsidP="00406384">
      <w:pPr>
        <w:numPr>
          <w:ilvl w:val="0"/>
          <w:numId w:val="2"/>
        </w:numPr>
        <w:tabs>
          <w:tab w:val="num" w:pos="426"/>
        </w:tabs>
        <w:spacing w:line="360" w:lineRule="auto"/>
        <w:ind w:left="426" w:hanging="426"/>
        <w:jc w:val="both"/>
        <w:rPr>
          <w:rFonts w:ascii="Arial" w:hAnsi="Arial" w:cs="Arial"/>
        </w:rPr>
      </w:pPr>
      <w:r w:rsidRPr="00D911E6">
        <w:rPr>
          <w:rFonts w:ascii="Arial" w:hAnsi="Arial" w:cs="Arial"/>
        </w:rPr>
        <w:t>znalost českého jazyka,</w:t>
      </w:r>
    </w:p>
    <w:p w:rsidR="00406384" w:rsidRPr="00D911E6" w:rsidRDefault="00406384" w:rsidP="00406384">
      <w:pPr>
        <w:numPr>
          <w:ilvl w:val="0"/>
          <w:numId w:val="2"/>
        </w:numPr>
        <w:tabs>
          <w:tab w:val="num" w:pos="426"/>
        </w:tabs>
        <w:spacing w:line="360" w:lineRule="auto"/>
        <w:ind w:left="426" w:hanging="426"/>
        <w:jc w:val="both"/>
        <w:rPr>
          <w:rFonts w:ascii="Arial" w:hAnsi="Arial" w:cs="Arial"/>
        </w:rPr>
      </w:pPr>
      <w:r w:rsidRPr="00D911E6">
        <w:rPr>
          <w:rFonts w:ascii="Arial" w:hAnsi="Arial" w:cs="Arial"/>
        </w:rPr>
        <w:t>vysokoškolské nebo vyšší odborné vzdělání v právní, sociální, pedagogické nebo jiné humanitní oblasti nebo středoškolské vzdělání a minimálně tři roky praxe v oboru, který je blízký zaměření oblasti podpory seniorům, příp. rodiny.</w:t>
      </w:r>
    </w:p>
    <w:p w:rsidR="00406384" w:rsidRPr="00D911E6" w:rsidRDefault="00406384" w:rsidP="00406384">
      <w:pPr>
        <w:numPr>
          <w:ilvl w:val="0"/>
          <w:numId w:val="2"/>
        </w:numPr>
        <w:tabs>
          <w:tab w:val="num" w:pos="426"/>
        </w:tabs>
        <w:spacing w:line="360" w:lineRule="auto"/>
        <w:ind w:left="426" w:hanging="426"/>
        <w:jc w:val="both"/>
        <w:rPr>
          <w:rFonts w:ascii="Arial" w:hAnsi="Arial" w:cs="Arial"/>
        </w:rPr>
      </w:pPr>
      <w:r w:rsidRPr="00D911E6">
        <w:rPr>
          <w:rFonts w:ascii="Arial" w:hAnsi="Arial" w:cs="Arial"/>
        </w:rPr>
        <w:t>absolvování školení (individuálního nebo hromadného) a podepsání „Čestného prohlášení hodnotitele“.</w:t>
      </w:r>
    </w:p>
    <w:p w:rsidR="00406384" w:rsidRPr="00D911E6" w:rsidRDefault="00406384" w:rsidP="00406384">
      <w:pPr>
        <w:spacing w:line="360" w:lineRule="auto"/>
        <w:jc w:val="both"/>
        <w:rPr>
          <w:rFonts w:ascii="Arial" w:hAnsi="Arial" w:cs="Arial"/>
        </w:rPr>
      </w:pPr>
    </w:p>
    <w:p w:rsidR="00406384" w:rsidRPr="00D911E6" w:rsidRDefault="00406384" w:rsidP="00406384">
      <w:pPr>
        <w:spacing w:line="360" w:lineRule="auto"/>
        <w:jc w:val="both"/>
        <w:rPr>
          <w:rFonts w:ascii="Arial" w:hAnsi="Arial" w:cs="Arial"/>
        </w:rPr>
      </w:pPr>
      <w:r w:rsidRPr="00D911E6">
        <w:rPr>
          <w:rFonts w:ascii="Arial" w:hAnsi="Arial" w:cs="Arial"/>
        </w:rPr>
        <w:t>Externí hodnotitele jmenuje a odvolává ředitel/</w:t>
      </w:r>
      <w:proofErr w:type="spellStart"/>
      <w:r w:rsidRPr="00D911E6">
        <w:rPr>
          <w:rFonts w:ascii="Arial" w:hAnsi="Arial" w:cs="Arial"/>
        </w:rPr>
        <w:t>ka</w:t>
      </w:r>
      <w:proofErr w:type="spellEnd"/>
      <w:r w:rsidRPr="00D911E6">
        <w:rPr>
          <w:rFonts w:ascii="Arial" w:hAnsi="Arial" w:cs="Arial"/>
        </w:rPr>
        <w:t xml:space="preserve"> odboru sociálních služeb a sociální práce. MPSV vždy na jedno dotační období. Externí hodnotitelé jsou jí odpovědni a řídí se jejími pokyny, případně v jejím zastoupení pokyny vedoucí oddělení stárnutí a sociálního začleňování. V případě, že externí hodnotitel nevykonává svou činnost, je jmenován náhradní hodnotitel.</w:t>
      </w:r>
    </w:p>
    <w:p w:rsidR="00406384" w:rsidRPr="00D911E6" w:rsidRDefault="00406384" w:rsidP="00406384">
      <w:pPr>
        <w:spacing w:line="360" w:lineRule="auto"/>
        <w:jc w:val="both"/>
        <w:rPr>
          <w:rFonts w:ascii="Arial" w:hAnsi="Arial" w:cs="Arial"/>
        </w:rPr>
      </w:pPr>
      <w:r w:rsidRPr="00D911E6">
        <w:rPr>
          <w:rFonts w:ascii="Arial" w:hAnsi="Arial" w:cs="Arial"/>
        </w:rPr>
        <w:lastRenderedPageBreak/>
        <w:t>Musí být zaručena nejen odbornost a nezávislost externích hodnotitelů, ale i jejich anonymita. V procesu hodnocení žádostí musí být vyloučen střet zájmů a osobní zainteresovanost externího hodnotitele na posuzované žádosti. Zároveň jsou externí hodnotitelé povinni o všech skutečnostech souvisejících s hodnocením projektů zachovávat mlčenlivost. Externí hodnotitelé proto podepisují „Čestné prohlášení hodnotitele“.</w:t>
      </w:r>
    </w:p>
    <w:p w:rsidR="00406384" w:rsidRPr="00D911E6" w:rsidRDefault="00406384" w:rsidP="00406384">
      <w:pPr>
        <w:spacing w:line="360" w:lineRule="auto"/>
        <w:jc w:val="both"/>
        <w:rPr>
          <w:rFonts w:ascii="Arial" w:hAnsi="Arial" w:cs="Arial"/>
        </w:rPr>
      </w:pPr>
      <w:r w:rsidRPr="00D911E6">
        <w:rPr>
          <w:rFonts w:ascii="Arial" w:hAnsi="Arial" w:cs="Arial"/>
        </w:rPr>
        <w:t>Externí hodnotitelé nemohou posuzovat žádosti, na kterých jsou osobně zainteresováni. Pokud mají hodnotitelé pochyby o své nepodjatosti či jsou na projektu osobně zainteresováni, oznámí tuto skutečnost neprodleně vedoucí oddělení stárnutí a sociálního začleňování.</w:t>
      </w:r>
    </w:p>
    <w:p w:rsidR="00406384" w:rsidRPr="00D911E6" w:rsidRDefault="00406384" w:rsidP="00406384">
      <w:pPr>
        <w:spacing w:line="360" w:lineRule="auto"/>
        <w:jc w:val="both"/>
        <w:rPr>
          <w:rFonts w:ascii="Arial" w:hAnsi="Arial" w:cs="Arial"/>
        </w:rPr>
      </w:pPr>
      <w:r w:rsidRPr="00D911E6">
        <w:rPr>
          <w:rFonts w:ascii="Arial" w:hAnsi="Arial" w:cs="Arial"/>
        </w:rPr>
        <w:t>Rozhodnutí externího hodnotitele musí být ve výsledku objektivní, doložitelné a kvalitně zpracované. Hodnotitel je povinen své rozhodnutí zdůvodnit a nést za ně odpovědnost.</w:t>
      </w:r>
    </w:p>
    <w:p w:rsidR="00406384" w:rsidRPr="00D911E6" w:rsidRDefault="00406384" w:rsidP="00406384">
      <w:pPr>
        <w:spacing w:line="360" w:lineRule="auto"/>
        <w:jc w:val="both"/>
        <w:rPr>
          <w:rFonts w:ascii="Arial" w:hAnsi="Arial" w:cs="Arial"/>
        </w:rPr>
      </w:pPr>
      <w:r w:rsidRPr="00D911E6">
        <w:rPr>
          <w:rFonts w:ascii="Arial" w:hAnsi="Arial" w:cs="Arial"/>
        </w:rPr>
        <w:t>Externí hodnotitel se při své činnosti řídí schválenými a platnými podklady, tj. Zásadami a Metodikou. Před zahájením své činnosti obdrží každý externí hodnotitel od vedoucí oddělení stárnutí a sociálního začleňování:</w:t>
      </w:r>
    </w:p>
    <w:p w:rsidR="00406384" w:rsidRPr="00D911E6" w:rsidRDefault="00406384" w:rsidP="00406384">
      <w:pPr>
        <w:numPr>
          <w:ilvl w:val="0"/>
          <w:numId w:val="3"/>
        </w:numPr>
        <w:tabs>
          <w:tab w:val="clear" w:pos="720"/>
          <w:tab w:val="num" w:pos="426"/>
        </w:tabs>
        <w:spacing w:line="360" w:lineRule="auto"/>
        <w:ind w:left="426" w:hanging="426"/>
        <w:jc w:val="both"/>
        <w:rPr>
          <w:rFonts w:ascii="Arial" w:hAnsi="Arial" w:cs="Arial"/>
        </w:rPr>
      </w:pPr>
      <w:r w:rsidRPr="00D911E6">
        <w:rPr>
          <w:rFonts w:ascii="Arial" w:hAnsi="Arial" w:cs="Arial"/>
        </w:rPr>
        <w:t>elektronický přístup do webové aplikace, kde nalezne žádosti k vyhodnocení a formulář pro hodnocení,</w:t>
      </w:r>
    </w:p>
    <w:p w:rsidR="00406384" w:rsidRPr="00D911E6" w:rsidRDefault="00406384" w:rsidP="00406384">
      <w:pPr>
        <w:numPr>
          <w:ilvl w:val="0"/>
          <w:numId w:val="3"/>
        </w:numPr>
        <w:tabs>
          <w:tab w:val="clear" w:pos="720"/>
          <w:tab w:val="num" w:pos="426"/>
        </w:tabs>
        <w:spacing w:line="360" w:lineRule="auto"/>
        <w:ind w:left="426" w:hanging="426"/>
        <w:jc w:val="both"/>
        <w:rPr>
          <w:rFonts w:ascii="Arial" w:hAnsi="Arial" w:cs="Arial"/>
        </w:rPr>
      </w:pPr>
      <w:r w:rsidRPr="00D911E6">
        <w:rPr>
          <w:rFonts w:ascii="Arial" w:hAnsi="Arial" w:cs="Arial"/>
        </w:rPr>
        <w:t>formulář Čestného prohlášení hodnotitele,</w:t>
      </w:r>
    </w:p>
    <w:p w:rsidR="00406384" w:rsidRPr="00D911E6" w:rsidRDefault="00406384" w:rsidP="00406384">
      <w:pPr>
        <w:numPr>
          <w:ilvl w:val="0"/>
          <w:numId w:val="3"/>
        </w:numPr>
        <w:tabs>
          <w:tab w:val="clear" w:pos="720"/>
          <w:tab w:val="num" w:pos="426"/>
        </w:tabs>
        <w:spacing w:line="360" w:lineRule="auto"/>
        <w:ind w:left="426" w:hanging="426"/>
        <w:jc w:val="both"/>
        <w:rPr>
          <w:rFonts w:ascii="Arial" w:hAnsi="Arial" w:cs="Arial"/>
        </w:rPr>
      </w:pPr>
      <w:r w:rsidRPr="00D911E6">
        <w:rPr>
          <w:rFonts w:ascii="Arial" w:hAnsi="Arial" w:cs="Arial"/>
          <w:spacing w:val="-3"/>
        </w:rPr>
        <w:t xml:space="preserve">Zásady hodnocení projektů Dotačního programu </w:t>
      </w:r>
      <w:r w:rsidRPr="00D911E6">
        <w:rPr>
          <w:rFonts w:ascii="Arial" w:hAnsi="Arial" w:cs="Arial"/>
          <w:color w:val="000000"/>
        </w:rPr>
        <w:t>„Podpora veřejně účelných aktivit seniorských a </w:t>
      </w:r>
      <w:proofErr w:type="spellStart"/>
      <w:r w:rsidRPr="00D911E6">
        <w:rPr>
          <w:rFonts w:ascii="Arial" w:hAnsi="Arial" w:cs="Arial"/>
          <w:color w:val="000000"/>
        </w:rPr>
        <w:t>proseniorských</w:t>
      </w:r>
      <w:proofErr w:type="spellEnd"/>
      <w:r w:rsidRPr="00D911E6">
        <w:rPr>
          <w:rFonts w:ascii="Arial" w:hAnsi="Arial" w:cs="Arial"/>
          <w:color w:val="000000"/>
        </w:rPr>
        <w:t xml:space="preserve"> organizací s celostátní působností“ </w:t>
      </w:r>
      <w:r w:rsidRPr="00D911E6">
        <w:rPr>
          <w:rFonts w:ascii="Arial" w:hAnsi="Arial" w:cs="Arial"/>
          <w:spacing w:val="-3"/>
        </w:rPr>
        <w:t>v oblasti podpory pro rok 2020.</w:t>
      </w:r>
    </w:p>
    <w:p w:rsidR="00406384" w:rsidRPr="00D911E6" w:rsidRDefault="00406384" w:rsidP="00406384">
      <w:pPr>
        <w:numPr>
          <w:ilvl w:val="0"/>
          <w:numId w:val="3"/>
        </w:numPr>
        <w:tabs>
          <w:tab w:val="clear" w:pos="720"/>
          <w:tab w:val="num" w:pos="426"/>
        </w:tabs>
        <w:spacing w:line="360" w:lineRule="auto"/>
        <w:ind w:left="426" w:hanging="426"/>
        <w:jc w:val="both"/>
        <w:rPr>
          <w:rFonts w:ascii="Arial" w:hAnsi="Arial" w:cs="Arial"/>
        </w:rPr>
      </w:pPr>
      <w:r w:rsidRPr="00D911E6">
        <w:rPr>
          <w:rFonts w:ascii="Arial" w:hAnsi="Arial" w:cs="Arial"/>
          <w:color w:val="000000"/>
        </w:rPr>
        <w:t>Metodiku MPSV pro použití finančních</w:t>
      </w:r>
      <w:r w:rsidRPr="00D911E6">
        <w:rPr>
          <w:rFonts w:ascii="Arial" w:hAnsi="Arial" w:cs="Arial"/>
        </w:rPr>
        <w:t xml:space="preserve"> </w:t>
      </w:r>
      <w:r w:rsidRPr="00D911E6">
        <w:rPr>
          <w:rFonts w:ascii="Arial" w:hAnsi="Arial" w:cs="Arial"/>
          <w:color w:val="000000"/>
        </w:rPr>
        <w:t>prostředků dotačního programu „Podpora veřejně účelných aktivit seniorských</w:t>
      </w:r>
      <w:r w:rsidRPr="00D911E6">
        <w:rPr>
          <w:rFonts w:ascii="Arial" w:hAnsi="Arial" w:cs="Arial"/>
        </w:rPr>
        <w:t xml:space="preserve"> </w:t>
      </w:r>
      <w:r w:rsidRPr="00D911E6">
        <w:rPr>
          <w:rFonts w:ascii="Arial" w:hAnsi="Arial" w:cs="Arial"/>
          <w:color w:val="000000"/>
        </w:rPr>
        <w:t xml:space="preserve">a </w:t>
      </w:r>
      <w:proofErr w:type="spellStart"/>
      <w:r w:rsidRPr="00D911E6">
        <w:rPr>
          <w:rFonts w:ascii="Arial" w:hAnsi="Arial" w:cs="Arial"/>
          <w:color w:val="000000"/>
        </w:rPr>
        <w:t>proseniorských</w:t>
      </w:r>
      <w:proofErr w:type="spellEnd"/>
      <w:r w:rsidRPr="00D911E6">
        <w:rPr>
          <w:rFonts w:ascii="Arial" w:hAnsi="Arial" w:cs="Arial"/>
          <w:color w:val="000000"/>
        </w:rPr>
        <w:t xml:space="preserve"> organizací s celostátní působností“ pro rok 2020.</w:t>
      </w:r>
    </w:p>
    <w:p w:rsidR="00406384" w:rsidRPr="00D911E6" w:rsidRDefault="00406384" w:rsidP="00406384">
      <w:pPr>
        <w:spacing w:line="360" w:lineRule="auto"/>
        <w:ind w:left="357"/>
        <w:jc w:val="both"/>
        <w:rPr>
          <w:rFonts w:ascii="Arial" w:hAnsi="Arial" w:cs="Arial"/>
        </w:rPr>
      </w:pPr>
    </w:p>
    <w:p w:rsidR="00406384" w:rsidRPr="00D911E6" w:rsidRDefault="00406384" w:rsidP="00406384">
      <w:pPr>
        <w:spacing w:line="360" w:lineRule="auto"/>
        <w:jc w:val="both"/>
        <w:rPr>
          <w:rFonts w:ascii="Arial" w:hAnsi="Arial" w:cs="Arial"/>
        </w:rPr>
      </w:pPr>
      <w:r w:rsidRPr="00D911E6">
        <w:rPr>
          <w:rFonts w:ascii="Arial" w:hAnsi="Arial" w:cs="Arial"/>
        </w:rPr>
        <w:t>Externí i interní hodnotitel je oprávněn požadovat od vedoucí oddělení stárnutí a sociálního začleňování podklady, příp. další informace, které se týkají předmětu jeho činnosti.</w:t>
      </w:r>
      <w:r w:rsidRPr="00D911E6" w:rsidDel="00CB2C41">
        <w:rPr>
          <w:rFonts w:ascii="Arial" w:hAnsi="Arial" w:cs="Arial"/>
        </w:rPr>
        <w:t xml:space="preserve"> </w:t>
      </w:r>
    </w:p>
    <w:p w:rsidR="00996B57" w:rsidRPr="00406384" w:rsidRDefault="00996B57" w:rsidP="00406384">
      <w:bookmarkStart w:id="13" w:name="_GoBack"/>
      <w:bookmarkEnd w:id="13"/>
    </w:p>
    <w:sectPr w:rsidR="00996B57" w:rsidRPr="00406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384" w:rsidRDefault="00406384" w:rsidP="00406384">
      <w:r>
        <w:separator/>
      </w:r>
    </w:p>
  </w:endnote>
  <w:endnote w:type="continuationSeparator" w:id="0">
    <w:p w:rsidR="00406384" w:rsidRDefault="00406384" w:rsidP="0040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echnic">
    <w:altName w:val="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384" w:rsidRDefault="00406384" w:rsidP="00406384">
      <w:r>
        <w:separator/>
      </w:r>
    </w:p>
  </w:footnote>
  <w:footnote w:type="continuationSeparator" w:id="0">
    <w:p w:rsidR="00406384" w:rsidRDefault="00406384" w:rsidP="0040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4704"/>
    <w:multiLevelType w:val="multilevel"/>
    <w:tmpl w:val="55B0C8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echnic"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echnic"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Technic"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3EA73CD2"/>
    <w:multiLevelType w:val="multilevel"/>
    <w:tmpl w:val="05CA64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echnic"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echnic"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Technic"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433640E6"/>
    <w:multiLevelType w:val="multilevel"/>
    <w:tmpl w:val="9B9AE7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84"/>
    <w:rsid w:val="00406384"/>
    <w:rsid w:val="00996B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D9E9445-6029-4016-BEC7-E8439647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0638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2346</Words>
  <Characters>13842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Miluše Mgr. (MPSV)</dc:creator>
  <cp:keywords/>
  <dc:description/>
  <cp:lastModifiedBy>Sýkorová Miluše Mgr. (MPSV)</cp:lastModifiedBy>
  <cp:revision>1</cp:revision>
  <dcterms:created xsi:type="dcterms:W3CDTF">2020-10-14T17:19:00Z</dcterms:created>
  <dcterms:modified xsi:type="dcterms:W3CDTF">2020-10-14T17:21:00Z</dcterms:modified>
</cp:coreProperties>
</file>