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1.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theme/themeOverride2.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oter4.xml" ContentType="application/vnd.openxmlformats-officedocument.wordprocessingml.footer+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25D" w:rsidRDefault="008D625D" w:rsidP="002A3A1A">
      <w:pPr>
        <w:jc w:val="center"/>
      </w:pPr>
      <w:r>
        <w:rPr>
          <w:noProof/>
          <w:lang w:eastAsia="cs-CZ"/>
        </w:rPr>
        <w:drawing>
          <wp:inline distT="0" distB="0" distL="0" distR="0" wp14:anchorId="7F90BE41" wp14:editId="6EDFBA86">
            <wp:extent cx="1009650" cy="971550"/>
            <wp:effectExtent l="0" t="0" r="0" b="0"/>
            <wp:docPr id="519" name="Obrázek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971550"/>
                    </a:xfrm>
                    <a:prstGeom prst="rect">
                      <a:avLst/>
                    </a:prstGeom>
                    <a:noFill/>
                    <a:ln>
                      <a:noFill/>
                    </a:ln>
                  </pic:spPr>
                </pic:pic>
              </a:graphicData>
            </a:graphic>
          </wp:inline>
        </w:drawing>
      </w:r>
    </w:p>
    <w:p w:rsidR="008D625D" w:rsidRDefault="008D625D" w:rsidP="002A3A1A">
      <w:pPr>
        <w:jc w:val="center"/>
      </w:pPr>
    </w:p>
    <w:p w:rsidR="008D625D" w:rsidRDefault="008D625D" w:rsidP="002A3A1A">
      <w:pPr>
        <w:jc w:val="center"/>
      </w:pPr>
    </w:p>
    <w:p w:rsidR="008D625D" w:rsidRDefault="008D625D" w:rsidP="002A3A1A">
      <w:pPr>
        <w:jc w:val="center"/>
      </w:pPr>
    </w:p>
    <w:p w:rsidR="008D625D" w:rsidRPr="006C25CB" w:rsidRDefault="008D625D" w:rsidP="002A3A1A">
      <w:pPr>
        <w:ind w:firstLine="1"/>
        <w:jc w:val="center"/>
        <w:rPr>
          <w:caps/>
          <w:spacing w:val="60"/>
        </w:rPr>
      </w:pPr>
      <w:r w:rsidRPr="006C25CB">
        <w:rPr>
          <w:caps/>
          <w:spacing w:val="60"/>
        </w:rPr>
        <w:t>Ministerstvo práce a sociálních věcí</w:t>
      </w:r>
    </w:p>
    <w:p w:rsidR="008D625D" w:rsidRDefault="008D625D" w:rsidP="002A3A1A">
      <w:pPr>
        <w:jc w:val="center"/>
      </w:pPr>
      <w:r w:rsidRPr="006C25CB">
        <w:rPr>
          <w:noProof/>
          <w:lang w:eastAsia="cs-CZ"/>
        </w:rPr>
        <mc:AlternateContent>
          <mc:Choice Requires="wps">
            <w:drawing>
              <wp:anchor distT="0" distB="0" distL="114300" distR="114300" simplePos="0" relativeHeight="251659264" behindDoc="0" locked="0" layoutInCell="0" allowOverlap="1" wp14:anchorId="7234F93F" wp14:editId="754ACD36">
                <wp:simplePos x="0" y="0"/>
                <wp:positionH relativeFrom="column">
                  <wp:posOffset>-61595</wp:posOffset>
                </wp:positionH>
                <wp:positionV relativeFrom="paragraph">
                  <wp:posOffset>104140</wp:posOffset>
                </wp:positionV>
                <wp:extent cx="6111875" cy="0"/>
                <wp:effectExtent l="0" t="0" r="22225" b="19050"/>
                <wp:wrapNone/>
                <wp:docPr id="31" name="Přímá spojnic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8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Přímá spojnice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8.2pt" to="476.4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" o:allowincell="f"/>
            </w:pict>
          </mc:Fallback>
        </mc:AlternateContent>
      </w:r>
    </w:p>
    <w:p w:rsidR="008D625D" w:rsidRDefault="008D625D" w:rsidP="002A3A1A"/>
    <w:p w:rsidR="008D625D" w:rsidRDefault="008D625D" w:rsidP="002A3A1A"/>
    <w:p w:rsidR="008D625D" w:rsidRDefault="008D625D" w:rsidP="002A3A1A"/>
    <w:p w:rsidR="008D625D" w:rsidRPr="00B333BD" w:rsidRDefault="008D625D" w:rsidP="002A3A1A"/>
    <w:p w:rsidR="008D625D" w:rsidRPr="00B333BD" w:rsidRDefault="008D625D" w:rsidP="002A3A1A">
      <w:pPr>
        <w:jc w:val="center"/>
        <w:rPr>
          <w:b/>
          <w:sz w:val="36"/>
        </w:rPr>
      </w:pPr>
      <w:r>
        <w:rPr>
          <w:b/>
          <w:sz w:val="36"/>
        </w:rPr>
        <w:t>ANALÝZA NABÍDKY A POPTÁVKY NA TRHU PRÁCE</w:t>
      </w:r>
    </w:p>
    <w:p w:rsidR="008D625D" w:rsidRDefault="008D625D" w:rsidP="002A3A1A">
      <w:pPr>
        <w:jc w:val="center"/>
        <w:rPr>
          <w:b/>
          <w:sz w:val="36"/>
        </w:rPr>
      </w:pPr>
    </w:p>
    <w:p w:rsidR="008D625D" w:rsidRDefault="008D625D" w:rsidP="002A3A1A">
      <w:pPr>
        <w:jc w:val="center"/>
        <w:rPr>
          <w:b/>
          <w:sz w:val="36"/>
        </w:rPr>
      </w:pPr>
    </w:p>
    <w:p w:rsidR="008D625D" w:rsidRPr="00B333BD" w:rsidRDefault="008D625D" w:rsidP="002A3A1A">
      <w:pPr>
        <w:jc w:val="center"/>
        <w:rPr>
          <w:b/>
          <w:sz w:val="36"/>
        </w:rPr>
      </w:pPr>
      <w:r>
        <w:rPr>
          <w:b/>
          <w:sz w:val="36"/>
        </w:rPr>
        <w:t>Průběžná zpráva – stav k 3</w:t>
      </w:r>
      <w:r w:rsidR="00F5007C">
        <w:rPr>
          <w:b/>
          <w:sz w:val="36"/>
        </w:rPr>
        <w:t>1</w:t>
      </w:r>
      <w:r>
        <w:rPr>
          <w:b/>
          <w:sz w:val="36"/>
        </w:rPr>
        <w:t xml:space="preserve">. </w:t>
      </w:r>
      <w:r w:rsidR="00F5007C">
        <w:rPr>
          <w:b/>
          <w:sz w:val="36"/>
        </w:rPr>
        <w:t>12</w:t>
      </w:r>
      <w:r>
        <w:rPr>
          <w:b/>
          <w:sz w:val="36"/>
        </w:rPr>
        <w:t>. 2017</w:t>
      </w:r>
    </w:p>
    <w:p w:rsidR="008D625D" w:rsidRPr="00B333BD" w:rsidRDefault="008D625D" w:rsidP="002A3A1A">
      <w:pPr>
        <w:jc w:val="center"/>
        <w:rPr>
          <w:b/>
          <w:sz w:val="36"/>
        </w:rPr>
      </w:pPr>
    </w:p>
    <w:p w:rsidR="008D625D" w:rsidRPr="00B333BD" w:rsidRDefault="008D625D" w:rsidP="002A3A1A">
      <w:pPr>
        <w:jc w:val="center"/>
        <w:rPr>
          <w:b/>
          <w:sz w:val="36"/>
        </w:rPr>
      </w:pPr>
    </w:p>
    <w:p w:rsidR="008D625D" w:rsidRDefault="00F5007C" w:rsidP="002A3A1A">
      <w:pPr>
        <w:jc w:val="center"/>
        <w:rPr>
          <w:b/>
          <w:sz w:val="36"/>
        </w:rPr>
      </w:pPr>
      <w:r>
        <w:rPr>
          <w:b/>
          <w:sz w:val="36"/>
        </w:rPr>
        <w:t>březen</w:t>
      </w:r>
      <w:r w:rsidR="008D625D">
        <w:rPr>
          <w:b/>
          <w:sz w:val="36"/>
        </w:rPr>
        <w:t xml:space="preserve"> 201</w:t>
      </w:r>
      <w:r w:rsidR="009524F7">
        <w:rPr>
          <w:b/>
          <w:sz w:val="36"/>
        </w:rPr>
        <w:t>8</w:t>
      </w:r>
    </w:p>
    <w:p w:rsidR="008D625D" w:rsidRDefault="008D625D" w:rsidP="002A3A1A">
      <w:pPr>
        <w:spacing w:after="200"/>
        <w:jc w:val="left"/>
        <w:rPr>
          <w:b/>
          <w:sz w:val="36"/>
        </w:rPr>
        <w:sectPr w:rsidR="008D625D" w:rsidSect="00CD2B30">
          <w:footerReference w:type="default" r:id="rId10"/>
          <w:headerReference w:type="first" r:id="rId11"/>
          <w:pgSz w:w="11906" w:h="16838"/>
          <w:pgMar w:top="1417" w:right="1417" w:bottom="1417" w:left="1417" w:header="708" w:footer="708" w:gutter="0"/>
          <w:pgNumType w:fmt="lowerRoman" w:start="1"/>
          <w:cols w:space="708"/>
          <w:titlePg/>
          <w:docGrid w:linePitch="360"/>
        </w:sectPr>
      </w:pPr>
      <w:r>
        <w:rPr>
          <w:b/>
          <w:sz w:val="36"/>
        </w:rPr>
        <w:br w:type="page"/>
      </w:r>
    </w:p>
    <w:sdt>
      <w:sdtPr>
        <w:rPr>
          <w:rFonts w:ascii="Arial" w:eastAsiaTheme="minorHAnsi" w:hAnsi="Arial" w:cstheme="minorBidi"/>
          <w:b w:val="0"/>
          <w:bCs w:val="0"/>
          <w:color w:val="auto"/>
          <w:sz w:val="20"/>
          <w:szCs w:val="20"/>
          <w:lang w:eastAsia="en-US"/>
        </w:rPr>
        <w:id w:val="-1822725733"/>
        <w:docPartObj>
          <w:docPartGallery w:val="Table of Contents"/>
          <w:docPartUnique/>
        </w:docPartObj>
      </w:sdtPr>
      <w:sdtEndPr>
        <w:rPr>
          <w:sz w:val="24"/>
          <w:szCs w:val="22"/>
        </w:rPr>
      </w:sdtEndPr>
      <w:sdtContent>
        <w:p w:rsidR="008D625D" w:rsidRPr="00F41CBA" w:rsidRDefault="008D625D" w:rsidP="00734E29">
          <w:pPr>
            <w:pStyle w:val="Nadpisobsahu"/>
            <w:spacing w:before="0" w:after="0"/>
            <w:jc w:val="center"/>
            <w:rPr>
              <w:rFonts w:ascii="Arial" w:hAnsi="Arial" w:cs="Arial"/>
              <w:color w:val="auto"/>
              <w:sz w:val="20"/>
              <w:szCs w:val="20"/>
            </w:rPr>
          </w:pPr>
          <w:r w:rsidRPr="00F41CBA">
            <w:rPr>
              <w:rFonts w:ascii="Arial" w:hAnsi="Arial" w:cs="Arial"/>
              <w:color w:val="auto"/>
              <w:sz w:val="20"/>
              <w:szCs w:val="20"/>
            </w:rPr>
            <w:t>Obsah</w:t>
          </w:r>
        </w:p>
        <w:p w:rsidR="00F41CBA" w:rsidRPr="00F41CBA" w:rsidRDefault="008D625D" w:rsidP="00F41CBA">
          <w:pPr>
            <w:pStyle w:val="Obsah1"/>
            <w:spacing w:beforeLines="30" w:before="72" w:afterLines="30" w:after="72"/>
            <w:rPr>
              <w:rFonts w:asciiTheme="minorHAnsi" w:eastAsiaTheme="minorEastAsia" w:hAnsiTheme="minorHAnsi"/>
              <w:b w:val="0"/>
              <w:sz w:val="18"/>
            </w:rPr>
          </w:pPr>
          <w:r w:rsidRPr="00734E29">
            <w:rPr>
              <w:sz w:val="20"/>
              <w:szCs w:val="20"/>
            </w:rPr>
            <w:fldChar w:fldCharType="begin"/>
          </w:r>
          <w:r w:rsidRPr="00734E29">
            <w:rPr>
              <w:sz w:val="20"/>
              <w:szCs w:val="20"/>
            </w:rPr>
            <w:instrText xml:space="preserve"> TOC \o "1-3" \h \z \u </w:instrText>
          </w:r>
          <w:r w:rsidRPr="00734E29">
            <w:rPr>
              <w:sz w:val="20"/>
              <w:szCs w:val="20"/>
            </w:rPr>
            <w:fldChar w:fldCharType="separate"/>
          </w:r>
          <w:hyperlink w:anchor="_Toc509474117" w:history="1">
            <w:r w:rsidR="00F41CBA" w:rsidRPr="00F41CBA">
              <w:rPr>
                <w:rStyle w:val="Hypertextovodkaz"/>
                <w:sz w:val="20"/>
              </w:rPr>
              <w:t>Seznam grafů, tabulek a zkratek</w:t>
            </w:r>
            <w:r w:rsidR="00F41CBA" w:rsidRPr="00F41CBA">
              <w:rPr>
                <w:webHidden/>
                <w:sz w:val="20"/>
              </w:rPr>
              <w:tab/>
            </w:r>
            <w:r w:rsidR="00F41CBA" w:rsidRPr="00F41CBA">
              <w:rPr>
                <w:webHidden/>
                <w:sz w:val="20"/>
              </w:rPr>
              <w:fldChar w:fldCharType="begin"/>
            </w:r>
            <w:r w:rsidR="00F41CBA" w:rsidRPr="00F41CBA">
              <w:rPr>
                <w:webHidden/>
                <w:sz w:val="20"/>
              </w:rPr>
              <w:instrText xml:space="preserve"> PAGEREF _Toc509474117 \h </w:instrText>
            </w:r>
            <w:r w:rsidR="00F41CBA" w:rsidRPr="00F41CBA">
              <w:rPr>
                <w:webHidden/>
                <w:sz w:val="20"/>
              </w:rPr>
            </w:r>
            <w:r w:rsidR="00F41CBA" w:rsidRPr="00F41CBA">
              <w:rPr>
                <w:webHidden/>
                <w:sz w:val="20"/>
              </w:rPr>
              <w:fldChar w:fldCharType="separate"/>
            </w:r>
            <w:r w:rsidR="00F41CBA" w:rsidRPr="00F41CBA">
              <w:rPr>
                <w:webHidden/>
                <w:sz w:val="20"/>
              </w:rPr>
              <w:t>i</w:t>
            </w:r>
            <w:r w:rsidR="00F41CBA" w:rsidRPr="00F41CBA">
              <w:rPr>
                <w:webHidden/>
                <w:sz w:val="20"/>
              </w:rPr>
              <w:fldChar w:fldCharType="end"/>
            </w:r>
          </w:hyperlink>
        </w:p>
        <w:p w:rsidR="00F41CBA" w:rsidRPr="00F41CBA" w:rsidRDefault="007B53ED" w:rsidP="00F41CBA">
          <w:pPr>
            <w:pStyle w:val="Obsah1"/>
            <w:spacing w:beforeLines="30" w:before="72" w:afterLines="30" w:after="72"/>
            <w:rPr>
              <w:rFonts w:asciiTheme="minorHAnsi" w:eastAsiaTheme="minorEastAsia" w:hAnsiTheme="minorHAnsi"/>
              <w:b w:val="0"/>
              <w:sz w:val="18"/>
            </w:rPr>
          </w:pPr>
          <w:hyperlink w:anchor="_Toc509474118" w:history="1">
            <w:r w:rsidR="00F41CBA" w:rsidRPr="00F41CBA">
              <w:rPr>
                <w:rStyle w:val="Hypertextovodkaz"/>
                <w:sz w:val="20"/>
              </w:rPr>
              <w:t>Manažerské shrnutí</w:t>
            </w:r>
            <w:r w:rsidR="00F41CBA" w:rsidRPr="00F41CBA">
              <w:rPr>
                <w:webHidden/>
                <w:sz w:val="20"/>
              </w:rPr>
              <w:tab/>
            </w:r>
            <w:r w:rsidR="00F41CBA" w:rsidRPr="00F41CBA">
              <w:rPr>
                <w:webHidden/>
                <w:sz w:val="20"/>
              </w:rPr>
              <w:fldChar w:fldCharType="begin"/>
            </w:r>
            <w:r w:rsidR="00F41CBA" w:rsidRPr="00F41CBA">
              <w:rPr>
                <w:webHidden/>
                <w:sz w:val="20"/>
              </w:rPr>
              <w:instrText xml:space="preserve"> PAGEREF _Toc509474118 \h </w:instrText>
            </w:r>
            <w:r w:rsidR="00F41CBA" w:rsidRPr="00F41CBA">
              <w:rPr>
                <w:webHidden/>
                <w:sz w:val="20"/>
              </w:rPr>
            </w:r>
            <w:r w:rsidR="00F41CBA" w:rsidRPr="00F41CBA">
              <w:rPr>
                <w:webHidden/>
                <w:sz w:val="20"/>
              </w:rPr>
              <w:fldChar w:fldCharType="separate"/>
            </w:r>
            <w:r w:rsidR="00F41CBA" w:rsidRPr="00F41CBA">
              <w:rPr>
                <w:webHidden/>
                <w:sz w:val="20"/>
              </w:rPr>
              <w:t>1</w:t>
            </w:r>
            <w:r w:rsidR="00F41CBA" w:rsidRPr="00F41CBA">
              <w:rPr>
                <w:webHidden/>
                <w:sz w:val="20"/>
              </w:rPr>
              <w:fldChar w:fldCharType="end"/>
            </w:r>
          </w:hyperlink>
        </w:p>
        <w:p w:rsidR="00F41CBA" w:rsidRPr="00F41CBA" w:rsidRDefault="007B53ED" w:rsidP="00F41CBA">
          <w:pPr>
            <w:pStyle w:val="Obsah1"/>
            <w:spacing w:beforeLines="30" w:before="72" w:afterLines="30" w:after="72"/>
            <w:rPr>
              <w:rFonts w:asciiTheme="minorHAnsi" w:eastAsiaTheme="minorEastAsia" w:hAnsiTheme="minorHAnsi"/>
              <w:b w:val="0"/>
              <w:sz w:val="18"/>
            </w:rPr>
          </w:pPr>
          <w:hyperlink w:anchor="_Toc509474119" w:history="1">
            <w:r w:rsidR="00F41CBA" w:rsidRPr="00F41CBA">
              <w:rPr>
                <w:rStyle w:val="Hypertextovodkaz"/>
                <w:sz w:val="20"/>
              </w:rPr>
              <w:t>A)</w:t>
            </w:r>
            <w:r w:rsidR="00F41CBA" w:rsidRPr="00F41CBA">
              <w:rPr>
                <w:rFonts w:asciiTheme="minorHAnsi" w:eastAsiaTheme="minorEastAsia" w:hAnsiTheme="minorHAnsi"/>
                <w:b w:val="0"/>
                <w:sz w:val="18"/>
              </w:rPr>
              <w:tab/>
            </w:r>
            <w:r w:rsidR="00F41CBA" w:rsidRPr="00F41CBA">
              <w:rPr>
                <w:rStyle w:val="Hypertextovodkaz"/>
                <w:sz w:val="20"/>
              </w:rPr>
              <w:t>Analýza nabídky a poptávky</w:t>
            </w:r>
            <w:r w:rsidR="00F41CBA" w:rsidRPr="00F41CBA">
              <w:rPr>
                <w:webHidden/>
                <w:sz w:val="20"/>
              </w:rPr>
              <w:tab/>
            </w:r>
            <w:r w:rsidR="00F41CBA" w:rsidRPr="00F41CBA">
              <w:rPr>
                <w:webHidden/>
                <w:sz w:val="20"/>
              </w:rPr>
              <w:fldChar w:fldCharType="begin"/>
            </w:r>
            <w:r w:rsidR="00F41CBA" w:rsidRPr="00F41CBA">
              <w:rPr>
                <w:webHidden/>
                <w:sz w:val="20"/>
              </w:rPr>
              <w:instrText xml:space="preserve"> PAGEREF _Toc509474119 \h </w:instrText>
            </w:r>
            <w:r w:rsidR="00F41CBA" w:rsidRPr="00F41CBA">
              <w:rPr>
                <w:webHidden/>
                <w:sz w:val="20"/>
              </w:rPr>
            </w:r>
            <w:r w:rsidR="00F41CBA" w:rsidRPr="00F41CBA">
              <w:rPr>
                <w:webHidden/>
                <w:sz w:val="20"/>
              </w:rPr>
              <w:fldChar w:fldCharType="separate"/>
            </w:r>
            <w:r w:rsidR="00F41CBA" w:rsidRPr="00F41CBA">
              <w:rPr>
                <w:webHidden/>
                <w:sz w:val="20"/>
              </w:rPr>
              <w:t>2</w:t>
            </w:r>
            <w:r w:rsidR="00F41CBA" w:rsidRPr="00F41CBA">
              <w:rPr>
                <w:webHidden/>
                <w:sz w:val="20"/>
              </w:rPr>
              <w:fldChar w:fldCharType="end"/>
            </w:r>
          </w:hyperlink>
        </w:p>
        <w:p w:rsidR="00F41CBA" w:rsidRPr="00F41CBA" w:rsidRDefault="007B53ED" w:rsidP="00F41CBA">
          <w:pPr>
            <w:pStyle w:val="Obsah2"/>
            <w:spacing w:beforeLines="30" w:before="72" w:afterLines="30" w:after="72"/>
            <w:rPr>
              <w:rFonts w:asciiTheme="minorHAnsi" w:eastAsiaTheme="minorEastAsia" w:hAnsiTheme="minorHAnsi"/>
              <w:noProof/>
              <w:sz w:val="18"/>
              <w:lang w:eastAsia="cs-CZ"/>
            </w:rPr>
          </w:pPr>
          <w:hyperlink w:anchor="_Toc509474120" w:history="1">
            <w:r w:rsidR="00F41CBA" w:rsidRPr="00F41CBA">
              <w:rPr>
                <w:rStyle w:val="Hypertextovodkaz"/>
                <w:noProof/>
                <w:sz w:val="20"/>
              </w:rPr>
              <w:t>1.</w:t>
            </w:r>
            <w:r w:rsidR="00F41CBA" w:rsidRPr="00F41CBA">
              <w:rPr>
                <w:rFonts w:asciiTheme="minorHAnsi" w:eastAsiaTheme="minorEastAsia" w:hAnsiTheme="minorHAnsi"/>
                <w:noProof/>
                <w:sz w:val="18"/>
                <w:lang w:eastAsia="cs-CZ"/>
              </w:rPr>
              <w:tab/>
            </w:r>
            <w:r w:rsidR="00F41CBA" w:rsidRPr="00F41CBA">
              <w:rPr>
                <w:rStyle w:val="Hypertextovodkaz"/>
                <w:noProof/>
                <w:sz w:val="20"/>
              </w:rPr>
              <w:t>Situace na trhu práce k 31. 12. 2017</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_Toc509474120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2</w:t>
            </w:r>
            <w:r w:rsidR="00F41CBA" w:rsidRPr="00F41CBA">
              <w:rPr>
                <w:noProof/>
                <w:webHidden/>
                <w:sz w:val="20"/>
              </w:rPr>
              <w:fldChar w:fldCharType="end"/>
            </w:r>
          </w:hyperlink>
        </w:p>
        <w:p w:rsidR="00F41CBA" w:rsidRPr="00F41CBA" w:rsidRDefault="007B53ED" w:rsidP="00F41CBA">
          <w:pPr>
            <w:pStyle w:val="Obsah2"/>
            <w:spacing w:beforeLines="30" w:before="72" w:afterLines="30" w:after="72"/>
            <w:rPr>
              <w:rFonts w:asciiTheme="minorHAnsi" w:eastAsiaTheme="minorEastAsia" w:hAnsiTheme="minorHAnsi"/>
              <w:noProof/>
              <w:sz w:val="18"/>
              <w:lang w:eastAsia="cs-CZ"/>
            </w:rPr>
          </w:pPr>
          <w:hyperlink w:anchor="_Toc509474121" w:history="1">
            <w:r w:rsidR="00F41CBA" w:rsidRPr="00F41CBA">
              <w:rPr>
                <w:rStyle w:val="Hypertextovodkaz"/>
                <w:noProof/>
                <w:sz w:val="20"/>
              </w:rPr>
              <w:t>2.</w:t>
            </w:r>
            <w:r w:rsidR="00F41CBA" w:rsidRPr="00F41CBA">
              <w:rPr>
                <w:rFonts w:asciiTheme="minorHAnsi" w:eastAsiaTheme="minorEastAsia" w:hAnsiTheme="minorHAnsi"/>
                <w:noProof/>
                <w:sz w:val="18"/>
                <w:lang w:eastAsia="cs-CZ"/>
              </w:rPr>
              <w:tab/>
            </w:r>
            <w:r w:rsidR="00F41CBA" w:rsidRPr="00F41CBA">
              <w:rPr>
                <w:rStyle w:val="Hypertextovodkaz"/>
                <w:noProof/>
                <w:sz w:val="20"/>
              </w:rPr>
              <w:t>Poptávka po pracovní síle</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_Toc509474121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3</w:t>
            </w:r>
            <w:r w:rsidR="00F41CBA" w:rsidRPr="00F41CBA">
              <w:rPr>
                <w:noProof/>
                <w:webHidden/>
                <w:sz w:val="20"/>
              </w:rPr>
              <w:fldChar w:fldCharType="end"/>
            </w:r>
          </w:hyperlink>
        </w:p>
        <w:p w:rsidR="00F41CBA" w:rsidRPr="00F41CBA" w:rsidRDefault="007B53ED" w:rsidP="00F41CBA">
          <w:pPr>
            <w:pStyle w:val="Obsah3"/>
            <w:tabs>
              <w:tab w:val="left" w:pos="1320"/>
              <w:tab w:val="right" w:leader="dot" w:pos="9062"/>
            </w:tabs>
            <w:spacing w:beforeLines="30" w:before="72" w:afterLines="30" w:after="72"/>
            <w:rPr>
              <w:rFonts w:asciiTheme="minorHAnsi" w:eastAsiaTheme="minorEastAsia" w:hAnsiTheme="minorHAnsi"/>
              <w:noProof/>
              <w:sz w:val="18"/>
              <w:lang w:eastAsia="cs-CZ"/>
            </w:rPr>
          </w:pPr>
          <w:hyperlink w:anchor="_Toc509474122" w:history="1">
            <w:r w:rsidR="00F41CBA" w:rsidRPr="00F41CBA">
              <w:rPr>
                <w:rStyle w:val="Hypertextovodkaz"/>
                <w:noProof/>
                <w:sz w:val="20"/>
                <w14:scene3d>
                  <w14:camera w14:prst="orthographicFront"/>
                  <w14:lightRig w14:rig="threePt" w14:dir="t">
                    <w14:rot w14:lat="0" w14:lon="0" w14:rev="0"/>
                  </w14:lightRig>
                </w14:scene3d>
              </w:rPr>
              <w:t>2.1.</w:t>
            </w:r>
            <w:r w:rsidR="00F41CBA" w:rsidRPr="00F41CBA">
              <w:rPr>
                <w:rFonts w:asciiTheme="minorHAnsi" w:eastAsiaTheme="minorEastAsia" w:hAnsiTheme="minorHAnsi"/>
                <w:noProof/>
                <w:sz w:val="18"/>
                <w:lang w:eastAsia="cs-CZ"/>
              </w:rPr>
              <w:tab/>
            </w:r>
            <w:r w:rsidR="00F41CBA" w:rsidRPr="00F41CBA">
              <w:rPr>
                <w:rStyle w:val="Hypertextovodkaz"/>
                <w:noProof/>
                <w:sz w:val="20"/>
              </w:rPr>
              <w:t>Struktura VPM podle zaměstnání</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_Toc509474122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4</w:t>
            </w:r>
            <w:r w:rsidR="00F41CBA" w:rsidRPr="00F41CBA">
              <w:rPr>
                <w:noProof/>
                <w:webHidden/>
                <w:sz w:val="20"/>
              </w:rPr>
              <w:fldChar w:fldCharType="end"/>
            </w:r>
          </w:hyperlink>
        </w:p>
        <w:p w:rsidR="00F41CBA" w:rsidRPr="00F41CBA" w:rsidRDefault="007B53ED" w:rsidP="00F41CBA">
          <w:pPr>
            <w:pStyle w:val="Obsah3"/>
            <w:tabs>
              <w:tab w:val="left" w:pos="1320"/>
              <w:tab w:val="right" w:leader="dot" w:pos="9062"/>
            </w:tabs>
            <w:spacing w:beforeLines="30" w:before="72" w:afterLines="30" w:after="72"/>
            <w:rPr>
              <w:rFonts w:asciiTheme="minorHAnsi" w:eastAsiaTheme="minorEastAsia" w:hAnsiTheme="minorHAnsi"/>
              <w:noProof/>
              <w:sz w:val="18"/>
              <w:lang w:eastAsia="cs-CZ"/>
            </w:rPr>
          </w:pPr>
          <w:hyperlink w:anchor="_Toc509474123" w:history="1">
            <w:r w:rsidR="00F41CBA" w:rsidRPr="00F41CBA">
              <w:rPr>
                <w:rStyle w:val="Hypertextovodkaz"/>
                <w:noProof/>
                <w:sz w:val="20"/>
                <w14:scene3d>
                  <w14:camera w14:prst="orthographicFront"/>
                  <w14:lightRig w14:rig="threePt" w14:dir="t">
                    <w14:rot w14:lat="0" w14:lon="0" w14:rev="0"/>
                  </w14:lightRig>
                </w14:scene3d>
              </w:rPr>
              <w:t>2.2.</w:t>
            </w:r>
            <w:r w:rsidR="00F41CBA" w:rsidRPr="00F41CBA">
              <w:rPr>
                <w:rFonts w:asciiTheme="minorHAnsi" w:eastAsiaTheme="minorEastAsia" w:hAnsiTheme="minorHAnsi"/>
                <w:noProof/>
                <w:sz w:val="18"/>
                <w:lang w:eastAsia="cs-CZ"/>
              </w:rPr>
              <w:tab/>
            </w:r>
            <w:r w:rsidR="00F41CBA" w:rsidRPr="00F41CBA">
              <w:rPr>
                <w:rStyle w:val="Hypertextovodkaz"/>
                <w:noProof/>
                <w:sz w:val="20"/>
              </w:rPr>
              <w:t>Struktura VPM podle vzdělání</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_Toc509474123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5</w:t>
            </w:r>
            <w:r w:rsidR="00F41CBA" w:rsidRPr="00F41CBA">
              <w:rPr>
                <w:noProof/>
                <w:webHidden/>
                <w:sz w:val="20"/>
              </w:rPr>
              <w:fldChar w:fldCharType="end"/>
            </w:r>
          </w:hyperlink>
        </w:p>
        <w:p w:rsidR="00F41CBA" w:rsidRPr="00F41CBA" w:rsidRDefault="007B53ED" w:rsidP="00F41CBA">
          <w:pPr>
            <w:pStyle w:val="Obsah3"/>
            <w:tabs>
              <w:tab w:val="left" w:pos="1320"/>
              <w:tab w:val="right" w:leader="dot" w:pos="9062"/>
            </w:tabs>
            <w:spacing w:beforeLines="30" w:before="72" w:afterLines="30" w:after="72"/>
            <w:rPr>
              <w:rFonts w:asciiTheme="minorHAnsi" w:eastAsiaTheme="minorEastAsia" w:hAnsiTheme="minorHAnsi"/>
              <w:noProof/>
              <w:sz w:val="18"/>
              <w:lang w:eastAsia="cs-CZ"/>
            </w:rPr>
          </w:pPr>
          <w:hyperlink w:anchor="_Toc509474124" w:history="1">
            <w:r w:rsidR="00F41CBA" w:rsidRPr="00F41CBA">
              <w:rPr>
                <w:rStyle w:val="Hypertextovodkaz"/>
                <w:noProof/>
                <w:sz w:val="20"/>
                <w14:scene3d>
                  <w14:camera w14:prst="orthographicFront"/>
                  <w14:lightRig w14:rig="threePt" w14:dir="t">
                    <w14:rot w14:lat="0" w14:lon="0" w14:rev="0"/>
                  </w14:lightRig>
                </w14:scene3d>
              </w:rPr>
              <w:t>2.3.</w:t>
            </w:r>
            <w:r w:rsidR="00F41CBA" w:rsidRPr="00F41CBA">
              <w:rPr>
                <w:rFonts w:asciiTheme="minorHAnsi" w:eastAsiaTheme="minorEastAsia" w:hAnsiTheme="minorHAnsi"/>
                <w:noProof/>
                <w:sz w:val="18"/>
                <w:lang w:eastAsia="cs-CZ"/>
              </w:rPr>
              <w:tab/>
            </w:r>
            <w:r w:rsidR="00F41CBA" w:rsidRPr="00F41CBA">
              <w:rPr>
                <w:rStyle w:val="Hypertextovodkaz"/>
                <w:noProof/>
                <w:sz w:val="20"/>
              </w:rPr>
              <w:t>Výdělky</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_Toc509474124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7</w:t>
            </w:r>
            <w:r w:rsidR="00F41CBA" w:rsidRPr="00F41CBA">
              <w:rPr>
                <w:noProof/>
                <w:webHidden/>
                <w:sz w:val="20"/>
              </w:rPr>
              <w:fldChar w:fldCharType="end"/>
            </w:r>
          </w:hyperlink>
        </w:p>
        <w:p w:rsidR="00F41CBA" w:rsidRPr="00F41CBA" w:rsidRDefault="007B53ED" w:rsidP="00F41CBA">
          <w:pPr>
            <w:pStyle w:val="Obsah2"/>
            <w:spacing w:beforeLines="30" w:before="72" w:afterLines="30" w:after="72"/>
            <w:rPr>
              <w:rFonts w:asciiTheme="minorHAnsi" w:eastAsiaTheme="minorEastAsia" w:hAnsiTheme="minorHAnsi"/>
              <w:noProof/>
              <w:sz w:val="18"/>
              <w:lang w:eastAsia="cs-CZ"/>
            </w:rPr>
          </w:pPr>
          <w:hyperlink w:anchor="_Toc509474125" w:history="1">
            <w:r w:rsidR="00F41CBA" w:rsidRPr="00F41CBA">
              <w:rPr>
                <w:rStyle w:val="Hypertextovodkaz"/>
                <w:noProof/>
                <w:sz w:val="20"/>
              </w:rPr>
              <w:t>3.</w:t>
            </w:r>
            <w:r w:rsidR="00F41CBA" w:rsidRPr="00F41CBA">
              <w:rPr>
                <w:rFonts w:asciiTheme="minorHAnsi" w:eastAsiaTheme="minorEastAsia" w:hAnsiTheme="minorHAnsi"/>
                <w:noProof/>
                <w:sz w:val="18"/>
                <w:lang w:eastAsia="cs-CZ"/>
              </w:rPr>
              <w:tab/>
            </w:r>
            <w:r w:rsidR="00F41CBA" w:rsidRPr="00F41CBA">
              <w:rPr>
                <w:rStyle w:val="Hypertextovodkaz"/>
                <w:noProof/>
                <w:sz w:val="20"/>
              </w:rPr>
              <w:t>Struktura uchazečů o zaměstnání</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_Toc509474125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8</w:t>
            </w:r>
            <w:r w:rsidR="00F41CBA" w:rsidRPr="00F41CBA">
              <w:rPr>
                <w:noProof/>
                <w:webHidden/>
                <w:sz w:val="20"/>
              </w:rPr>
              <w:fldChar w:fldCharType="end"/>
            </w:r>
          </w:hyperlink>
        </w:p>
        <w:p w:rsidR="00F41CBA" w:rsidRPr="00F41CBA" w:rsidRDefault="007B53ED" w:rsidP="00F41CBA">
          <w:pPr>
            <w:pStyle w:val="Obsah3"/>
            <w:tabs>
              <w:tab w:val="left" w:pos="1320"/>
              <w:tab w:val="right" w:leader="dot" w:pos="9062"/>
            </w:tabs>
            <w:spacing w:beforeLines="30" w:before="72" w:afterLines="30" w:after="72"/>
            <w:rPr>
              <w:rFonts w:asciiTheme="minorHAnsi" w:eastAsiaTheme="minorEastAsia" w:hAnsiTheme="minorHAnsi"/>
              <w:noProof/>
              <w:sz w:val="18"/>
              <w:lang w:eastAsia="cs-CZ"/>
            </w:rPr>
          </w:pPr>
          <w:hyperlink w:anchor="_Toc509474126" w:history="1">
            <w:r w:rsidR="00F41CBA" w:rsidRPr="00F41CBA">
              <w:rPr>
                <w:rStyle w:val="Hypertextovodkaz"/>
                <w:noProof/>
                <w:sz w:val="20"/>
                <w14:scene3d>
                  <w14:camera w14:prst="orthographicFront"/>
                  <w14:lightRig w14:rig="threePt" w14:dir="t">
                    <w14:rot w14:lat="0" w14:lon="0" w14:rev="0"/>
                  </w14:lightRig>
                </w14:scene3d>
              </w:rPr>
              <w:t>3.1.</w:t>
            </w:r>
            <w:r w:rsidR="00F41CBA" w:rsidRPr="00F41CBA">
              <w:rPr>
                <w:rFonts w:asciiTheme="minorHAnsi" w:eastAsiaTheme="minorEastAsia" w:hAnsiTheme="minorHAnsi"/>
                <w:noProof/>
                <w:sz w:val="18"/>
                <w:lang w:eastAsia="cs-CZ"/>
              </w:rPr>
              <w:tab/>
            </w:r>
            <w:r w:rsidR="00F41CBA" w:rsidRPr="00F41CBA">
              <w:rPr>
                <w:rStyle w:val="Hypertextovodkaz"/>
                <w:noProof/>
                <w:sz w:val="20"/>
              </w:rPr>
              <w:t>Zastoupení rizikových skupin</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_Toc509474126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8</w:t>
            </w:r>
            <w:r w:rsidR="00F41CBA" w:rsidRPr="00F41CBA">
              <w:rPr>
                <w:noProof/>
                <w:webHidden/>
                <w:sz w:val="20"/>
              </w:rPr>
              <w:fldChar w:fldCharType="end"/>
            </w:r>
          </w:hyperlink>
        </w:p>
        <w:p w:rsidR="00F41CBA" w:rsidRPr="00F41CBA" w:rsidRDefault="007B53ED" w:rsidP="00F41CBA">
          <w:pPr>
            <w:pStyle w:val="Obsah3"/>
            <w:tabs>
              <w:tab w:val="left" w:pos="1320"/>
              <w:tab w:val="right" w:leader="dot" w:pos="9062"/>
            </w:tabs>
            <w:spacing w:beforeLines="30" w:before="72" w:afterLines="30" w:after="72"/>
            <w:rPr>
              <w:rFonts w:asciiTheme="minorHAnsi" w:eastAsiaTheme="minorEastAsia" w:hAnsiTheme="minorHAnsi"/>
              <w:noProof/>
              <w:sz w:val="18"/>
              <w:lang w:eastAsia="cs-CZ"/>
            </w:rPr>
          </w:pPr>
          <w:hyperlink w:anchor="_Toc509474127" w:history="1">
            <w:r w:rsidR="00F41CBA" w:rsidRPr="00F41CBA">
              <w:rPr>
                <w:rStyle w:val="Hypertextovodkaz"/>
                <w:noProof/>
                <w:sz w:val="20"/>
                <w14:scene3d>
                  <w14:camera w14:prst="orthographicFront"/>
                  <w14:lightRig w14:rig="threePt" w14:dir="t">
                    <w14:rot w14:lat="0" w14:lon="0" w14:rev="0"/>
                  </w14:lightRig>
                </w14:scene3d>
              </w:rPr>
              <w:t>3.2.</w:t>
            </w:r>
            <w:r w:rsidR="00F41CBA" w:rsidRPr="00F41CBA">
              <w:rPr>
                <w:rFonts w:asciiTheme="minorHAnsi" w:eastAsiaTheme="minorEastAsia" w:hAnsiTheme="minorHAnsi"/>
                <w:noProof/>
                <w:sz w:val="18"/>
                <w:lang w:eastAsia="cs-CZ"/>
              </w:rPr>
              <w:tab/>
            </w:r>
            <w:r w:rsidR="00F41CBA" w:rsidRPr="00F41CBA">
              <w:rPr>
                <w:rStyle w:val="Hypertextovodkaz"/>
                <w:noProof/>
                <w:sz w:val="20"/>
              </w:rPr>
              <w:t>Struktura uchazečů o zaměstnání podle doby evidence</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_Toc509474127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11</w:t>
            </w:r>
            <w:r w:rsidR="00F41CBA" w:rsidRPr="00F41CBA">
              <w:rPr>
                <w:noProof/>
                <w:webHidden/>
                <w:sz w:val="20"/>
              </w:rPr>
              <w:fldChar w:fldCharType="end"/>
            </w:r>
          </w:hyperlink>
        </w:p>
        <w:p w:rsidR="00F41CBA" w:rsidRPr="00F41CBA" w:rsidRDefault="007B53ED" w:rsidP="00F41CBA">
          <w:pPr>
            <w:pStyle w:val="Obsah3"/>
            <w:tabs>
              <w:tab w:val="left" w:pos="1320"/>
              <w:tab w:val="right" w:leader="dot" w:pos="9062"/>
            </w:tabs>
            <w:spacing w:beforeLines="30" w:before="72" w:afterLines="30" w:after="72"/>
            <w:rPr>
              <w:rFonts w:asciiTheme="minorHAnsi" w:eastAsiaTheme="minorEastAsia" w:hAnsiTheme="minorHAnsi"/>
              <w:noProof/>
              <w:sz w:val="18"/>
              <w:lang w:eastAsia="cs-CZ"/>
            </w:rPr>
          </w:pPr>
          <w:hyperlink w:anchor="_Toc509474128" w:history="1">
            <w:r w:rsidR="00F41CBA" w:rsidRPr="00F41CBA">
              <w:rPr>
                <w:rStyle w:val="Hypertextovodkaz"/>
                <w:noProof/>
                <w:sz w:val="20"/>
                <w14:scene3d>
                  <w14:camera w14:prst="orthographicFront"/>
                  <w14:lightRig w14:rig="threePt" w14:dir="t">
                    <w14:rot w14:lat="0" w14:lon="0" w14:rev="0"/>
                  </w14:lightRig>
                </w14:scene3d>
              </w:rPr>
              <w:t>3.3.</w:t>
            </w:r>
            <w:r w:rsidR="00F41CBA" w:rsidRPr="00F41CBA">
              <w:rPr>
                <w:rFonts w:asciiTheme="minorHAnsi" w:eastAsiaTheme="minorEastAsia" w:hAnsiTheme="minorHAnsi"/>
                <w:noProof/>
                <w:sz w:val="18"/>
                <w:lang w:eastAsia="cs-CZ"/>
              </w:rPr>
              <w:tab/>
            </w:r>
            <w:r w:rsidR="00F41CBA" w:rsidRPr="00F41CBA">
              <w:rPr>
                <w:rStyle w:val="Hypertextovodkaz"/>
                <w:noProof/>
                <w:sz w:val="20"/>
              </w:rPr>
              <w:t>Struktura uchazečů o zaměstnání podle vzdělání</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_Toc509474128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12</w:t>
            </w:r>
            <w:r w:rsidR="00F41CBA" w:rsidRPr="00F41CBA">
              <w:rPr>
                <w:noProof/>
                <w:webHidden/>
                <w:sz w:val="20"/>
              </w:rPr>
              <w:fldChar w:fldCharType="end"/>
            </w:r>
          </w:hyperlink>
        </w:p>
        <w:p w:rsidR="00F41CBA" w:rsidRPr="00F41CBA" w:rsidRDefault="007B53ED" w:rsidP="00F41CBA">
          <w:pPr>
            <w:pStyle w:val="Obsah3"/>
            <w:tabs>
              <w:tab w:val="left" w:pos="1320"/>
              <w:tab w:val="right" w:leader="dot" w:pos="9062"/>
            </w:tabs>
            <w:spacing w:beforeLines="30" w:before="72" w:afterLines="30" w:after="72"/>
            <w:rPr>
              <w:rFonts w:asciiTheme="minorHAnsi" w:eastAsiaTheme="minorEastAsia" w:hAnsiTheme="minorHAnsi"/>
              <w:noProof/>
              <w:sz w:val="18"/>
              <w:lang w:eastAsia="cs-CZ"/>
            </w:rPr>
          </w:pPr>
          <w:hyperlink w:anchor="_Toc509474129" w:history="1">
            <w:r w:rsidR="00F41CBA" w:rsidRPr="00F41CBA">
              <w:rPr>
                <w:rStyle w:val="Hypertextovodkaz"/>
                <w:noProof/>
                <w:sz w:val="20"/>
                <w14:scene3d>
                  <w14:camera w14:prst="orthographicFront"/>
                  <w14:lightRig w14:rig="threePt" w14:dir="t">
                    <w14:rot w14:lat="0" w14:lon="0" w14:rev="0"/>
                  </w14:lightRig>
                </w14:scene3d>
              </w:rPr>
              <w:t>3.4.</w:t>
            </w:r>
            <w:r w:rsidR="00F41CBA" w:rsidRPr="00F41CBA">
              <w:rPr>
                <w:rFonts w:asciiTheme="minorHAnsi" w:eastAsiaTheme="minorEastAsia" w:hAnsiTheme="minorHAnsi"/>
                <w:noProof/>
                <w:sz w:val="18"/>
                <w:lang w:eastAsia="cs-CZ"/>
              </w:rPr>
              <w:tab/>
            </w:r>
            <w:r w:rsidR="00F41CBA" w:rsidRPr="00F41CBA">
              <w:rPr>
                <w:rStyle w:val="Hypertextovodkaz"/>
                <w:noProof/>
                <w:sz w:val="20"/>
              </w:rPr>
              <w:t>Výkon „nekolidujícího“ zaměstnání a dosažitelní uchazeči o zaměstnání</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_Toc509474129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13</w:t>
            </w:r>
            <w:r w:rsidR="00F41CBA" w:rsidRPr="00F41CBA">
              <w:rPr>
                <w:noProof/>
                <w:webHidden/>
                <w:sz w:val="20"/>
              </w:rPr>
              <w:fldChar w:fldCharType="end"/>
            </w:r>
          </w:hyperlink>
        </w:p>
        <w:p w:rsidR="00F41CBA" w:rsidRPr="00F41CBA" w:rsidRDefault="007B53ED" w:rsidP="00F41CBA">
          <w:pPr>
            <w:pStyle w:val="Obsah2"/>
            <w:spacing w:beforeLines="30" w:before="72" w:afterLines="30" w:after="72"/>
            <w:rPr>
              <w:rFonts w:asciiTheme="minorHAnsi" w:eastAsiaTheme="minorEastAsia" w:hAnsiTheme="minorHAnsi"/>
              <w:noProof/>
              <w:sz w:val="18"/>
              <w:lang w:eastAsia="cs-CZ"/>
            </w:rPr>
          </w:pPr>
          <w:hyperlink w:anchor="_Toc509474130" w:history="1">
            <w:r w:rsidR="00F41CBA" w:rsidRPr="00F41CBA">
              <w:rPr>
                <w:rStyle w:val="Hypertextovodkaz"/>
                <w:noProof/>
                <w:sz w:val="20"/>
              </w:rPr>
              <w:t>4.</w:t>
            </w:r>
            <w:r w:rsidR="00F41CBA" w:rsidRPr="00F41CBA">
              <w:rPr>
                <w:rFonts w:asciiTheme="minorHAnsi" w:eastAsiaTheme="minorEastAsia" w:hAnsiTheme="minorHAnsi"/>
                <w:noProof/>
                <w:sz w:val="18"/>
                <w:lang w:eastAsia="cs-CZ"/>
              </w:rPr>
              <w:tab/>
            </w:r>
            <w:r w:rsidR="00F41CBA" w:rsidRPr="00F41CBA">
              <w:rPr>
                <w:rStyle w:val="Hypertextovodkaz"/>
                <w:noProof/>
                <w:sz w:val="20"/>
              </w:rPr>
              <w:t>Porovnání nabídky a poptávky (profese)</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_Toc509474130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16</w:t>
            </w:r>
            <w:r w:rsidR="00F41CBA" w:rsidRPr="00F41CBA">
              <w:rPr>
                <w:noProof/>
                <w:webHidden/>
                <w:sz w:val="20"/>
              </w:rPr>
              <w:fldChar w:fldCharType="end"/>
            </w:r>
          </w:hyperlink>
        </w:p>
        <w:p w:rsidR="00F41CBA" w:rsidRPr="00F41CBA" w:rsidRDefault="007B53ED" w:rsidP="00F41CBA">
          <w:pPr>
            <w:pStyle w:val="Obsah2"/>
            <w:spacing w:beforeLines="30" w:before="72" w:afterLines="30" w:after="72"/>
            <w:rPr>
              <w:rFonts w:asciiTheme="minorHAnsi" w:eastAsiaTheme="minorEastAsia" w:hAnsiTheme="minorHAnsi"/>
              <w:noProof/>
              <w:sz w:val="18"/>
              <w:lang w:eastAsia="cs-CZ"/>
            </w:rPr>
          </w:pPr>
          <w:hyperlink w:anchor="_Toc509474131" w:history="1">
            <w:r w:rsidR="00F41CBA" w:rsidRPr="00F41CBA">
              <w:rPr>
                <w:rStyle w:val="Hypertextovodkaz"/>
                <w:noProof/>
                <w:sz w:val="20"/>
              </w:rPr>
              <w:t>5.</w:t>
            </w:r>
            <w:r w:rsidR="00F41CBA" w:rsidRPr="00F41CBA">
              <w:rPr>
                <w:rFonts w:asciiTheme="minorHAnsi" w:eastAsiaTheme="minorEastAsia" w:hAnsiTheme="minorHAnsi"/>
                <w:noProof/>
                <w:sz w:val="18"/>
                <w:lang w:eastAsia="cs-CZ"/>
              </w:rPr>
              <w:tab/>
            </w:r>
            <w:r w:rsidR="00F41CBA" w:rsidRPr="00F41CBA">
              <w:rPr>
                <w:rStyle w:val="Hypertextovodkaz"/>
                <w:noProof/>
                <w:sz w:val="20"/>
              </w:rPr>
              <w:t>Cizí státní příslušníci na českém trhu práce</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_Toc509474131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19</w:t>
            </w:r>
            <w:r w:rsidR="00F41CBA" w:rsidRPr="00F41CBA">
              <w:rPr>
                <w:noProof/>
                <w:webHidden/>
                <w:sz w:val="20"/>
              </w:rPr>
              <w:fldChar w:fldCharType="end"/>
            </w:r>
          </w:hyperlink>
        </w:p>
        <w:p w:rsidR="00F41CBA" w:rsidRPr="00F41CBA" w:rsidRDefault="007B53ED" w:rsidP="00F41CBA">
          <w:pPr>
            <w:pStyle w:val="Obsah3"/>
            <w:tabs>
              <w:tab w:val="left" w:pos="1320"/>
              <w:tab w:val="right" w:leader="dot" w:pos="9062"/>
            </w:tabs>
            <w:spacing w:beforeLines="30" w:before="72" w:afterLines="30" w:after="72"/>
            <w:rPr>
              <w:rFonts w:asciiTheme="minorHAnsi" w:eastAsiaTheme="minorEastAsia" w:hAnsiTheme="minorHAnsi"/>
              <w:noProof/>
              <w:sz w:val="18"/>
              <w:lang w:eastAsia="cs-CZ"/>
            </w:rPr>
          </w:pPr>
          <w:hyperlink w:anchor="_Toc509474132" w:history="1">
            <w:r w:rsidR="00F41CBA" w:rsidRPr="00F41CBA">
              <w:rPr>
                <w:rStyle w:val="Hypertextovodkaz"/>
                <w:noProof/>
                <w:sz w:val="20"/>
                <w14:scene3d>
                  <w14:camera w14:prst="orthographicFront"/>
                  <w14:lightRig w14:rig="threePt" w14:dir="t">
                    <w14:rot w14:lat="0" w14:lon="0" w14:rev="0"/>
                  </w14:lightRig>
                </w14:scene3d>
              </w:rPr>
              <w:t>5.1.</w:t>
            </w:r>
            <w:r w:rsidR="00F41CBA" w:rsidRPr="00F41CBA">
              <w:rPr>
                <w:rFonts w:asciiTheme="minorHAnsi" w:eastAsiaTheme="minorEastAsia" w:hAnsiTheme="minorHAnsi"/>
                <w:noProof/>
                <w:sz w:val="18"/>
                <w:lang w:eastAsia="cs-CZ"/>
              </w:rPr>
              <w:tab/>
            </w:r>
            <w:r w:rsidR="00F41CBA" w:rsidRPr="00F41CBA">
              <w:rPr>
                <w:rStyle w:val="Hypertextovodkaz"/>
                <w:noProof/>
                <w:sz w:val="20"/>
              </w:rPr>
              <w:t>Cizí státní příslušníci - zaměstnanci</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_Toc509474132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19</w:t>
            </w:r>
            <w:r w:rsidR="00F41CBA" w:rsidRPr="00F41CBA">
              <w:rPr>
                <w:noProof/>
                <w:webHidden/>
                <w:sz w:val="20"/>
              </w:rPr>
              <w:fldChar w:fldCharType="end"/>
            </w:r>
          </w:hyperlink>
        </w:p>
        <w:p w:rsidR="00F41CBA" w:rsidRPr="00F41CBA" w:rsidRDefault="007B53ED" w:rsidP="00F41CBA">
          <w:pPr>
            <w:pStyle w:val="Obsah3"/>
            <w:tabs>
              <w:tab w:val="left" w:pos="1320"/>
              <w:tab w:val="right" w:leader="dot" w:pos="9062"/>
            </w:tabs>
            <w:spacing w:beforeLines="30" w:before="72" w:afterLines="30" w:after="72"/>
            <w:rPr>
              <w:rFonts w:asciiTheme="minorHAnsi" w:eastAsiaTheme="minorEastAsia" w:hAnsiTheme="minorHAnsi"/>
              <w:noProof/>
              <w:sz w:val="18"/>
              <w:lang w:eastAsia="cs-CZ"/>
            </w:rPr>
          </w:pPr>
          <w:hyperlink w:anchor="_Toc509474133" w:history="1">
            <w:r w:rsidR="00F41CBA" w:rsidRPr="00F41CBA">
              <w:rPr>
                <w:rStyle w:val="Hypertextovodkaz"/>
                <w:noProof/>
                <w:sz w:val="20"/>
                <w14:scene3d>
                  <w14:camera w14:prst="orthographicFront"/>
                  <w14:lightRig w14:rig="threePt" w14:dir="t">
                    <w14:rot w14:lat="0" w14:lon="0" w14:rev="0"/>
                  </w14:lightRig>
                </w14:scene3d>
              </w:rPr>
              <w:t>5.2.</w:t>
            </w:r>
            <w:r w:rsidR="00F41CBA" w:rsidRPr="00F41CBA">
              <w:rPr>
                <w:rFonts w:asciiTheme="minorHAnsi" w:eastAsiaTheme="minorEastAsia" w:hAnsiTheme="minorHAnsi"/>
                <w:noProof/>
                <w:sz w:val="18"/>
                <w:lang w:eastAsia="cs-CZ"/>
              </w:rPr>
              <w:tab/>
            </w:r>
            <w:r w:rsidR="00F41CBA" w:rsidRPr="00F41CBA">
              <w:rPr>
                <w:rStyle w:val="Hypertextovodkaz"/>
                <w:noProof/>
                <w:sz w:val="20"/>
              </w:rPr>
              <w:t>VPM pro cizince</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_Toc509474133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21</w:t>
            </w:r>
            <w:r w:rsidR="00F41CBA" w:rsidRPr="00F41CBA">
              <w:rPr>
                <w:noProof/>
                <w:webHidden/>
                <w:sz w:val="20"/>
              </w:rPr>
              <w:fldChar w:fldCharType="end"/>
            </w:r>
          </w:hyperlink>
        </w:p>
        <w:p w:rsidR="00F41CBA" w:rsidRPr="00F41CBA" w:rsidRDefault="007B53ED" w:rsidP="00F41CBA">
          <w:pPr>
            <w:pStyle w:val="Obsah3"/>
            <w:tabs>
              <w:tab w:val="left" w:pos="1320"/>
              <w:tab w:val="right" w:leader="dot" w:pos="9062"/>
            </w:tabs>
            <w:spacing w:beforeLines="30" w:before="72" w:afterLines="30" w:after="72"/>
            <w:rPr>
              <w:rFonts w:asciiTheme="minorHAnsi" w:eastAsiaTheme="minorEastAsia" w:hAnsiTheme="minorHAnsi"/>
              <w:noProof/>
              <w:sz w:val="18"/>
              <w:lang w:eastAsia="cs-CZ"/>
            </w:rPr>
          </w:pPr>
          <w:hyperlink w:anchor="_Toc509474134" w:history="1">
            <w:r w:rsidR="00F41CBA" w:rsidRPr="00F41CBA">
              <w:rPr>
                <w:rStyle w:val="Hypertextovodkaz"/>
                <w:noProof/>
                <w:sz w:val="20"/>
                <w14:scene3d>
                  <w14:camera w14:prst="orthographicFront"/>
                  <w14:lightRig w14:rig="threePt" w14:dir="t">
                    <w14:rot w14:lat="0" w14:lon="0" w14:rev="0"/>
                  </w14:lightRig>
                </w14:scene3d>
              </w:rPr>
              <w:t>5.3.</w:t>
            </w:r>
            <w:r w:rsidR="00F41CBA" w:rsidRPr="00F41CBA">
              <w:rPr>
                <w:rFonts w:asciiTheme="minorHAnsi" w:eastAsiaTheme="minorEastAsia" w:hAnsiTheme="minorHAnsi"/>
                <w:noProof/>
                <w:sz w:val="18"/>
                <w:lang w:eastAsia="cs-CZ"/>
              </w:rPr>
              <w:tab/>
            </w:r>
            <w:r w:rsidR="00F41CBA" w:rsidRPr="00F41CBA">
              <w:rPr>
                <w:rStyle w:val="Hypertextovodkaz"/>
                <w:noProof/>
                <w:sz w:val="20"/>
              </w:rPr>
              <w:t>Zjednodušení přístupu občanů „třetích států“ na český trh práce</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_Toc509474134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22</w:t>
            </w:r>
            <w:r w:rsidR="00F41CBA" w:rsidRPr="00F41CBA">
              <w:rPr>
                <w:noProof/>
                <w:webHidden/>
                <w:sz w:val="20"/>
              </w:rPr>
              <w:fldChar w:fldCharType="end"/>
            </w:r>
          </w:hyperlink>
        </w:p>
        <w:p w:rsidR="00F41CBA" w:rsidRPr="00F41CBA" w:rsidRDefault="007B53ED" w:rsidP="00F41CBA">
          <w:pPr>
            <w:pStyle w:val="Obsah1"/>
            <w:spacing w:beforeLines="30" w:before="72" w:afterLines="30" w:after="72"/>
            <w:rPr>
              <w:rFonts w:asciiTheme="minorHAnsi" w:eastAsiaTheme="minorEastAsia" w:hAnsiTheme="minorHAnsi"/>
              <w:b w:val="0"/>
              <w:sz w:val="18"/>
            </w:rPr>
          </w:pPr>
          <w:hyperlink w:anchor="_Toc509474135" w:history="1">
            <w:r w:rsidR="00F41CBA" w:rsidRPr="00F41CBA">
              <w:rPr>
                <w:rStyle w:val="Hypertextovodkaz"/>
                <w:sz w:val="20"/>
              </w:rPr>
              <w:t>B)</w:t>
            </w:r>
            <w:r w:rsidR="00F41CBA" w:rsidRPr="00F41CBA">
              <w:rPr>
                <w:rFonts w:asciiTheme="minorHAnsi" w:eastAsiaTheme="minorEastAsia" w:hAnsiTheme="minorHAnsi"/>
                <w:b w:val="0"/>
                <w:sz w:val="18"/>
              </w:rPr>
              <w:tab/>
            </w:r>
            <w:r w:rsidR="00F41CBA" w:rsidRPr="00F41CBA">
              <w:rPr>
                <w:rStyle w:val="Hypertextovodkaz"/>
                <w:sz w:val="20"/>
              </w:rPr>
              <w:t>Analýza dlouhodobé nezaměstnanosti</w:t>
            </w:r>
            <w:r w:rsidR="00F41CBA" w:rsidRPr="00F41CBA">
              <w:rPr>
                <w:webHidden/>
                <w:sz w:val="20"/>
              </w:rPr>
              <w:tab/>
            </w:r>
            <w:r w:rsidR="00F41CBA" w:rsidRPr="00F41CBA">
              <w:rPr>
                <w:webHidden/>
                <w:sz w:val="20"/>
              </w:rPr>
              <w:fldChar w:fldCharType="begin"/>
            </w:r>
            <w:r w:rsidR="00F41CBA" w:rsidRPr="00F41CBA">
              <w:rPr>
                <w:webHidden/>
                <w:sz w:val="20"/>
              </w:rPr>
              <w:instrText xml:space="preserve"> PAGEREF _Toc509474135 \h </w:instrText>
            </w:r>
            <w:r w:rsidR="00F41CBA" w:rsidRPr="00F41CBA">
              <w:rPr>
                <w:webHidden/>
                <w:sz w:val="20"/>
              </w:rPr>
            </w:r>
            <w:r w:rsidR="00F41CBA" w:rsidRPr="00F41CBA">
              <w:rPr>
                <w:webHidden/>
                <w:sz w:val="20"/>
              </w:rPr>
              <w:fldChar w:fldCharType="separate"/>
            </w:r>
            <w:r w:rsidR="00F41CBA" w:rsidRPr="00F41CBA">
              <w:rPr>
                <w:webHidden/>
                <w:sz w:val="20"/>
              </w:rPr>
              <w:t>24</w:t>
            </w:r>
            <w:r w:rsidR="00F41CBA" w:rsidRPr="00F41CBA">
              <w:rPr>
                <w:webHidden/>
                <w:sz w:val="20"/>
              </w:rPr>
              <w:fldChar w:fldCharType="end"/>
            </w:r>
          </w:hyperlink>
        </w:p>
        <w:p w:rsidR="00F41CBA" w:rsidRPr="00F41CBA" w:rsidRDefault="007B53ED" w:rsidP="00F41CBA">
          <w:pPr>
            <w:pStyle w:val="Obsah2"/>
            <w:spacing w:beforeLines="30" w:before="72" w:afterLines="30" w:after="72"/>
            <w:rPr>
              <w:rFonts w:asciiTheme="minorHAnsi" w:eastAsiaTheme="minorEastAsia" w:hAnsiTheme="minorHAnsi"/>
              <w:noProof/>
              <w:sz w:val="18"/>
              <w:lang w:eastAsia="cs-CZ"/>
            </w:rPr>
          </w:pPr>
          <w:hyperlink w:anchor="_Toc509474136" w:history="1">
            <w:r w:rsidR="00F41CBA" w:rsidRPr="00F41CBA">
              <w:rPr>
                <w:rStyle w:val="Hypertextovodkaz"/>
                <w:noProof/>
                <w:sz w:val="20"/>
              </w:rPr>
              <w:t>1.</w:t>
            </w:r>
            <w:r w:rsidR="00F41CBA" w:rsidRPr="00F41CBA">
              <w:rPr>
                <w:rFonts w:asciiTheme="minorHAnsi" w:eastAsiaTheme="minorEastAsia" w:hAnsiTheme="minorHAnsi"/>
                <w:noProof/>
                <w:sz w:val="18"/>
                <w:lang w:eastAsia="cs-CZ"/>
              </w:rPr>
              <w:tab/>
            </w:r>
            <w:r w:rsidR="00F41CBA" w:rsidRPr="00F41CBA">
              <w:rPr>
                <w:rStyle w:val="Hypertextovodkaz"/>
                <w:noProof/>
                <w:sz w:val="20"/>
              </w:rPr>
              <w:t>Struktura dlouhodobé nezaměstnanosti</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_Toc509474136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24</w:t>
            </w:r>
            <w:r w:rsidR="00F41CBA" w:rsidRPr="00F41CBA">
              <w:rPr>
                <w:noProof/>
                <w:webHidden/>
                <w:sz w:val="20"/>
              </w:rPr>
              <w:fldChar w:fldCharType="end"/>
            </w:r>
          </w:hyperlink>
        </w:p>
        <w:p w:rsidR="00F41CBA" w:rsidRPr="00F41CBA" w:rsidRDefault="007B53ED" w:rsidP="00F41CBA">
          <w:pPr>
            <w:pStyle w:val="Obsah2"/>
            <w:spacing w:beforeLines="30" w:before="72" w:afterLines="30" w:after="72"/>
            <w:rPr>
              <w:rFonts w:asciiTheme="minorHAnsi" w:eastAsiaTheme="minorEastAsia" w:hAnsiTheme="minorHAnsi"/>
              <w:noProof/>
              <w:sz w:val="18"/>
              <w:lang w:eastAsia="cs-CZ"/>
            </w:rPr>
          </w:pPr>
          <w:hyperlink w:anchor="_Toc509474137" w:history="1">
            <w:r w:rsidR="00F41CBA" w:rsidRPr="00F41CBA">
              <w:rPr>
                <w:rStyle w:val="Hypertextovodkaz"/>
                <w:noProof/>
                <w:sz w:val="20"/>
              </w:rPr>
              <w:t>2.</w:t>
            </w:r>
            <w:r w:rsidR="00F41CBA" w:rsidRPr="00F41CBA">
              <w:rPr>
                <w:rFonts w:asciiTheme="minorHAnsi" w:eastAsiaTheme="minorEastAsia" w:hAnsiTheme="minorHAnsi"/>
                <w:noProof/>
                <w:sz w:val="18"/>
                <w:lang w:eastAsia="cs-CZ"/>
              </w:rPr>
              <w:tab/>
            </w:r>
            <w:r w:rsidR="00F41CBA" w:rsidRPr="00F41CBA">
              <w:rPr>
                <w:rStyle w:val="Hypertextovodkaz"/>
                <w:noProof/>
                <w:sz w:val="20"/>
              </w:rPr>
              <w:t>Dopady dlouhodobé nezaměstnanosti na veřejné rozpočty</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_Toc509474137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27</w:t>
            </w:r>
            <w:r w:rsidR="00F41CBA" w:rsidRPr="00F41CBA">
              <w:rPr>
                <w:noProof/>
                <w:webHidden/>
                <w:sz w:val="20"/>
              </w:rPr>
              <w:fldChar w:fldCharType="end"/>
            </w:r>
          </w:hyperlink>
        </w:p>
        <w:p w:rsidR="00F41CBA" w:rsidRPr="00F41CBA" w:rsidRDefault="007B53ED" w:rsidP="00F41CBA">
          <w:pPr>
            <w:pStyle w:val="Obsah3"/>
            <w:tabs>
              <w:tab w:val="left" w:pos="1320"/>
              <w:tab w:val="right" w:leader="dot" w:pos="9062"/>
            </w:tabs>
            <w:spacing w:beforeLines="30" w:before="72" w:afterLines="30" w:after="72"/>
            <w:rPr>
              <w:rFonts w:asciiTheme="minorHAnsi" w:eastAsiaTheme="minorEastAsia" w:hAnsiTheme="minorHAnsi"/>
              <w:noProof/>
              <w:sz w:val="18"/>
              <w:lang w:eastAsia="cs-CZ"/>
            </w:rPr>
          </w:pPr>
          <w:hyperlink w:anchor="_Toc509474138" w:history="1">
            <w:r w:rsidR="00F41CBA" w:rsidRPr="00F41CBA">
              <w:rPr>
                <w:rStyle w:val="Hypertextovodkaz"/>
                <w:noProof/>
                <w:sz w:val="20"/>
                <w14:scene3d>
                  <w14:camera w14:prst="orthographicFront"/>
                  <w14:lightRig w14:rig="threePt" w14:dir="t">
                    <w14:rot w14:lat="0" w14:lon="0" w14:rev="0"/>
                  </w14:lightRig>
                </w14:scene3d>
              </w:rPr>
              <w:t>2.1.</w:t>
            </w:r>
            <w:r w:rsidR="00F41CBA" w:rsidRPr="00F41CBA">
              <w:rPr>
                <w:rFonts w:asciiTheme="minorHAnsi" w:eastAsiaTheme="minorEastAsia" w:hAnsiTheme="minorHAnsi"/>
                <w:noProof/>
                <w:sz w:val="18"/>
                <w:lang w:eastAsia="cs-CZ"/>
              </w:rPr>
              <w:tab/>
            </w:r>
            <w:r w:rsidR="00F41CBA" w:rsidRPr="00F41CBA">
              <w:rPr>
                <w:rStyle w:val="Hypertextovodkaz"/>
                <w:noProof/>
                <w:sz w:val="20"/>
              </w:rPr>
              <w:t>Modelový příklad</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_Toc509474138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28</w:t>
            </w:r>
            <w:r w:rsidR="00F41CBA" w:rsidRPr="00F41CBA">
              <w:rPr>
                <w:noProof/>
                <w:webHidden/>
                <w:sz w:val="20"/>
              </w:rPr>
              <w:fldChar w:fldCharType="end"/>
            </w:r>
          </w:hyperlink>
        </w:p>
        <w:p w:rsidR="00F41CBA" w:rsidRPr="00F41CBA" w:rsidRDefault="007B53ED" w:rsidP="00F41CBA">
          <w:pPr>
            <w:pStyle w:val="Obsah2"/>
            <w:spacing w:beforeLines="30" w:before="72" w:afterLines="30" w:after="72"/>
            <w:rPr>
              <w:rFonts w:asciiTheme="minorHAnsi" w:eastAsiaTheme="minorEastAsia" w:hAnsiTheme="minorHAnsi"/>
              <w:noProof/>
              <w:sz w:val="18"/>
              <w:lang w:eastAsia="cs-CZ"/>
            </w:rPr>
          </w:pPr>
          <w:hyperlink w:anchor="_Toc509474139" w:history="1">
            <w:r w:rsidR="00F41CBA" w:rsidRPr="00F41CBA">
              <w:rPr>
                <w:rStyle w:val="Hypertextovodkaz"/>
                <w:noProof/>
                <w:sz w:val="20"/>
              </w:rPr>
              <w:t>3.</w:t>
            </w:r>
            <w:r w:rsidR="00F41CBA" w:rsidRPr="00F41CBA">
              <w:rPr>
                <w:rFonts w:asciiTheme="minorHAnsi" w:eastAsiaTheme="minorEastAsia" w:hAnsiTheme="minorHAnsi"/>
                <w:noProof/>
                <w:sz w:val="18"/>
                <w:lang w:eastAsia="cs-CZ"/>
              </w:rPr>
              <w:tab/>
            </w:r>
            <w:r w:rsidR="00F41CBA" w:rsidRPr="00F41CBA">
              <w:rPr>
                <w:rStyle w:val="Hypertextovodkaz"/>
                <w:noProof/>
                <w:sz w:val="20"/>
              </w:rPr>
              <w:t>Skupiny uchazečů o zaměstnání ohrožené dlouhodobou nezaměstnaností</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_Toc509474139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29</w:t>
            </w:r>
            <w:r w:rsidR="00F41CBA" w:rsidRPr="00F41CBA">
              <w:rPr>
                <w:noProof/>
                <w:webHidden/>
                <w:sz w:val="20"/>
              </w:rPr>
              <w:fldChar w:fldCharType="end"/>
            </w:r>
          </w:hyperlink>
        </w:p>
        <w:p w:rsidR="00F41CBA" w:rsidRPr="00F41CBA" w:rsidRDefault="007B53ED" w:rsidP="00F41CBA">
          <w:pPr>
            <w:pStyle w:val="Obsah3"/>
            <w:tabs>
              <w:tab w:val="left" w:pos="1320"/>
              <w:tab w:val="right" w:leader="dot" w:pos="9062"/>
            </w:tabs>
            <w:spacing w:beforeLines="30" w:before="72" w:afterLines="30" w:after="72"/>
            <w:rPr>
              <w:rFonts w:asciiTheme="minorHAnsi" w:eastAsiaTheme="minorEastAsia" w:hAnsiTheme="minorHAnsi"/>
              <w:noProof/>
              <w:sz w:val="18"/>
              <w:lang w:eastAsia="cs-CZ"/>
            </w:rPr>
          </w:pPr>
          <w:hyperlink w:anchor="_Toc509474140" w:history="1">
            <w:r w:rsidR="00F41CBA" w:rsidRPr="00F41CBA">
              <w:rPr>
                <w:rStyle w:val="Hypertextovodkaz"/>
                <w:noProof/>
                <w:sz w:val="20"/>
                <w14:scene3d>
                  <w14:camera w14:prst="orthographicFront"/>
                  <w14:lightRig w14:rig="threePt" w14:dir="t">
                    <w14:rot w14:lat="0" w14:lon="0" w14:rev="0"/>
                  </w14:lightRig>
                </w14:scene3d>
              </w:rPr>
              <w:t>3.1.</w:t>
            </w:r>
            <w:r w:rsidR="00F41CBA" w:rsidRPr="00F41CBA">
              <w:rPr>
                <w:rFonts w:asciiTheme="minorHAnsi" w:eastAsiaTheme="minorEastAsia" w:hAnsiTheme="minorHAnsi"/>
                <w:noProof/>
                <w:sz w:val="18"/>
                <w:lang w:eastAsia="cs-CZ"/>
              </w:rPr>
              <w:tab/>
            </w:r>
            <w:r w:rsidR="00F41CBA" w:rsidRPr="00F41CBA">
              <w:rPr>
                <w:rStyle w:val="Hypertextovodkaz"/>
                <w:noProof/>
                <w:sz w:val="20"/>
              </w:rPr>
              <w:t>Zastoupení skupin</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_Toc509474140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29</w:t>
            </w:r>
            <w:r w:rsidR="00F41CBA" w:rsidRPr="00F41CBA">
              <w:rPr>
                <w:noProof/>
                <w:webHidden/>
                <w:sz w:val="20"/>
              </w:rPr>
              <w:fldChar w:fldCharType="end"/>
            </w:r>
          </w:hyperlink>
        </w:p>
        <w:p w:rsidR="00F41CBA" w:rsidRPr="00F41CBA" w:rsidRDefault="007B53ED" w:rsidP="00F41CBA">
          <w:pPr>
            <w:pStyle w:val="Obsah3"/>
            <w:tabs>
              <w:tab w:val="left" w:pos="1320"/>
              <w:tab w:val="right" w:leader="dot" w:pos="9062"/>
            </w:tabs>
            <w:spacing w:beforeLines="30" w:before="72" w:afterLines="30" w:after="72"/>
            <w:rPr>
              <w:rFonts w:asciiTheme="minorHAnsi" w:eastAsiaTheme="minorEastAsia" w:hAnsiTheme="minorHAnsi"/>
              <w:noProof/>
              <w:sz w:val="18"/>
              <w:lang w:eastAsia="cs-CZ"/>
            </w:rPr>
          </w:pPr>
          <w:hyperlink w:anchor="_Toc509474141" w:history="1">
            <w:r w:rsidR="00F41CBA" w:rsidRPr="00F41CBA">
              <w:rPr>
                <w:rStyle w:val="Hypertextovodkaz"/>
                <w:noProof/>
                <w:sz w:val="20"/>
                <w14:scene3d>
                  <w14:camera w14:prst="orthographicFront"/>
                  <w14:lightRig w14:rig="threePt" w14:dir="t">
                    <w14:rot w14:lat="0" w14:lon="0" w14:rev="0"/>
                  </w14:lightRig>
                </w14:scene3d>
              </w:rPr>
              <w:t>3.2.</w:t>
            </w:r>
            <w:r w:rsidR="00F41CBA" w:rsidRPr="00F41CBA">
              <w:rPr>
                <w:rFonts w:asciiTheme="minorHAnsi" w:eastAsiaTheme="minorEastAsia" w:hAnsiTheme="minorHAnsi"/>
                <w:noProof/>
                <w:sz w:val="18"/>
                <w:lang w:eastAsia="cs-CZ"/>
              </w:rPr>
              <w:tab/>
            </w:r>
            <w:r w:rsidR="00F41CBA" w:rsidRPr="00F41CBA">
              <w:rPr>
                <w:rStyle w:val="Hypertextovodkaz"/>
                <w:noProof/>
                <w:sz w:val="20"/>
              </w:rPr>
              <w:t>Starší osoby (55+)</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_Toc509474141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30</w:t>
            </w:r>
            <w:r w:rsidR="00F41CBA" w:rsidRPr="00F41CBA">
              <w:rPr>
                <w:noProof/>
                <w:webHidden/>
                <w:sz w:val="20"/>
              </w:rPr>
              <w:fldChar w:fldCharType="end"/>
            </w:r>
          </w:hyperlink>
        </w:p>
        <w:p w:rsidR="00F41CBA" w:rsidRPr="00F41CBA" w:rsidRDefault="007B53ED" w:rsidP="00F41CBA">
          <w:pPr>
            <w:pStyle w:val="Obsah3"/>
            <w:tabs>
              <w:tab w:val="left" w:pos="1320"/>
              <w:tab w:val="right" w:leader="dot" w:pos="9062"/>
            </w:tabs>
            <w:spacing w:beforeLines="30" w:before="72" w:afterLines="30" w:after="72"/>
            <w:rPr>
              <w:rFonts w:asciiTheme="minorHAnsi" w:eastAsiaTheme="minorEastAsia" w:hAnsiTheme="minorHAnsi"/>
              <w:noProof/>
              <w:sz w:val="18"/>
              <w:lang w:eastAsia="cs-CZ"/>
            </w:rPr>
          </w:pPr>
          <w:hyperlink w:anchor="_Toc509474142" w:history="1">
            <w:r w:rsidR="00F41CBA" w:rsidRPr="00F41CBA">
              <w:rPr>
                <w:rStyle w:val="Hypertextovodkaz"/>
                <w:noProof/>
                <w:sz w:val="20"/>
                <w14:scene3d>
                  <w14:camera w14:prst="orthographicFront"/>
                  <w14:lightRig w14:rig="threePt" w14:dir="t">
                    <w14:rot w14:lat="0" w14:lon="0" w14:rev="0"/>
                  </w14:lightRig>
                </w14:scene3d>
              </w:rPr>
              <w:t>3.3.</w:t>
            </w:r>
            <w:r w:rsidR="00F41CBA" w:rsidRPr="00F41CBA">
              <w:rPr>
                <w:rFonts w:asciiTheme="minorHAnsi" w:eastAsiaTheme="minorEastAsia" w:hAnsiTheme="minorHAnsi"/>
                <w:noProof/>
                <w:sz w:val="18"/>
                <w:lang w:eastAsia="cs-CZ"/>
              </w:rPr>
              <w:tab/>
            </w:r>
            <w:r w:rsidR="00F41CBA" w:rsidRPr="00F41CBA">
              <w:rPr>
                <w:rStyle w:val="Hypertextovodkaz"/>
                <w:noProof/>
                <w:sz w:val="20"/>
              </w:rPr>
              <w:t>Důvody ohrožení starších na trhu práce</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_Toc509474142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31</w:t>
            </w:r>
            <w:r w:rsidR="00F41CBA" w:rsidRPr="00F41CBA">
              <w:rPr>
                <w:noProof/>
                <w:webHidden/>
                <w:sz w:val="20"/>
              </w:rPr>
              <w:fldChar w:fldCharType="end"/>
            </w:r>
          </w:hyperlink>
        </w:p>
        <w:p w:rsidR="00F41CBA" w:rsidRPr="00F41CBA" w:rsidRDefault="007B53ED" w:rsidP="00F41CBA">
          <w:pPr>
            <w:pStyle w:val="Obsah3"/>
            <w:tabs>
              <w:tab w:val="left" w:pos="1320"/>
              <w:tab w:val="right" w:leader="dot" w:pos="9062"/>
            </w:tabs>
            <w:spacing w:beforeLines="30" w:before="72" w:afterLines="30" w:after="72"/>
            <w:rPr>
              <w:rFonts w:asciiTheme="minorHAnsi" w:eastAsiaTheme="minorEastAsia" w:hAnsiTheme="minorHAnsi"/>
              <w:noProof/>
              <w:sz w:val="18"/>
              <w:lang w:eastAsia="cs-CZ"/>
            </w:rPr>
          </w:pPr>
          <w:hyperlink w:anchor="_Toc509474143" w:history="1">
            <w:r w:rsidR="00F41CBA" w:rsidRPr="00F41CBA">
              <w:rPr>
                <w:rStyle w:val="Hypertextovodkaz"/>
                <w:noProof/>
                <w:sz w:val="20"/>
                <w14:scene3d>
                  <w14:camera w14:prst="orthographicFront"/>
                  <w14:lightRig w14:rig="threePt" w14:dir="t">
                    <w14:rot w14:lat="0" w14:lon="0" w14:rev="0"/>
                  </w14:lightRig>
                </w14:scene3d>
              </w:rPr>
              <w:t>3.4.</w:t>
            </w:r>
            <w:r w:rsidR="00F41CBA" w:rsidRPr="00F41CBA">
              <w:rPr>
                <w:rFonts w:asciiTheme="minorHAnsi" w:eastAsiaTheme="minorEastAsia" w:hAnsiTheme="minorHAnsi"/>
                <w:noProof/>
                <w:sz w:val="18"/>
                <w:lang w:eastAsia="cs-CZ"/>
              </w:rPr>
              <w:tab/>
            </w:r>
            <w:r w:rsidR="00F41CBA" w:rsidRPr="00F41CBA">
              <w:rPr>
                <w:rStyle w:val="Hypertextovodkaz"/>
                <w:noProof/>
                <w:sz w:val="20"/>
              </w:rPr>
              <w:t>Opatření pro skupinu 55+</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_Toc509474143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33</w:t>
            </w:r>
            <w:r w:rsidR="00F41CBA" w:rsidRPr="00F41CBA">
              <w:rPr>
                <w:noProof/>
                <w:webHidden/>
                <w:sz w:val="20"/>
              </w:rPr>
              <w:fldChar w:fldCharType="end"/>
            </w:r>
          </w:hyperlink>
        </w:p>
        <w:p w:rsidR="00F41CBA" w:rsidRPr="00F41CBA" w:rsidRDefault="007B53ED" w:rsidP="00F41CBA">
          <w:pPr>
            <w:pStyle w:val="Obsah3"/>
            <w:tabs>
              <w:tab w:val="left" w:pos="1320"/>
              <w:tab w:val="right" w:leader="dot" w:pos="9062"/>
            </w:tabs>
            <w:spacing w:beforeLines="30" w:before="72" w:afterLines="30" w:after="72"/>
            <w:rPr>
              <w:rFonts w:asciiTheme="minorHAnsi" w:eastAsiaTheme="minorEastAsia" w:hAnsiTheme="minorHAnsi"/>
              <w:noProof/>
              <w:sz w:val="18"/>
              <w:lang w:eastAsia="cs-CZ"/>
            </w:rPr>
          </w:pPr>
          <w:hyperlink w:anchor="_Toc509474145" w:history="1">
            <w:r w:rsidR="00F41CBA" w:rsidRPr="00F41CBA">
              <w:rPr>
                <w:rStyle w:val="Hypertextovodkaz"/>
                <w:noProof/>
                <w:sz w:val="20"/>
                <w14:scene3d>
                  <w14:camera w14:prst="orthographicFront"/>
                  <w14:lightRig w14:rig="threePt" w14:dir="t">
                    <w14:rot w14:lat="0" w14:lon="0" w14:rev="0"/>
                  </w14:lightRig>
                </w14:scene3d>
              </w:rPr>
              <w:t>3.5.</w:t>
            </w:r>
            <w:r w:rsidR="00F41CBA" w:rsidRPr="00F41CBA">
              <w:rPr>
                <w:rFonts w:asciiTheme="minorHAnsi" w:eastAsiaTheme="minorEastAsia" w:hAnsiTheme="minorHAnsi"/>
                <w:noProof/>
                <w:sz w:val="18"/>
                <w:lang w:eastAsia="cs-CZ"/>
              </w:rPr>
              <w:tab/>
            </w:r>
            <w:r w:rsidR="00F41CBA" w:rsidRPr="00F41CBA">
              <w:rPr>
                <w:rStyle w:val="Hypertextovodkaz"/>
                <w:noProof/>
                <w:sz w:val="20"/>
              </w:rPr>
              <w:t>Osoby se zdravotním postižením</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_Toc509474145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34</w:t>
            </w:r>
            <w:r w:rsidR="00F41CBA" w:rsidRPr="00F41CBA">
              <w:rPr>
                <w:noProof/>
                <w:webHidden/>
                <w:sz w:val="20"/>
              </w:rPr>
              <w:fldChar w:fldCharType="end"/>
            </w:r>
          </w:hyperlink>
        </w:p>
        <w:p w:rsidR="00F41CBA" w:rsidRPr="00F41CBA" w:rsidRDefault="007B53ED" w:rsidP="00F41CBA">
          <w:pPr>
            <w:pStyle w:val="Obsah3"/>
            <w:tabs>
              <w:tab w:val="left" w:pos="1320"/>
              <w:tab w:val="right" w:leader="dot" w:pos="9062"/>
            </w:tabs>
            <w:spacing w:beforeLines="30" w:before="72" w:afterLines="30" w:after="72"/>
            <w:rPr>
              <w:rFonts w:asciiTheme="minorHAnsi" w:eastAsiaTheme="minorEastAsia" w:hAnsiTheme="minorHAnsi"/>
              <w:noProof/>
              <w:sz w:val="18"/>
              <w:lang w:eastAsia="cs-CZ"/>
            </w:rPr>
          </w:pPr>
          <w:hyperlink w:anchor="_Toc509474148" w:history="1">
            <w:r w:rsidR="00F41CBA" w:rsidRPr="00F41CBA">
              <w:rPr>
                <w:rStyle w:val="Hypertextovodkaz"/>
                <w:noProof/>
                <w:sz w:val="20"/>
                <w14:scene3d>
                  <w14:camera w14:prst="orthographicFront"/>
                  <w14:lightRig w14:rig="threePt" w14:dir="t">
                    <w14:rot w14:lat="0" w14:lon="0" w14:rev="0"/>
                  </w14:lightRig>
                </w14:scene3d>
              </w:rPr>
              <w:t>3.6.</w:t>
            </w:r>
            <w:r w:rsidR="00F41CBA" w:rsidRPr="00F41CBA">
              <w:rPr>
                <w:rFonts w:asciiTheme="minorHAnsi" w:eastAsiaTheme="minorEastAsia" w:hAnsiTheme="minorHAnsi"/>
                <w:noProof/>
                <w:sz w:val="18"/>
                <w:lang w:eastAsia="cs-CZ"/>
              </w:rPr>
              <w:tab/>
            </w:r>
            <w:r w:rsidR="00F41CBA" w:rsidRPr="00F41CBA">
              <w:rPr>
                <w:rStyle w:val="Hypertextovodkaz"/>
                <w:noProof/>
                <w:sz w:val="20"/>
              </w:rPr>
              <w:t>Důvody ohrožení OZP na trhu práce</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_Toc509474148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35</w:t>
            </w:r>
            <w:r w:rsidR="00F41CBA" w:rsidRPr="00F41CBA">
              <w:rPr>
                <w:noProof/>
                <w:webHidden/>
                <w:sz w:val="20"/>
              </w:rPr>
              <w:fldChar w:fldCharType="end"/>
            </w:r>
          </w:hyperlink>
        </w:p>
        <w:p w:rsidR="00F41CBA" w:rsidRPr="00F41CBA" w:rsidRDefault="007B53ED" w:rsidP="00F41CBA">
          <w:pPr>
            <w:pStyle w:val="Obsah3"/>
            <w:tabs>
              <w:tab w:val="left" w:pos="1320"/>
              <w:tab w:val="right" w:leader="dot" w:pos="9062"/>
            </w:tabs>
            <w:spacing w:beforeLines="30" w:before="72" w:afterLines="30" w:after="72"/>
            <w:rPr>
              <w:rFonts w:asciiTheme="minorHAnsi" w:eastAsiaTheme="minorEastAsia" w:hAnsiTheme="minorHAnsi"/>
              <w:noProof/>
              <w:sz w:val="18"/>
              <w:lang w:eastAsia="cs-CZ"/>
            </w:rPr>
          </w:pPr>
          <w:hyperlink w:anchor="_Toc509474149" w:history="1">
            <w:r w:rsidR="00F41CBA" w:rsidRPr="00F41CBA">
              <w:rPr>
                <w:rStyle w:val="Hypertextovodkaz"/>
                <w:noProof/>
                <w:sz w:val="20"/>
                <w14:scene3d>
                  <w14:camera w14:prst="orthographicFront"/>
                  <w14:lightRig w14:rig="threePt" w14:dir="t">
                    <w14:rot w14:lat="0" w14:lon="0" w14:rev="0"/>
                  </w14:lightRig>
                </w14:scene3d>
              </w:rPr>
              <w:t>3.7.</w:t>
            </w:r>
            <w:r w:rsidR="00F41CBA" w:rsidRPr="00F41CBA">
              <w:rPr>
                <w:rFonts w:asciiTheme="minorHAnsi" w:eastAsiaTheme="minorEastAsia" w:hAnsiTheme="minorHAnsi"/>
                <w:noProof/>
                <w:sz w:val="18"/>
                <w:lang w:eastAsia="cs-CZ"/>
              </w:rPr>
              <w:tab/>
            </w:r>
            <w:r w:rsidR="00F41CBA" w:rsidRPr="00F41CBA">
              <w:rPr>
                <w:rStyle w:val="Hypertextovodkaz"/>
                <w:noProof/>
                <w:sz w:val="20"/>
              </w:rPr>
              <w:t>Opatření pro OZP</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_Toc509474149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36</w:t>
            </w:r>
            <w:r w:rsidR="00F41CBA" w:rsidRPr="00F41CBA">
              <w:rPr>
                <w:noProof/>
                <w:webHidden/>
                <w:sz w:val="20"/>
              </w:rPr>
              <w:fldChar w:fldCharType="end"/>
            </w:r>
          </w:hyperlink>
        </w:p>
        <w:p w:rsidR="00F41CBA" w:rsidRPr="00F41CBA" w:rsidRDefault="007B53ED" w:rsidP="00F41CBA">
          <w:pPr>
            <w:pStyle w:val="Obsah2"/>
            <w:spacing w:beforeLines="30" w:before="72" w:afterLines="30" w:after="72"/>
            <w:rPr>
              <w:rFonts w:asciiTheme="minorHAnsi" w:eastAsiaTheme="minorEastAsia" w:hAnsiTheme="minorHAnsi"/>
              <w:noProof/>
              <w:sz w:val="18"/>
              <w:lang w:eastAsia="cs-CZ"/>
            </w:rPr>
          </w:pPr>
          <w:hyperlink w:anchor="_Toc509474151" w:history="1">
            <w:r w:rsidR="00F41CBA" w:rsidRPr="00F41CBA">
              <w:rPr>
                <w:rStyle w:val="Hypertextovodkaz"/>
                <w:noProof/>
                <w:sz w:val="20"/>
              </w:rPr>
              <w:t>4.</w:t>
            </w:r>
            <w:r w:rsidR="00F41CBA" w:rsidRPr="00F41CBA">
              <w:rPr>
                <w:rFonts w:asciiTheme="minorHAnsi" w:eastAsiaTheme="minorEastAsia" w:hAnsiTheme="minorHAnsi"/>
                <w:noProof/>
                <w:sz w:val="18"/>
                <w:lang w:eastAsia="cs-CZ"/>
              </w:rPr>
              <w:tab/>
            </w:r>
            <w:r w:rsidR="00F41CBA" w:rsidRPr="00F41CBA">
              <w:rPr>
                <w:rStyle w:val="Hypertextovodkaz"/>
                <w:noProof/>
                <w:sz w:val="20"/>
              </w:rPr>
              <w:t>Osoby v hmotné nouzi a osoby s exekucí</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_Toc509474151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38</w:t>
            </w:r>
            <w:r w:rsidR="00F41CBA" w:rsidRPr="00F41CBA">
              <w:rPr>
                <w:noProof/>
                <w:webHidden/>
                <w:sz w:val="20"/>
              </w:rPr>
              <w:fldChar w:fldCharType="end"/>
            </w:r>
          </w:hyperlink>
        </w:p>
        <w:p w:rsidR="00F41CBA" w:rsidRPr="00F41CBA" w:rsidRDefault="007B53ED" w:rsidP="00F41CBA">
          <w:pPr>
            <w:pStyle w:val="Obsah3"/>
            <w:tabs>
              <w:tab w:val="left" w:pos="1320"/>
              <w:tab w:val="right" w:leader="dot" w:pos="9062"/>
            </w:tabs>
            <w:spacing w:beforeLines="30" w:before="72" w:afterLines="30" w:after="72"/>
            <w:rPr>
              <w:rFonts w:asciiTheme="minorHAnsi" w:eastAsiaTheme="minorEastAsia" w:hAnsiTheme="minorHAnsi"/>
              <w:noProof/>
              <w:sz w:val="18"/>
              <w:lang w:eastAsia="cs-CZ"/>
            </w:rPr>
          </w:pPr>
          <w:hyperlink w:anchor="_Toc509474154" w:history="1">
            <w:r w:rsidR="00F41CBA" w:rsidRPr="00F41CBA">
              <w:rPr>
                <w:rStyle w:val="Hypertextovodkaz"/>
                <w:noProof/>
                <w:sz w:val="20"/>
                <w14:scene3d>
                  <w14:camera w14:prst="orthographicFront"/>
                  <w14:lightRig w14:rig="threePt" w14:dir="t">
                    <w14:rot w14:lat="0" w14:lon="0" w14:rev="0"/>
                  </w14:lightRig>
                </w14:scene3d>
              </w:rPr>
              <w:t>4.1.</w:t>
            </w:r>
            <w:r w:rsidR="00F41CBA" w:rsidRPr="00F41CBA">
              <w:rPr>
                <w:rFonts w:asciiTheme="minorHAnsi" w:eastAsiaTheme="minorEastAsia" w:hAnsiTheme="minorHAnsi"/>
                <w:noProof/>
                <w:sz w:val="18"/>
                <w:lang w:eastAsia="cs-CZ"/>
              </w:rPr>
              <w:tab/>
            </w:r>
            <w:r w:rsidR="00F41CBA" w:rsidRPr="00F41CBA">
              <w:rPr>
                <w:rStyle w:val="Hypertextovodkaz"/>
                <w:noProof/>
                <w:sz w:val="20"/>
              </w:rPr>
              <w:t>Důvody ohrožení na trhu práce</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_Toc509474154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38</w:t>
            </w:r>
            <w:r w:rsidR="00F41CBA" w:rsidRPr="00F41CBA">
              <w:rPr>
                <w:noProof/>
                <w:webHidden/>
                <w:sz w:val="20"/>
              </w:rPr>
              <w:fldChar w:fldCharType="end"/>
            </w:r>
          </w:hyperlink>
        </w:p>
        <w:p w:rsidR="00F41CBA" w:rsidRPr="00F41CBA" w:rsidRDefault="007B53ED" w:rsidP="00F41CBA">
          <w:pPr>
            <w:pStyle w:val="Obsah3"/>
            <w:tabs>
              <w:tab w:val="left" w:pos="1320"/>
              <w:tab w:val="right" w:leader="dot" w:pos="9062"/>
            </w:tabs>
            <w:spacing w:beforeLines="30" w:before="72" w:afterLines="30" w:after="72"/>
            <w:rPr>
              <w:rFonts w:asciiTheme="minorHAnsi" w:eastAsiaTheme="minorEastAsia" w:hAnsiTheme="minorHAnsi"/>
              <w:noProof/>
              <w:sz w:val="18"/>
              <w:lang w:eastAsia="cs-CZ"/>
            </w:rPr>
          </w:pPr>
          <w:hyperlink w:anchor="_Toc509474155" w:history="1">
            <w:r w:rsidR="00F41CBA" w:rsidRPr="00F41CBA">
              <w:rPr>
                <w:rStyle w:val="Hypertextovodkaz"/>
                <w:noProof/>
                <w:sz w:val="20"/>
                <w14:scene3d>
                  <w14:camera w14:prst="orthographicFront"/>
                  <w14:lightRig w14:rig="threePt" w14:dir="t">
                    <w14:rot w14:lat="0" w14:lon="0" w14:rev="0"/>
                  </w14:lightRig>
                </w14:scene3d>
              </w:rPr>
              <w:t>4.2.</w:t>
            </w:r>
            <w:r w:rsidR="00F41CBA" w:rsidRPr="00F41CBA">
              <w:rPr>
                <w:rFonts w:asciiTheme="minorHAnsi" w:eastAsiaTheme="minorEastAsia" w:hAnsiTheme="minorHAnsi"/>
                <w:noProof/>
                <w:sz w:val="18"/>
                <w:lang w:eastAsia="cs-CZ"/>
              </w:rPr>
              <w:tab/>
            </w:r>
            <w:r w:rsidR="00F41CBA" w:rsidRPr="00F41CBA">
              <w:rPr>
                <w:rStyle w:val="Hypertextovodkaz"/>
                <w:noProof/>
                <w:sz w:val="20"/>
              </w:rPr>
              <w:t>Opatření pro osoby v hmotné nouzi</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_Toc509474155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39</w:t>
            </w:r>
            <w:r w:rsidR="00F41CBA" w:rsidRPr="00F41CBA">
              <w:rPr>
                <w:noProof/>
                <w:webHidden/>
                <w:sz w:val="20"/>
              </w:rPr>
              <w:fldChar w:fldCharType="end"/>
            </w:r>
          </w:hyperlink>
        </w:p>
        <w:p w:rsidR="00F41CBA" w:rsidRPr="00F41CBA" w:rsidRDefault="007B53ED" w:rsidP="00F41CBA">
          <w:pPr>
            <w:pStyle w:val="Obsah1"/>
            <w:spacing w:beforeLines="30" w:before="72" w:afterLines="30" w:after="72"/>
            <w:rPr>
              <w:rFonts w:asciiTheme="minorHAnsi" w:eastAsiaTheme="minorEastAsia" w:hAnsiTheme="minorHAnsi"/>
              <w:b w:val="0"/>
              <w:sz w:val="18"/>
            </w:rPr>
          </w:pPr>
          <w:hyperlink w:anchor="_Toc509474156" w:history="1">
            <w:r w:rsidR="00F41CBA" w:rsidRPr="00F41CBA">
              <w:rPr>
                <w:rStyle w:val="Hypertextovodkaz"/>
                <w:sz w:val="20"/>
              </w:rPr>
              <w:t>C)</w:t>
            </w:r>
            <w:r w:rsidR="00F41CBA" w:rsidRPr="00F41CBA">
              <w:rPr>
                <w:rFonts w:asciiTheme="minorHAnsi" w:eastAsiaTheme="minorEastAsia" w:hAnsiTheme="minorHAnsi"/>
                <w:b w:val="0"/>
                <w:sz w:val="18"/>
              </w:rPr>
              <w:tab/>
            </w:r>
            <w:r w:rsidR="00F41CBA" w:rsidRPr="00F41CBA">
              <w:rPr>
                <w:rStyle w:val="Hypertextovodkaz"/>
                <w:sz w:val="20"/>
              </w:rPr>
              <w:t>Plnění opatření</w:t>
            </w:r>
            <w:r w:rsidR="00F41CBA" w:rsidRPr="00F41CBA">
              <w:rPr>
                <w:webHidden/>
                <w:sz w:val="20"/>
              </w:rPr>
              <w:tab/>
            </w:r>
            <w:r w:rsidR="00F41CBA" w:rsidRPr="00F41CBA">
              <w:rPr>
                <w:webHidden/>
                <w:sz w:val="20"/>
              </w:rPr>
              <w:fldChar w:fldCharType="begin"/>
            </w:r>
            <w:r w:rsidR="00F41CBA" w:rsidRPr="00F41CBA">
              <w:rPr>
                <w:webHidden/>
                <w:sz w:val="20"/>
              </w:rPr>
              <w:instrText xml:space="preserve"> PAGEREF _Toc509474156 \h </w:instrText>
            </w:r>
            <w:r w:rsidR="00F41CBA" w:rsidRPr="00F41CBA">
              <w:rPr>
                <w:webHidden/>
                <w:sz w:val="20"/>
              </w:rPr>
            </w:r>
            <w:r w:rsidR="00F41CBA" w:rsidRPr="00F41CBA">
              <w:rPr>
                <w:webHidden/>
                <w:sz w:val="20"/>
              </w:rPr>
              <w:fldChar w:fldCharType="separate"/>
            </w:r>
            <w:r w:rsidR="00F41CBA" w:rsidRPr="00F41CBA">
              <w:rPr>
                <w:webHidden/>
                <w:sz w:val="20"/>
              </w:rPr>
              <w:t>40</w:t>
            </w:r>
            <w:r w:rsidR="00F41CBA" w:rsidRPr="00F41CBA">
              <w:rPr>
                <w:webHidden/>
                <w:sz w:val="20"/>
              </w:rPr>
              <w:fldChar w:fldCharType="end"/>
            </w:r>
          </w:hyperlink>
        </w:p>
        <w:p w:rsidR="00F41CBA" w:rsidRPr="00F41CBA" w:rsidRDefault="007B53ED" w:rsidP="00F41CBA">
          <w:pPr>
            <w:pStyle w:val="Obsah2"/>
            <w:spacing w:beforeLines="30" w:before="72" w:afterLines="30" w:after="72"/>
            <w:rPr>
              <w:rFonts w:asciiTheme="minorHAnsi" w:eastAsiaTheme="minorEastAsia" w:hAnsiTheme="minorHAnsi"/>
              <w:noProof/>
              <w:sz w:val="18"/>
              <w:lang w:eastAsia="cs-CZ"/>
            </w:rPr>
          </w:pPr>
          <w:hyperlink w:anchor="_Toc509474157" w:history="1">
            <w:r w:rsidR="00F41CBA" w:rsidRPr="00F41CBA">
              <w:rPr>
                <w:rStyle w:val="Hypertextovodkaz"/>
                <w:rFonts w:eastAsia="Times New Roman"/>
                <w:noProof/>
                <w:sz w:val="20"/>
                <w:lang w:eastAsia="cs-CZ"/>
              </w:rPr>
              <w:t xml:space="preserve">Sk. 1 Zvýšení </w:t>
            </w:r>
            <w:r w:rsidR="00F41CBA" w:rsidRPr="00F41CBA">
              <w:rPr>
                <w:rStyle w:val="Hypertextovodkaz"/>
                <w:noProof/>
                <w:sz w:val="20"/>
              </w:rPr>
              <w:t>motivace</w:t>
            </w:r>
            <w:r w:rsidR="00F41CBA" w:rsidRPr="00F41CBA">
              <w:rPr>
                <w:rStyle w:val="Hypertextovodkaz"/>
                <w:rFonts w:eastAsia="Times New Roman"/>
                <w:noProof/>
                <w:sz w:val="20"/>
                <w:lang w:eastAsia="cs-CZ"/>
              </w:rPr>
              <w:t xml:space="preserve"> pracovní síly akceptovat zaměstnání</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_Toc509474157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40</w:t>
            </w:r>
            <w:r w:rsidR="00F41CBA" w:rsidRPr="00F41CBA">
              <w:rPr>
                <w:noProof/>
                <w:webHidden/>
                <w:sz w:val="20"/>
              </w:rPr>
              <w:fldChar w:fldCharType="end"/>
            </w:r>
          </w:hyperlink>
        </w:p>
        <w:p w:rsidR="00F41CBA" w:rsidRPr="00F41CBA" w:rsidRDefault="007B53ED" w:rsidP="00F41CBA">
          <w:pPr>
            <w:pStyle w:val="Obsah2"/>
            <w:spacing w:beforeLines="30" w:before="72" w:afterLines="30" w:after="72"/>
            <w:rPr>
              <w:rFonts w:asciiTheme="minorHAnsi" w:eastAsiaTheme="minorEastAsia" w:hAnsiTheme="minorHAnsi"/>
              <w:noProof/>
              <w:sz w:val="18"/>
              <w:lang w:eastAsia="cs-CZ"/>
            </w:rPr>
          </w:pPr>
          <w:hyperlink w:anchor="_Toc509474158" w:history="1">
            <w:r w:rsidR="00F41CBA" w:rsidRPr="00F41CBA">
              <w:rPr>
                <w:rStyle w:val="Hypertextovodkaz"/>
                <w:rFonts w:eastAsia="Times New Roman"/>
                <w:noProof/>
                <w:sz w:val="20"/>
                <w:lang w:eastAsia="cs-CZ"/>
              </w:rPr>
              <w:t xml:space="preserve">Sk. 2 Motivace zaměstnavatelů </w:t>
            </w:r>
            <w:r w:rsidR="00F41CBA" w:rsidRPr="00F41CBA">
              <w:rPr>
                <w:rStyle w:val="Hypertextovodkaz"/>
                <w:noProof/>
                <w:sz w:val="20"/>
              </w:rPr>
              <w:t>zaměstnávat</w:t>
            </w:r>
            <w:r w:rsidR="00F41CBA" w:rsidRPr="00F41CBA">
              <w:rPr>
                <w:rStyle w:val="Hypertextovodkaz"/>
                <w:rFonts w:eastAsia="Times New Roman"/>
                <w:noProof/>
                <w:sz w:val="20"/>
                <w:lang w:eastAsia="cs-CZ"/>
              </w:rPr>
              <w:t xml:space="preserve"> znevýhodněné skupiny osob (intenzivní využití dostupné pracovní síly)</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_Toc509474158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45</w:t>
            </w:r>
            <w:r w:rsidR="00F41CBA" w:rsidRPr="00F41CBA">
              <w:rPr>
                <w:noProof/>
                <w:webHidden/>
                <w:sz w:val="20"/>
              </w:rPr>
              <w:fldChar w:fldCharType="end"/>
            </w:r>
          </w:hyperlink>
        </w:p>
        <w:p w:rsidR="00F41CBA" w:rsidRPr="00F41CBA" w:rsidRDefault="007B53ED" w:rsidP="00F41CBA">
          <w:pPr>
            <w:pStyle w:val="Obsah2"/>
            <w:spacing w:beforeLines="30" w:before="72" w:afterLines="30" w:after="72"/>
            <w:rPr>
              <w:rFonts w:asciiTheme="minorHAnsi" w:eastAsiaTheme="minorEastAsia" w:hAnsiTheme="minorHAnsi"/>
              <w:noProof/>
              <w:sz w:val="18"/>
              <w:lang w:eastAsia="cs-CZ"/>
            </w:rPr>
          </w:pPr>
          <w:hyperlink w:anchor="_Toc509474159" w:history="1">
            <w:r w:rsidR="00F41CBA" w:rsidRPr="00F41CBA">
              <w:rPr>
                <w:rStyle w:val="Hypertextovodkaz"/>
                <w:rFonts w:eastAsia="Times New Roman"/>
                <w:noProof/>
                <w:sz w:val="20"/>
                <w:lang w:eastAsia="cs-CZ"/>
              </w:rPr>
              <w:t xml:space="preserve">Sk. 3 Intenzifikace </w:t>
            </w:r>
            <w:r w:rsidR="00F41CBA" w:rsidRPr="00F41CBA">
              <w:rPr>
                <w:rStyle w:val="Hypertextovodkaz"/>
                <w:noProof/>
                <w:sz w:val="20"/>
              </w:rPr>
              <w:t>činnosti</w:t>
            </w:r>
            <w:r w:rsidR="00F41CBA" w:rsidRPr="00F41CBA">
              <w:rPr>
                <w:rStyle w:val="Hypertextovodkaz"/>
                <w:rFonts w:eastAsia="Times New Roman"/>
                <w:noProof/>
                <w:sz w:val="20"/>
                <w:lang w:eastAsia="cs-CZ"/>
              </w:rPr>
              <w:t xml:space="preserve"> ÚP ČR a SUIP</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_Toc509474159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46</w:t>
            </w:r>
            <w:r w:rsidR="00F41CBA" w:rsidRPr="00F41CBA">
              <w:rPr>
                <w:noProof/>
                <w:webHidden/>
                <w:sz w:val="20"/>
              </w:rPr>
              <w:fldChar w:fldCharType="end"/>
            </w:r>
          </w:hyperlink>
        </w:p>
        <w:p w:rsidR="00F41CBA" w:rsidRDefault="007B53ED" w:rsidP="00F41CBA">
          <w:pPr>
            <w:pStyle w:val="Obsah2"/>
            <w:spacing w:beforeLines="30" w:before="72" w:afterLines="30" w:after="72"/>
            <w:rPr>
              <w:rFonts w:asciiTheme="minorHAnsi" w:eastAsiaTheme="minorEastAsia" w:hAnsiTheme="minorHAnsi"/>
              <w:noProof/>
              <w:sz w:val="22"/>
              <w:lang w:eastAsia="cs-CZ"/>
            </w:rPr>
          </w:pPr>
          <w:hyperlink w:anchor="_Toc509474160" w:history="1">
            <w:r w:rsidR="00F41CBA" w:rsidRPr="00F41CBA">
              <w:rPr>
                <w:rStyle w:val="Hypertextovodkaz"/>
                <w:rFonts w:eastAsia="Times New Roman"/>
                <w:noProof/>
                <w:sz w:val="20"/>
                <w:lang w:eastAsia="cs-CZ"/>
              </w:rPr>
              <w:t xml:space="preserve">Sk. 4 Zvýšení kvalifikačního </w:t>
            </w:r>
            <w:r w:rsidR="00F41CBA" w:rsidRPr="00F41CBA">
              <w:rPr>
                <w:rStyle w:val="Hypertextovodkaz"/>
                <w:noProof/>
                <w:sz w:val="20"/>
              </w:rPr>
              <w:t>souladu</w:t>
            </w:r>
            <w:r w:rsidR="00F41CBA" w:rsidRPr="00F41CBA">
              <w:rPr>
                <w:rStyle w:val="Hypertextovodkaz"/>
                <w:rFonts w:eastAsia="Times New Roman"/>
                <w:noProof/>
                <w:sz w:val="20"/>
                <w:lang w:eastAsia="cs-CZ"/>
              </w:rPr>
              <w:t xml:space="preserve"> na trhu práce</w:t>
            </w:r>
            <w:r w:rsidR="00F41CBA" w:rsidRPr="00F41CBA">
              <w:rPr>
                <w:noProof/>
                <w:webHidden/>
                <w:sz w:val="20"/>
              </w:rPr>
              <w:tab/>
            </w:r>
            <w:r w:rsidR="00F41CBA" w:rsidRPr="00F41CBA">
              <w:rPr>
                <w:noProof/>
                <w:webHidden/>
                <w:sz w:val="20"/>
              </w:rPr>
              <w:fldChar w:fldCharType="begin"/>
            </w:r>
            <w:r w:rsidR="00F41CBA" w:rsidRPr="00F41CBA">
              <w:rPr>
                <w:noProof/>
                <w:webHidden/>
                <w:sz w:val="20"/>
              </w:rPr>
              <w:instrText xml:space="preserve"> PAGEREF _Toc509474160 \h </w:instrText>
            </w:r>
            <w:r w:rsidR="00F41CBA" w:rsidRPr="00F41CBA">
              <w:rPr>
                <w:noProof/>
                <w:webHidden/>
                <w:sz w:val="20"/>
              </w:rPr>
            </w:r>
            <w:r w:rsidR="00F41CBA" w:rsidRPr="00F41CBA">
              <w:rPr>
                <w:noProof/>
                <w:webHidden/>
                <w:sz w:val="20"/>
              </w:rPr>
              <w:fldChar w:fldCharType="separate"/>
            </w:r>
            <w:r w:rsidR="00F41CBA" w:rsidRPr="00F41CBA">
              <w:rPr>
                <w:noProof/>
                <w:webHidden/>
                <w:sz w:val="20"/>
              </w:rPr>
              <w:t>50</w:t>
            </w:r>
            <w:r w:rsidR="00F41CBA" w:rsidRPr="00F41CBA">
              <w:rPr>
                <w:noProof/>
                <w:webHidden/>
                <w:sz w:val="20"/>
              </w:rPr>
              <w:fldChar w:fldCharType="end"/>
            </w:r>
          </w:hyperlink>
        </w:p>
        <w:p w:rsidR="00CC4B6B" w:rsidRDefault="008D625D" w:rsidP="00F41CBA">
          <w:pPr>
            <w:spacing w:beforeLines="30" w:before="72" w:afterLines="30" w:after="72"/>
          </w:pPr>
          <w:r w:rsidRPr="00734E29">
            <w:rPr>
              <w:b/>
              <w:bCs/>
              <w:sz w:val="20"/>
              <w:szCs w:val="20"/>
            </w:rPr>
            <w:fldChar w:fldCharType="end"/>
          </w:r>
        </w:p>
      </w:sdtContent>
    </w:sdt>
    <w:p w:rsidR="00CC4B6B" w:rsidRDefault="00CC4B6B" w:rsidP="00F41CBA">
      <w:pPr>
        <w:pStyle w:val="Nadpis1"/>
        <w:numPr>
          <w:ilvl w:val="0"/>
          <w:numId w:val="0"/>
        </w:numPr>
        <w:spacing w:beforeLines="30" w:before="72" w:afterLines="30" w:after="72"/>
        <w:rPr>
          <w:lang w:eastAsia="cs-CZ"/>
        </w:rPr>
        <w:sectPr w:rsidR="00CC4B6B" w:rsidSect="00CD2B30">
          <w:headerReference w:type="first" r:id="rId12"/>
          <w:footerReference w:type="first" r:id="rId13"/>
          <w:pgSz w:w="11906" w:h="16838"/>
          <w:pgMar w:top="1417" w:right="1417" w:bottom="1417" w:left="1417" w:header="708" w:footer="708" w:gutter="0"/>
          <w:pgNumType w:fmt="lowerRoman" w:start="1"/>
          <w:cols w:space="708"/>
          <w:titlePg/>
          <w:docGrid w:linePitch="360"/>
        </w:sectPr>
      </w:pPr>
    </w:p>
    <w:p w:rsidR="008D625D" w:rsidRPr="00484D3B" w:rsidRDefault="008D625D" w:rsidP="002A3A1A">
      <w:pPr>
        <w:pStyle w:val="Nadpis1"/>
        <w:numPr>
          <w:ilvl w:val="0"/>
          <w:numId w:val="0"/>
        </w:numPr>
        <w:rPr>
          <w:lang w:eastAsia="cs-CZ"/>
        </w:rPr>
      </w:pPr>
      <w:bookmarkStart w:id="0" w:name="_Toc509474117"/>
      <w:r w:rsidRPr="00484D3B">
        <w:rPr>
          <w:lang w:eastAsia="cs-CZ"/>
        </w:rPr>
        <w:lastRenderedPageBreak/>
        <w:t>Seznam grafů</w:t>
      </w:r>
      <w:r>
        <w:rPr>
          <w:lang w:eastAsia="cs-CZ"/>
        </w:rPr>
        <w:t>,</w:t>
      </w:r>
      <w:r w:rsidRPr="00484D3B">
        <w:rPr>
          <w:lang w:eastAsia="cs-CZ"/>
        </w:rPr>
        <w:t xml:space="preserve"> tabulek</w:t>
      </w:r>
      <w:r>
        <w:rPr>
          <w:lang w:eastAsia="cs-CZ"/>
        </w:rPr>
        <w:t xml:space="preserve"> a zkratek</w:t>
      </w:r>
      <w:bookmarkEnd w:id="0"/>
    </w:p>
    <w:p w:rsidR="008D625D" w:rsidRPr="00534DB8" w:rsidRDefault="008D625D" w:rsidP="002A3A1A">
      <w:pPr>
        <w:spacing w:before="0" w:after="0"/>
        <w:rPr>
          <w:rFonts w:asciiTheme="majorHAnsi" w:hAnsiTheme="majorHAnsi"/>
          <w:b/>
          <w:color w:val="0070C0"/>
          <w:sz w:val="20"/>
          <w:lang w:eastAsia="cs-CZ"/>
        </w:rPr>
      </w:pPr>
      <w:r w:rsidRPr="00534DB8">
        <w:rPr>
          <w:rFonts w:asciiTheme="majorHAnsi" w:hAnsiTheme="majorHAnsi"/>
          <w:b/>
          <w:color w:val="0070C0"/>
          <w:sz w:val="20"/>
          <w:lang w:eastAsia="cs-CZ"/>
        </w:rPr>
        <w:t>Grafy</w:t>
      </w:r>
    </w:p>
    <w:p w:rsidR="002214B1" w:rsidRDefault="008D625D">
      <w:pPr>
        <w:pStyle w:val="Seznamobrzk"/>
        <w:rPr>
          <w:rFonts w:asciiTheme="minorHAnsi" w:eastAsiaTheme="minorEastAsia" w:hAnsiTheme="minorHAnsi"/>
          <w:sz w:val="22"/>
          <w:szCs w:val="22"/>
          <w:lang w:eastAsia="cs-CZ"/>
        </w:rPr>
      </w:pPr>
      <w:r w:rsidRPr="00EF2D05">
        <w:fldChar w:fldCharType="begin"/>
      </w:r>
      <w:r w:rsidRPr="00525F9E">
        <w:instrText xml:space="preserve"> TOC \h \z \c "Graf č.:" </w:instrText>
      </w:r>
      <w:r w:rsidRPr="00EF2D05">
        <w:fldChar w:fldCharType="separate"/>
      </w:r>
      <w:hyperlink w:anchor="_Toc508704204" w:history="1">
        <w:r w:rsidR="002214B1" w:rsidRPr="000160A0">
          <w:rPr>
            <w:rStyle w:val="Hypertextovodkaz"/>
          </w:rPr>
          <w:t>Graf č.: 1 Struktura neobsazenosti VPM podle hl. tříd zaměstnání (k 31. 12. 2017)</w:t>
        </w:r>
        <w:r w:rsidR="002214B1">
          <w:rPr>
            <w:webHidden/>
          </w:rPr>
          <w:tab/>
        </w:r>
        <w:r w:rsidR="002214B1">
          <w:rPr>
            <w:webHidden/>
          </w:rPr>
          <w:fldChar w:fldCharType="begin"/>
        </w:r>
        <w:r w:rsidR="002214B1">
          <w:rPr>
            <w:webHidden/>
          </w:rPr>
          <w:instrText xml:space="preserve"> PAGEREF _Toc508704204 \h </w:instrText>
        </w:r>
        <w:r w:rsidR="002214B1">
          <w:rPr>
            <w:webHidden/>
          </w:rPr>
        </w:r>
        <w:r w:rsidR="002214B1">
          <w:rPr>
            <w:webHidden/>
          </w:rPr>
          <w:fldChar w:fldCharType="separate"/>
        </w:r>
        <w:r w:rsidR="00734E29">
          <w:rPr>
            <w:webHidden/>
          </w:rPr>
          <w:t>4</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05" w:history="1">
        <w:r w:rsidR="002214B1" w:rsidRPr="000160A0">
          <w:rPr>
            <w:rStyle w:val="Hypertextovodkaz"/>
          </w:rPr>
          <w:t>Graf č.: 2 Struktura VPM podle hl. tříd zaměstnání a doby neobsazenosti</w:t>
        </w:r>
        <w:r w:rsidR="002214B1">
          <w:rPr>
            <w:webHidden/>
          </w:rPr>
          <w:tab/>
        </w:r>
        <w:r w:rsidR="002214B1">
          <w:rPr>
            <w:webHidden/>
          </w:rPr>
          <w:fldChar w:fldCharType="begin"/>
        </w:r>
        <w:r w:rsidR="002214B1">
          <w:rPr>
            <w:webHidden/>
          </w:rPr>
          <w:instrText xml:space="preserve"> PAGEREF _Toc508704205 \h </w:instrText>
        </w:r>
        <w:r w:rsidR="002214B1">
          <w:rPr>
            <w:webHidden/>
          </w:rPr>
        </w:r>
        <w:r w:rsidR="002214B1">
          <w:rPr>
            <w:webHidden/>
          </w:rPr>
          <w:fldChar w:fldCharType="separate"/>
        </w:r>
        <w:r w:rsidR="00734E29">
          <w:rPr>
            <w:webHidden/>
          </w:rPr>
          <w:t>5</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r:id="rId14" w:anchor="_Toc508704206" w:history="1">
        <w:r w:rsidR="002214B1" w:rsidRPr="000160A0">
          <w:rPr>
            <w:rStyle w:val="Hypertextovodkaz"/>
          </w:rPr>
          <w:t>Graf č.: 3 Struktura VPM podle vzdělání</w:t>
        </w:r>
        <w:r w:rsidR="002214B1">
          <w:rPr>
            <w:webHidden/>
          </w:rPr>
          <w:tab/>
        </w:r>
        <w:r w:rsidR="002214B1">
          <w:rPr>
            <w:webHidden/>
          </w:rPr>
          <w:fldChar w:fldCharType="begin"/>
        </w:r>
        <w:r w:rsidR="002214B1">
          <w:rPr>
            <w:webHidden/>
          </w:rPr>
          <w:instrText xml:space="preserve"> PAGEREF _Toc508704206 \h </w:instrText>
        </w:r>
        <w:r w:rsidR="002214B1">
          <w:rPr>
            <w:webHidden/>
          </w:rPr>
        </w:r>
        <w:r w:rsidR="002214B1">
          <w:rPr>
            <w:webHidden/>
          </w:rPr>
          <w:fldChar w:fldCharType="separate"/>
        </w:r>
        <w:r w:rsidR="00734E29">
          <w:rPr>
            <w:webHidden/>
          </w:rPr>
          <w:t>6</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07" w:history="1">
        <w:r w:rsidR="002214B1" w:rsidRPr="000160A0">
          <w:rPr>
            <w:rStyle w:val="Hypertextovodkaz"/>
          </w:rPr>
          <w:t>Graf č.: 4 Podíly VPM podle vzdělání a podle doby neobsazenosti (31. 12. 2017)</w:t>
        </w:r>
        <w:r w:rsidR="002214B1">
          <w:rPr>
            <w:webHidden/>
          </w:rPr>
          <w:tab/>
        </w:r>
        <w:r w:rsidR="002214B1">
          <w:rPr>
            <w:webHidden/>
          </w:rPr>
          <w:fldChar w:fldCharType="begin"/>
        </w:r>
        <w:r w:rsidR="002214B1">
          <w:rPr>
            <w:webHidden/>
          </w:rPr>
          <w:instrText xml:space="preserve"> PAGEREF _Toc508704207 \h </w:instrText>
        </w:r>
        <w:r w:rsidR="002214B1">
          <w:rPr>
            <w:webHidden/>
          </w:rPr>
        </w:r>
        <w:r w:rsidR="002214B1">
          <w:rPr>
            <w:webHidden/>
          </w:rPr>
          <w:fldChar w:fldCharType="separate"/>
        </w:r>
        <w:r w:rsidR="00734E29">
          <w:rPr>
            <w:webHidden/>
          </w:rPr>
          <w:t>7</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08" w:history="1">
        <w:r w:rsidR="002214B1" w:rsidRPr="000160A0">
          <w:rPr>
            <w:rStyle w:val="Hypertextovodkaz"/>
          </w:rPr>
          <w:t>Graf č.: 5 Srovnání krajů z pohledu struktury znevýhodněných UoZ (k 31. 12. 2017)</w:t>
        </w:r>
        <w:r w:rsidR="002214B1">
          <w:rPr>
            <w:webHidden/>
          </w:rPr>
          <w:tab/>
        </w:r>
        <w:r w:rsidR="002214B1">
          <w:rPr>
            <w:webHidden/>
          </w:rPr>
          <w:fldChar w:fldCharType="begin"/>
        </w:r>
        <w:r w:rsidR="002214B1">
          <w:rPr>
            <w:webHidden/>
          </w:rPr>
          <w:instrText xml:space="preserve"> PAGEREF _Toc508704208 \h </w:instrText>
        </w:r>
        <w:r w:rsidR="002214B1">
          <w:rPr>
            <w:webHidden/>
          </w:rPr>
        </w:r>
        <w:r w:rsidR="002214B1">
          <w:rPr>
            <w:webHidden/>
          </w:rPr>
          <w:fldChar w:fldCharType="separate"/>
        </w:r>
        <w:r w:rsidR="00734E29">
          <w:rPr>
            <w:webHidden/>
          </w:rPr>
          <w:t>10</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09" w:history="1">
        <w:r w:rsidR="002214B1" w:rsidRPr="000160A0">
          <w:rPr>
            <w:rStyle w:val="Hypertextovodkaz"/>
          </w:rPr>
          <w:t>Graf č.: 6 Vývoj struktury UoZ podle doby evidence</w:t>
        </w:r>
        <w:r w:rsidR="002214B1">
          <w:rPr>
            <w:webHidden/>
          </w:rPr>
          <w:tab/>
        </w:r>
        <w:r w:rsidR="002214B1">
          <w:rPr>
            <w:webHidden/>
          </w:rPr>
          <w:fldChar w:fldCharType="begin"/>
        </w:r>
        <w:r w:rsidR="002214B1">
          <w:rPr>
            <w:webHidden/>
          </w:rPr>
          <w:instrText xml:space="preserve"> PAGEREF _Toc508704209 \h </w:instrText>
        </w:r>
        <w:r w:rsidR="002214B1">
          <w:rPr>
            <w:webHidden/>
          </w:rPr>
        </w:r>
        <w:r w:rsidR="002214B1">
          <w:rPr>
            <w:webHidden/>
          </w:rPr>
          <w:fldChar w:fldCharType="separate"/>
        </w:r>
        <w:r w:rsidR="00734E29">
          <w:rPr>
            <w:webHidden/>
          </w:rPr>
          <w:t>11</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10" w:history="1">
        <w:r w:rsidR="002214B1" w:rsidRPr="000160A0">
          <w:rPr>
            <w:rStyle w:val="Hypertextovodkaz"/>
          </w:rPr>
          <w:t>Graf č.: 7 Struktura UoZ podle doby evidence v krajích k 31. 12. 2017</w:t>
        </w:r>
        <w:r w:rsidR="002214B1">
          <w:rPr>
            <w:webHidden/>
          </w:rPr>
          <w:tab/>
        </w:r>
        <w:r w:rsidR="002214B1">
          <w:rPr>
            <w:webHidden/>
          </w:rPr>
          <w:fldChar w:fldCharType="begin"/>
        </w:r>
        <w:r w:rsidR="002214B1">
          <w:rPr>
            <w:webHidden/>
          </w:rPr>
          <w:instrText xml:space="preserve"> PAGEREF _Toc508704210 \h </w:instrText>
        </w:r>
        <w:r w:rsidR="002214B1">
          <w:rPr>
            <w:webHidden/>
          </w:rPr>
        </w:r>
        <w:r w:rsidR="002214B1">
          <w:rPr>
            <w:webHidden/>
          </w:rPr>
          <w:fldChar w:fldCharType="separate"/>
        </w:r>
        <w:r w:rsidR="00734E29">
          <w:rPr>
            <w:webHidden/>
          </w:rPr>
          <w:t>11</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11" w:history="1">
        <w:r w:rsidR="002214B1" w:rsidRPr="000160A0">
          <w:rPr>
            <w:rStyle w:val="Hypertextovodkaz"/>
          </w:rPr>
          <w:t>Graf č.: 8 Vzdělanostní struktura UoZ v krajích k 31. 12. 2017</w:t>
        </w:r>
        <w:r w:rsidR="002214B1">
          <w:rPr>
            <w:webHidden/>
          </w:rPr>
          <w:tab/>
        </w:r>
        <w:r w:rsidR="002214B1">
          <w:rPr>
            <w:webHidden/>
          </w:rPr>
          <w:fldChar w:fldCharType="begin"/>
        </w:r>
        <w:r w:rsidR="002214B1">
          <w:rPr>
            <w:webHidden/>
          </w:rPr>
          <w:instrText xml:space="preserve"> PAGEREF _Toc508704211 \h </w:instrText>
        </w:r>
        <w:r w:rsidR="002214B1">
          <w:rPr>
            <w:webHidden/>
          </w:rPr>
        </w:r>
        <w:r w:rsidR="002214B1">
          <w:rPr>
            <w:webHidden/>
          </w:rPr>
          <w:fldChar w:fldCharType="separate"/>
        </w:r>
        <w:r w:rsidR="00734E29">
          <w:rPr>
            <w:webHidden/>
          </w:rPr>
          <w:t>12</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12" w:history="1">
        <w:r w:rsidR="002214B1" w:rsidRPr="000160A0">
          <w:rPr>
            <w:rStyle w:val="Hypertextovodkaz"/>
          </w:rPr>
          <w:t>Graf č.: 9 Počet UoZ a VPM k 31. 12. 2017 a počtu UoZ/VPM k 31. 12. 2017 a 30. 6. 2017 podle vzdělání</w:t>
        </w:r>
        <w:r w:rsidR="002214B1">
          <w:rPr>
            <w:webHidden/>
          </w:rPr>
          <w:tab/>
        </w:r>
        <w:r w:rsidR="002214B1">
          <w:rPr>
            <w:webHidden/>
          </w:rPr>
          <w:fldChar w:fldCharType="begin"/>
        </w:r>
        <w:r w:rsidR="002214B1">
          <w:rPr>
            <w:webHidden/>
          </w:rPr>
          <w:instrText xml:space="preserve"> PAGEREF _Toc508704212 \h </w:instrText>
        </w:r>
        <w:r w:rsidR="002214B1">
          <w:rPr>
            <w:webHidden/>
          </w:rPr>
        </w:r>
        <w:r w:rsidR="002214B1">
          <w:rPr>
            <w:webHidden/>
          </w:rPr>
          <w:fldChar w:fldCharType="separate"/>
        </w:r>
        <w:r w:rsidR="00734E29">
          <w:rPr>
            <w:webHidden/>
          </w:rPr>
          <w:t>13</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13" w:history="1">
        <w:r w:rsidR="002214B1" w:rsidRPr="000160A0">
          <w:rPr>
            <w:rStyle w:val="Hypertextovodkaz"/>
          </w:rPr>
          <w:t>Graf č.: 10 Vývoj počtu a podílu UoZ vykonávajících nekolidující zaměstnání</w:t>
        </w:r>
        <w:r w:rsidR="002214B1">
          <w:rPr>
            <w:webHidden/>
          </w:rPr>
          <w:tab/>
        </w:r>
        <w:r w:rsidR="002214B1">
          <w:rPr>
            <w:webHidden/>
          </w:rPr>
          <w:fldChar w:fldCharType="begin"/>
        </w:r>
        <w:r w:rsidR="002214B1">
          <w:rPr>
            <w:webHidden/>
          </w:rPr>
          <w:instrText xml:space="preserve"> PAGEREF _Toc508704213 \h </w:instrText>
        </w:r>
        <w:r w:rsidR="002214B1">
          <w:rPr>
            <w:webHidden/>
          </w:rPr>
        </w:r>
        <w:r w:rsidR="002214B1">
          <w:rPr>
            <w:webHidden/>
          </w:rPr>
          <w:fldChar w:fldCharType="separate"/>
        </w:r>
        <w:r w:rsidR="00734E29">
          <w:rPr>
            <w:webHidden/>
          </w:rPr>
          <w:t>14</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14" w:history="1">
        <w:r w:rsidR="002214B1" w:rsidRPr="000160A0">
          <w:rPr>
            <w:rStyle w:val="Hypertextovodkaz"/>
          </w:rPr>
          <w:t>Graf č.: 11 Vývoj počtu UoZ a jejich "dosažitelnost"</w:t>
        </w:r>
        <w:r w:rsidR="002214B1">
          <w:rPr>
            <w:webHidden/>
          </w:rPr>
          <w:tab/>
        </w:r>
        <w:r w:rsidR="002214B1">
          <w:rPr>
            <w:webHidden/>
          </w:rPr>
          <w:fldChar w:fldCharType="begin"/>
        </w:r>
        <w:r w:rsidR="002214B1">
          <w:rPr>
            <w:webHidden/>
          </w:rPr>
          <w:instrText xml:space="preserve"> PAGEREF _Toc508704214 \h </w:instrText>
        </w:r>
        <w:r w:rsidR="002214B1">
          <w:rPr>
            <w:webHidden/>
          </w:rPr>
        </w:r>
        <w:r w:rsidR="002214B1">
          <w:rPr>
            <w:webHidden/>
          </w:rPr>
          <w:fldChar w:fldCharType="separate"/>
        </w:r>
        <w:r w:rsidR="00734E29">
          <w:rPr>
            <w:webHidden/>
          </w:rPr>
          <w:t>15</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15" w:history="1">
        <w:r w:rsidR="002214B1" w:rsidRPr="000160A0">
          <w:rPr>
            <w:rStyle w:val="Hypertextovodkaz"/>
          </w:rPr>
          <w:t>Graf č.: 12 Vývoj struktury cizích státních příslušníků evidovaných UP ČR (zaměstnanci) na českém trhu práce</w:t>
        </w:r>
        <w:r w:rsidR="002214B1">
          <w:rPr>
            <w:webHidden/>
          </w:rPr>
          <w:tab/>
        </w:r>
        <w:r w:rsidR="002214B1">
          <w:rPr>
            <w:webHidden/>
          </w:rPr>
          <w:fldChar w:fldCharType="begin"/>
        </w:r>
        <w:r w:rsidR="002214B1">
          <w:rPr>
            <w:webHidden/>
          </w:rPr>
          <w:instrText xml:space="preserve"> PAGEREF _Toc508704215 \h </w:instrText>
        </w:r>
        <w:r w:rsidR="002214B1">
          <w:rPr>
            <w:webHidden/>
          </w:rPr>
        </w:r>
        <w:r w:rsidR="002214B1">
          <w:rPr>
            <w:webHidden/>
          </w:rPr>
          <w:fldChar w:fldCharType="separate"/>
        </w:r>
        <w:r w:rsidR="00734E29">
          <w:rPr>
            <w:webHidden/>
          </w:rPr>
          <w:t>20</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16" w:history="1">
        <w:r w:rsidR="002214B1" w:rsidRPr="000160A0">
          <w:rPr>
            <w:rStyle w:val="Hypertextovodkaz"/>
          </w:rPr>
          <w:t>Graf č.: 13 Vývoj počtu cizích státních příslušníků v postavení zaměstnanců na českém trhu práce</w:t>
        </w:r>
        <w:r w:rsidR="002214B1">
          <w:rPr>
            <w:webHidden/>
          </w:rPr>
          <w:tab/>
        </w:r>
        <w:r w:rsidR="002214B1">
          <w:rPr>
            <w:webHidden/>
          </w:rPr>
          <w:fldChar w:fldCharType="begin"/>
        </w:r>
        <w:r w:rsidR="002214B1">
          <w:rPr>
            <w:webHidden/>
          </w:rPr>
          <w:instrText xml:space="preserve"> PAGEREF _Toc508704216 \h </w:instrText>
        </w:r>
        <w:r w:rsidR="002214B1">
          <w:rPr>
            <w:webHidden/>
          </w:rPr>
        </w:r>
        <w:r w:rsidR="002214B1">
          <w:rPr>
            <w:webHidden/>
          </w:rPr>
          <w:fldChar w:fldCharType="separate"/>
        </w:r>
        <w:r w:rsidR="00734E29">
          <w:rPr>
            <w:webHidden/>
          </w:rPr>
          <w:t>20</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17" w:history="1">
        <w:r w:rsidR="002214B1" w:rsidRPr="000160A0">
          <w:rPr>
            <w:rStyle w:val="Hypertextovodkaz"/>
          </w:rPr>
          <w:t>Graf č.: 14 Podíl VPM hlášených jako vhodných pro cizince podle hl. tříd zaměstnání, porovnání s počtem UoZ/VPM (31. 12. 2017)</w:t>
        </w:r>
        <w:r w:rsidR="002214B1">
          <w:rPr>
            <w:webHidden/>
          </w:rPr>
          <w:tab/>
        </w:r>
        <w:r w:rsidR="002214B1">
          <w:rPr>
            <w:webHidden/>
          </w:rPr>
          <w:fldChar w:fldCharType="begin"/>
        </w:r>
        <w:r w:rsidR="002214B1">
          <w:rPr>
            <w:webHidden/>
          </w:rPr>
          <w:instrText xml:space="preserve"> PAGEREF _Toc508704217 \h </w:instrText>
        </w:r>
        <w:r w:rsidR="002214B1">
          <w:rPr>
            <w:webHidden/>
          </w:rPr>
        </w:r>
        <w:r w:rsidR="002214B1">
          <w:rPr>
            <w:webHidden/>
          </w:rPr>
          <w:fldChar w:fldCharType="separate"/>
        </w:r>
        <w:r w:rsidR="00734E29">
          <w:rPr>
            <w:webHidden/>
          </w:rPr>
          <w:t>22</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18" w:history="1">
        <w:r w:rsidR="002214B1" w:rsidRPr="000160A0">
          <w:rPr>
            <w:rStyle w:val="Hypertextovodkaz"/>
          </w:rPr>
          <w:t>Graf č.: 15 Podíly znevýhodněných UoZ podle délky evidence</w:t>
        </w:r>
        <w:r w:rsidR="002214B1">
          <w:rPr>
            <w:webHidden/>
          </w:rPr>
          <w:tab/>
        </w:r>
        <w:r w:rsidR="002214B1">
          <w:rPr>
            <w:webHidden/>
          </w:rPr>
          <w:fldChar w:fldCharType="begin"/>
        </w:r>
        <w:r w:rsidR="002214B1">
          <w:rPr>
            <w:webHidden/>
          </w:rPr>
          <w:instrText xml:space="preserve"> PAGEREF _Toc508704218 \h </w:instrText>
        </w:r>
        <w:r w:rsidR="002214B1">
          <w:rPr>
            <w:webHidden/>
          </w:rPr>
        </w:r>
        <w:r w:rsidR="002214B1">
          <w:rPr>
            <w:webHidden/>
          </w:rPr>
          <w:fldChar w:fldCharType="separate"/>
        </w:r>
        <w:r w:rsidR="00734E29">
          <w:rPr>
            <w:webHidden/>
          </w:rPr>
          <w:t>29</w:t>
        </w:r>
        <w:r w:rsidR="002214B1">
          <w:rPr>
            <w:webHidden/>
          </w:rPr>
          <w:fldChar w:fldCharType="end"/>
        </w:r>
      </w:hyperlink>
    </w:p>
    <w:p w:rsidR="008D625D" w:rsidRDefault="008D625D" w:rsidP="00CC4B6B">
      <w:pPr>
        <w:pStyle w:val="Seznamobrzk"/>
        <w:spacing w:before="240" w:after="0"/>
        <w:rPr>
          <w:rFonts w:asciiTheme="majorHAnsi" w:hAnsiTheme="majorHAnsi"/>
          <w:b/>
          <w:color w:val="0070C0"/>
          <w:sz w:val="20"/>
          <w:lang w:eastAsia="cs-CZ"/>
        </w:rPr>
      </w:pPr>
      <w:r w:rsidRPr="00EF2D05">
        <w:fldChar w:fldCharType="end"/>
      </w:r>
      <w:r w:rsidRPr="00EF2D05">
        <w:rPr>
          <w:rFonts w:asciiTheme="majorHAnsi" w:hAnsiTheme="majorHAnsi"/>
          <w:b/>
          <w:color w:val="0070C0"/>
          <w:sz w:val="20"/>
          <w:lang w:eastAsia="cs-CZ"/>
        </w:rPr>
        <w:t>Tabulky</w:t>
      </w:r>
    </w:p>
    <w:p w:rsidR="002214B1" w:rsidRDefault="008D625D">
      <w:pPr>
        <w:pStyle w:val="Seznamobrzk"/>
        <w:rPr>
          <w:rFonts w:asciiTheme="minorHAnsi" w:eastAsiaTheme="minorEastAsia" w:hAnsiTheme="minorHAnsi"/>
          <w:sz w:val="22"/>
          <w:szCs w:val="22"/>
          <w:lang w:eastAsia="cs-CZ"/>
        </w:rPr>
      </w:pPr>
      <w:r w:rsidRPr="00EF2D05">
        <w:rPr>
          <w:rFonts w:asciiTheme="majorHAnsi" w:hAnsiTheme="majorHAnsi"/>
          <w:b/>
          <w:color w:val="0070C0"/>
          <w:lang w:eastAsia="cs-CZ"/>
        </w:rPr>
        <w:fldChar w:fldCharType="begin"/>
      </w:r>
      <w:r w:rsidRPr="00EF2D05">
        <w:rPr>
          <w:rFonts w:asciiTheme="majorHAnsi" w:hAnsiTheme="majorHAnsi"/>
          <w:b/>
          <w:color w:val="0070C0"/>
          <w:lang w:eastAsia="cs-CZ"/>
        </w:rPr>
        <w:instrText xml:space="preserve"> TOC \h \z \c "Tabulka" </w:instrText>
      </w:r>
      <w:r w:rsidRPr="00EF2D05">
        <w:rPr>
          <w:rFonts w:asciiTheme="majorHAnsi" w:hAnsiTheme="majorHAnsi"/>
          <w:b/>
          <w:color w:val="0070C0"/>
          <w:lang w:eastAsia="cs-CZ"/>
        </w:rPr>
        <w:fldChar w:fldCharType="separate"/>
      </w:r>
      <w:hyperlink w:anchor="_Toc508704219" w:history="1">
        <w:r w:rsidR="002214B1" w:rsidRPr="0007687A">
          <w:rPr>
            <w:rStyle w:val="Hypertextovodkaz"/>
          </w:rPr>
          <w:t>Tabulka 1 Základní ukazatele nezaměstnanosti k 31. 12. 2017 v krajích ČR</w:t>
        </w:r>
        <w:r w:rsidR="002214B1">
          <w:rPr>
            <w:webHidden/>
          </w:rPr>
          <w:tab/>
        </w:r>
        <w:r w:rsidR="002214B1">
          <w:rPr>
            <w:webHidden/>
          </w:rPr>
          <w:fldChar w:fldCharType="begin"/>
        </w:r>
        <w:r w:rsidR="002214B1">
          <w:rPr>
            <w:webHidden/>
          </w:rPr>
          <w:instrText xml:space="preserve"> PAGEREF _Toc508704219 \h </w:instrText>
        </w:r>
        <w:r w:rsidR="002214B1">
          <w:rPr>
            <w:webHidden/>
          </w:rPr>
        </w:r>
        <w:r w:rsidR="002214B1">
          <w:rPr>
            <w:webHidden/>
          </w:rPr>
          <w:fldChar w:fldCharType="separate"/>
        </w:r>
        <w:r w:rsidR="00734E29">
          <w:rPr>
            <w:webHidden/>
          </w:rPr>
          <w:t>2</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20" w:history="1">
        <w:r w:rsidR="002214B1" w:rsidRPr="0007687A">
          <w:rPr>
            <w:rStyle w:val="Hypertextovodkaz"/>
          </w:rPr>
          <w:t>Tabulka 2 Podíly VPM podle doby neobsazenosti</w:t>
        </w:r>
        <w:r w:rsidR="002214B1">
          <w:rPr>
            <w:webHidden/>
          </w:rPr>
          <w:tab/>
        </w:r>
        <w:r w:rsidR="002214B1">
          <w:rPr>
            <w:webHidden/>
          </w:rPr>
          <w:fldChar w:fldCharType="begin"/>
        </w:r>
        <w:r w:rsidR="002214B1">
          <w:rPr>
            <w:webHidden/>
          </w:rPr>
          <w:instrText xml:space="preserve"> PAGEREF _Toc508704220 \h </w:instrText>
        </w:r>
        <w:r w:rsidR="002214B1">
          <w:rPr>
            <w:webHidden/>
          </w:rPr>
        </w:r>
        <w:r w:rsidR="002214B1">
          <w:rPr>
            <w:webHidden/>
          </w:rPr>
          <w:fldChar w:fldCharType="separate"/>
        </w:r>
        <w:r w:rsidR="00734E29">
          <w:rPr>
            <w:webHidden/>
          </w:rPr>
          <w:t>3</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21" w:history="1">
        <w:r w:rsidR="002214B1" w:rsidRPr="0007687A">
          <w:rPr>
            <w:rStyle w:val="Hypertextovodkaz"/>
          </w:rPr>
          <w:t>Tabulka 3 Vývoj míry pracovních míst ČR, EU28 (v %)</w:t>
        </w:r>
        <w:r w:rsidR="002214B1">
          <w:rPr>
            <w:webHidden/>
          </w:rPr>
          <w:tab/>
        </w:r>
        <w:r w:rsidR="002214B1">
          <w:rPr>
            <w:webHidden/>
          </w:rPr>
          <w:fldChar w:fldCharType="begin"/>
        </w:r>
        <w:r w:rsidR="002214B1">
          <w:rPr>
            <w:webHidden/>
          </w:rPr>
          <w:instrText xml:space="preserve"> PAGEREF _Toc508704221 \h </w:instrText>
        </w:r>
        <w:r w:rsidR="002214B1">
          <w:rPr>
            <w:webHidden/>
          </w:rPr>
        </w:r>
        <w:r w:rsidR="002214B1">
          <w:rPr>
            <w:webHidden/>
          </w:rPr>
          <w:fldChar w:fldCharType="separate"/>
        </w:r>
        <w:r w:rsidR="00734E29">
          <w:rPr>
            <w:webHidden/>
          </w:rPr>
          <w:t>4</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22" w:history="1">
        <w:r w:rsidR="002214B1" w:rsidRPr="0007687A">
          <w:rPr>
            <w:rStyle w:val="Hypertextovodkaz"/>
          </w:rPr>
          <w:t>Tabulka 4 Počty znevýhodněných UoZ v krajích (31. 12. 2017)</w:t>
        </w:r>
        <w:r w:rsidR="002214B1">
          <w:rPr>
            <w:webHidden/>
          </w:rPr>
          <w:tab/>
        </w:r>
        <w:r w:rsidR="002214B1">
          <w:rPr>
            <w:webHidden/>
          </w:rPr>
          <w:fldChar w:fldCharType="begin"/>
        </w:r>
        <w:r w:rsidR="002214B1">
          <w:rPr>
            <w:webHidden/>
          </w:rPr>
          <w:instrText xml:space="preserve"> PAGEREF _Toc508704222 \h </w:instrText>
        </w:r>
        <w:r w:rsidR="002214B1">
          <w:rPr>
            <w:webHidden/>
          </w:rPr>
        </w:r>
        <w:r w:rsidR="002214B1">
          <w:rPr>
            <w:webHidden/>
          </w:rPr>
          <w:fldChar w:fldCharType="separate"/>
        </w:r>
        <w:r w:rsidR="00734E29">
          <w:rPr>
            <w:webHidden/>
          </w:rPr>
          <w:t>9</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23" w:history="1">
        <w:r w:rsidR="002214B1" w:rsidRPr="0007687A">
          <w:rPr>
            <w:rStyle w:val="Hypertextovodkaz"/>
          </w:rPr>
          <w:t>Tabulka 5 Podíly znevýhodněných UoZ na celkovém počtu UoZ v krajích (31. 12. 2017)</w:t>
        </w:r>
        <w:r w:rsidR="002214B1">
          <w:rPr>
            <w:webHidden/>
          </w:rPr>
          <w:tab/>
        </w:r>
        <w:r w:rsidR="002214B1">
          <w:rPr>
            <w:webHidden/>
          </w:rPr>
          <w:fldChar w:fldCharType="begin"/>
        </w:r>
        <w:r w:rsidR="002214B1">
          <w:rPr>
            <w:webHidden/>
          </w:rPr>
          <w:instrText xml:space="preserve"> PAGEREF _Toc508704223 \h </w:instrText>
        </w:r>
        <w:r w:rsidR="002214B1">
          <w:rPr>
            <w:webHidden/>
          </w:rPr>
        </w:r>
        <w:r w:rsidR="002214B1">
          <w:rPr>
            <w:webHidden/>
          </w:rPr>
          <w:fldChar w:fldCharType="separate"/>
        </w:r>
        <w:r w:rsidR="00734E29">
          <w:rPr>
            <w:webHidden/>
          </w:rPr>
          <w:t>9</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24" w:history="1">
        <w:r w:rsidR="002214B1" w:rsidRPr="0007687A">
          <w:rPr>
            <w:rStyle w:val="Hypertextovodkaz"/>
          </w:rPr>
          <w:t>Tabulka 6 Počty a podíly UoZ vykonávajících nekolidující zaměstnání podle krajů</w:t>
        </w:r>
        <w:r w:rsidR="002214B1">
          <w:rPr>
            <w:webHidden/>
          </w:rPr>
          <w:tab/>
        </w:r>
        <w:r w:rsidR="002214B1">
          <w:rPr>
            <w:webHidden/>
          </w:rPr>
          <w:fldChar w:fldCharType="begin"/>
        </w:r>
        <w:r w:rsidR="002214B1">
          <w:rPr>
            <w:webHidden/>
          </w:rPr>
          <w:instrText xml:space="preserve"> PAGEREF _Toc508704224 \h </w:instrText>
        </w:r>
        <w:r w:rsidR="002214B1">
          <w:rPr>
            <w:webHidden/>
          </w:rPr>
        </w:r>
        <w:r w:rsidR="002214B1">
          <w:rPr>
            <w:webHidden/>
          </w:rPr>
          <w:fldChar w:fldCharType="separate"/>
        </w:r>
        <w:r w:rsidR="00734E29">
          <w:rPr>
            <w:webHidden/>
          </w:rPr>
          <w:t>15</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25" w:history="1">
        <w:r w:rsidR="002214B1" w:rsidRPr="0007687A">
          <w:rPr>
            <w:rStyle w:val="Hypertextovodkaz"/>
          </w:rPr>
          <w:t>Tabulka 7 Počet UoZ/VPM podle hl. tříd zaměstnání</w:t>
        </w:r>
        <w:r w:rsidR="002214B1">
          <w:rPr>
            <w:webHidden/>
          </w:rPr>
          <w:tab/>
        </w:r>
        <w:r w:rsidR="002214B1">
          <w:rPr>
            <w:webHidden/>
          </w:rPr>
          <w:fldChar w:fldCharType="begin"/>
        </w:r>
        <w:r w:rsidR="002214B1">
          <w:rPr>
            <w:webHidden/>
          </w:rPr>
          <w:instrText xml:space="preserve"> PAGEREF _Toc508704225 \h </w:instrText>
        </w:r>
        <w:r w:rsidR="002214B1">
          <w:rPr>
            <w:webHidden/>
          </w:rPr>
        </w:r>
        <w:r w:rsidR="002214B1">
          <w:rPr>
            <w:webHidden/>
          </w:rPr>
          <w:fldChar w:fldCharType="separate"/>
        </w:r>
        <w:r w:rsidR="00734E29">
          <w:rPr>
            <w:webHidden/>
          </w:rPr>
          <w:t>16</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26" w:history="1">
        <w:r w:rsidR="002214B1" w:rsidRPr="0007687A">
          <w:rPr>
            <w:rStyle w:val="Hypertextovodkaz"/>
          </w:rPr>
          <w:t>Tabulka 8 Nejčastěji poptávaná zaměstnání podle podskupin klasifikace CZ-ISCO k 31. 12. 2017</w:t>
        </w:r>
        <w:r w:rsidR="002214B1">
          <w:rPr>
            <w:webHidden/>
          </w:rPr>
          <w:tab/>
        </w:r>
        <w:r w:rsidR="002214B1">
          <w:rPr>
            <w:webHidden/>
          </w:rPr>
          <w:fldChar w:fldCharType="begin"/>
        </w:r>
        <w:r w:rsidR="002214B1">
          <w:rPr>
            <w:webHidden/>
          </w:rPr>
          <w:instrText xml:space="preserve"> PAGEREF _Toc508704226 \h </w:instrText>
        </w:r>
        <w:r w:rsidR="002214B1">
          <w:rPr>
            <w:webHidden/>
          </w:rPr>
        </w:r>
        <w:r w:rsidR="002214B1">
          <w:rPr>
            <w:webHidden/>
          </w:rPr>
          <w:fldChar w:fldCharType="separate"/>
        </w:r>
        <w:r w:rsidR="00734E29">
          <w:rPr>
            <w:webHidden/>
          </w:rPr>
          <w:t>17</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27" w:history="1">
        <w:r w:rsidR="002214B1" w:rsidRPr="0007687A">
          <w:rPr>
            <w:rStyle w:val="Hypertextovodkaz"/>
          </w:rPr>
          <w:t>Tabulka 9 Nejčastěji zastoupené podskupiny klasifikace CZ-ISCO mezi UoZ k 31. 12. 2017</w:t>
        </w:r>
        <w:r w:rsidR="002214B1">
          <w:rPr>
            <w:webHidden/>
          </w:rPr>
          <w:tab/>
        </w:r>
        <w:r w:rsidR="002214B1">
          <w:rPr>
            <w:webHidden/>
          </w:rPr>
          <w:fldChar w:fldCharType="begin"/>
        </w:r>
        <w:r w:rsidR="002214B1">
          <w:rPr>
            <w:webHidden/>
          </w:rPr>
          <w:instrText xml:space="preserve"> PAGEREF _Toc508704227 \h </w:instrText>
        </w:r>
        <w:r w:rsidR="002214B1">
          <w:rPr>
            <w:webHidden/>
          </w:rPr>
        </w:r>
        <w:r w:rsidR="002214B1">
          <w:rPr>
            <w:webHidden/>
          </w:rPr>
          <w:fldChar w:fldCharType="separate"/>
        </w:r>
        <w:r w:rsidR="00734E29">
          <w:rPr>
            <w:webHidden/>
          </w:rPr>
          <w:t>18</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28" w:history="1">
        <w:r w:rsidR="002214B1" w:rsidRPr="0007687A">
          <w:rPr>
            <w:rStyle w:val="Hypertextovodkaz"/>
          </w:rPr>
          <w:t>Tabulka 10 VPM pro cizince (k 31. 12. 2017)</w:t>
        </w:r>
        <w:r w:rsidR="002214B1">
          <w:rPr>
            <w:webHidden/>
          </w:rPr>
          <w:tab/>
        </w:r>
        <w:r w:rsidR="002214B1">
          <w:rPr>
            <w:webHidden/>
          </w:rPr>
          <w:fldChar w:fldCharType="begin"/>
        </w:r>
        <w:r w:rsidR="002214B1">
          <w:rPr>
            <w:webHidden/>
          </w:rPr>
          <w:instrText xml:space="preserve"> PAGEREF _Toc508704228 \h </w:instrText>
        </w:r>
        <w:r w:rsidR="002214B1">
          <w:rPr>
            <w:webHidden/>
          </w:rPr>
        </w:r>
        <w:r w:rsidR="002214B1">
          <w:rPr>
            <w:webHidden/>
          </w:rPr>
          <w:fldChar w:fldCharType="separate"/>
        </w:r>
        <w:r w:rsidR="00734E29">
          <w:rPr>
            <w:webHidden/>
          </w:rPr>
          <w:t>21</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29" w:history="1">
        <w:r w:rsidR="002214B1" w:rsidRPr="0007687A">
          <w:rPr>
            <w:rStyle w:val="Hypertextovodkaz"/>
          </w:rPr>
          <w:t>Tabulka 12 Meziroční srovnání dlouhodobé nezaměstnanosti</w:t>
        </w:r>
        <w:r w:rsidR="002214B1">
          <w:rPr>
            <w:webHidden/>
          </w:rPr>
          <w:tab/>
        </w:r>
        <w:r w:rsidR="002214B1">
          <w:rPr>
            <w:webHidden/>
          </w:rPr>
          <w:fldChar w:fldCharType="begin"/>
        </w:r>
        <w:r w:rsidR="002214B1">
          <w:rPr>
            <w:webHidden/>
          </w:rPr>
          <w:instrText xml:space="preserve"> PAGEREF _Toc508704229 \h </w:instrText>
        </w:r>
        <w:r w:rsidR="002214B1">
          <w:rPr>
            <w:webHidden/>
          </w:rPr>
        </w:r>
        <w:r w:rsidR="002214B1">
          <w:rPr>
            <w:webHidden/>
          </w:rPr>
          <w:fldChar w:fldCharType="separate"/>
        </w:r>
        <w:r w:rsidR="00734E29">
          <w:rPr>
            <w:webHidden/>
          </w:rPr>
          <w:t>24</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30" w:history="1">
        <w:r w:rsidR="002214B1" w:rsidRPr="0007687A">
          <w:rPr>
            <w:rStyle w:val="Hypertextovodkaz"/>
          </w:rPr>
          <w:t>Tabulka 13Struktura UoZ s evidencí delší 12m (leden 2018, počty)</w:t>
        </w:r>
        <w:r w:rsidR="002214B1">
          <w:rPr>
            <w:webHidden/>
          </w:rPr>
          <w:tab/>
        </w:r>
        <w:r w:rsidR="002214B1">
          <w:rPr>
            <w:webHidden/>
          </w:rPr>
          <w:fldChar w:fldCharType="begin"/>
        </w:r>
        <w:r w:rsidR="002214B1">
          <w:rPr>
            <w:webHidden/>
          </w:rPr>
          <w:instrText xml:space="preserve"> PAGEREF _Toc508704230 \h </w:instrText>
        </w:r>
        <w:r w:rsidR="002214B1">
          <w:rPr>
            <w:webHidden/>
          </w:rPr>
        </w:r>
        <w:r w:rsidR="002214B1">
          <w:rPr>
            <w:webHidden/>
          </w:rPr>
          <w:fldChar w:fldCharType="separate"/>
        </w:r>
        <w:r w:rsidR="00734E29">
          <w:rPr>
            <w:webHidden/>
          </w:rPr>
          <w:t>25</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31" w:history="1">
        <w:r w:rsidR="002214B1" w:rsidRPr="0007687A">
          <w:rPr>
            <w:rStyle w:val="Hypertextovodkaz"/>
          </w:rPr>
          <w:t>Tabulka 14 Struktura UoZ s evidencí delší 12m (leden 2018, podíly)</w:t>
        </w:r>
        <w:r w:rsidR="002214B1">
          <w:rPr>
            <w:webHidden/>
          </w:rPr>
          <w:tab/>
        </w:r>
        <w:r w:rsidR="002214B1">
          <w:rPr>
            <w:webHidden/>
          </w:rPr>
          <w:fldChar w:fldCharType="begin"/>
        </w:r>
        <w:r w:rsidR="002214B1">
          <w:rPr>
            <w:webHidden/>
          </w:rPr>
          <w:instrText xml:space="preserve"> PAGEREF _Toc508704231 \h </w:instrText>
        </w:r>
        <w:r w:rsidR="002214B1">
          <w:rPr>
            <w:webHidden/>
          </w:rPr>
        </w:r>
        <w:r w:rsidR="002214B1">
          <w:rPr>
            <w:webHidden/>
          </w:rPr>
          <w:fldChar w:fldCharType="separate"/>
        </w:r>
        <w:r w:rsidR="00734E29">
          <w:rPr>
            <w:webHidden/>
          </w:rPr>
          <w:t>25</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32" w:history="1">
        <w:r w:rsidR="002214B1" w:rsidRPr="0007687A">
          <w:rPr>
            <w:rStyle w:val="Hypertextovodkaz"/>
          </w:rPr>
          <w:t>Tabulka 15 Struktura UoZ s evidencí delší 24m (leden 2018, počty)</w:t>
        </w:r>
        <w:r w:rsidR="002214B1">
          <w:rPr>
            <w:webHidden/>
          </w:rPr>
          <w:tab/>
        </w:r>
        <w:r w:rsidR="002214B1">
          <w:rPr>
            <w:webHidden/>
          </w:rPr>
          <w:fldChar w:fldCharType="begin"/>
        </w:r>
        <w:r w:rsidR="002214B1">
          <w:rPr>
            <w:webHidden/>
          </w:rPr>
          <w:instrText xml:space="preserve"> PAGEREF _Toc508704232 \h </w:instrText>
        </w:r>
        <w:r w:rsidR="002214B1">
          <w:rPr>
            <w:webHidden/>
          </w:rPr>
        </w:r>
        <w:r w:rsidR="002214B1">
          <w:rPr>
            <w:webHidden/>
          </w:rPr>
          <w:fldChar w:fldCharType="separate"/>
        </w:r>
        <w:r w:rsidR="00734E29">
          <w:rPr>
            <w:webHidden/>
          </w:rPr>
          <w:t>26</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33" w:history="1">
        <w:r w:rsidR="002214B1" w:rsidRPr="0007687A">
          <w:rPr>
            <w:rStyle w:val="Hypertextovodkaz"/>
          </w:rPr>
          <w:t>Tabulka 16 Struktura UoZ s evidencí delší 24m (leden 2018, podíly)</w:t>
        </w:r>
        <w:r w:rsidR="002214B1">
          <w:rPr>
            <w:webHidden/>
          </w:rPr>
          <w:tab/>
        </w:r>
        <w:r w:rsidR="002214B1">
          <w:rPr>
            <w:webHidden/>
          </w:rPr>
          <w:fldChar w:fldCharType="begin"/>
        </w:r>
        <w:r w:rsidR="002214B1">
          <w:rPr>
            <w:webHidden/>
          </w:rPr>
          <w:instrText xml:space="preserve"> PAGEREF _Toc508704233 \h </w:instrText>
        </w:r>
        <w:r w:rsidR="002214B1">
          <w:rPr>
            <w:webHidden/>
          </w:rPr>
        </w:r>
        <w:r w:rsidR="002214B1">
          <w:rPr>
            <w:webHidden/>
          </w:rPr>
          <w:fldChar w:fldCharType="separate"/>
        </w:r>
        <w:r w:rsidR="00734E29">
          <w:rPr>
            <w:webHidden/>
          </w:rPr>
          <w:t>26</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34" w:history="1">
        <w:r w:rsidR="002214B1" w:rsidRPr="0007687A">
          <w:rPr>
            <w:rStyle w:val="Hypertextovodkaz"/>
          </w:rPr>
          <w:t>Tabulka 17 UoZ pobírající dávky HMN (31. 12. 2017)</w:t>
        </w:r>
        <w:r w:rsidR="002214B1">
          <w:rPr>
            <w:webHidden/>
          </w:rPr>
          <w:tab/>
        </w:r>
        <w:r w:rsidR="002214B1">
          <w:rPr>
            <w:webHidden/>
          </w:rPr>
          <w:fldChar w:fldCharType="begin"/>
        </w:r>
        <w:r w:rsidR="002214B1">
          <w:rPr>
            <w:webHidden/>
          </w:rPr>
          <w:instrText xml:space="preserve"> PAGEREF _Toc508704234 \h </w:instrText>
        </w:r>
        <w:r w:rsidR="002214B1">
          <w:rPr>
            <w:webHidden/>
          </w:rPr>
        </w:r>
        <w:r w:rsidR="002214B1">
          <w:rPr>
            <w:webHidden/>
          </w:rPr>
          <w:fldChar w:fldCharType="separate"/>
        </w:r>
        <w:r w:rsidR="00734E29">
          <w:rPr>
            <w:webHidden/>
          </w:rPr>
          <w:t>27</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35" w:history="1">
        <w:r w:rsidR="002214B1" w:rsidRPr="0007687A">
          <w:rPr>
            <w:rStyle w:val="Hypertextovodkaz"/>
          </w:rPr>
          <w:t>Tabulka 18 Náklady veřejných rozpočtů na UoZ</w:t>
        </w:r>
        <w:r w:rsidR="002214B1">
          <w:rPr>
            <w:webHidden/>
          </w:rPr>
          <w:tab/>
        </w:r>
        <w:r w:rsidR="002214B1">
          <w:rPr>
            <w:webHidden/>
          </w:rPr>
          <w:fldChar w:fldCharType="begin"/>
        </w:r>
        <w:r w:rsidR="002214B1">
          <w:rPr>
            <w:webHidden/>
          </w:rPr>
          <w:instrText xml:space="preserve"> PAGEREF _Toc508704235 \h </w:instrText>
        </w:r>
        <w:r w:rsidR="002214B1">
          <w:rPr>
            <w:webHidden/>
          </w:rPr>
        </w:r>
        <w:r w:rsidR="002214B1">
          <w:rPr>
            <w:webHidden/>
          </w:rPr>
          <w:fldChar w:fldCharType="separate"/>
        </w:r>
        <w:r w:rsidR="00734E29">
          <w:rPr>
            <w:webHidden/>
          </w:rPr>
          <w:t>27</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36" w:history="1">
        <w:r w:rsidR="002214B1" w:rsidRPr="0007687A">
          <w:rPr>
            <w:rStyle w:val="Hypertextovodkaz"/>
          </w:rPr>
          <w:t>Tabulka 19 Modelový výpočet dopadů dlouhodobě nezaměstnaného na veřejné rozpočty</w:t>
        </w:r>
        <w:r w:rsidR="002214B1">
          <w:rPr>
            <w:webHidden/>
          </w:rPr>
          <w:tab/>
        </w:r>
        <w:r w:rsidR="002214B1">
          <w:rPr>
            <w:webHidden/>
          </w:rPr>
          <w:fldChar w:fldCharType="begin"/>
        </w:r>
        <w:r w:rsidR="002214B1">
          <w:rPr>
            <w:webHidden/>
          </w:rPr>
          <w:instrText xml:space="preserve"> PAGEREF _Toc508704236 \h </w:instrText>
        </w:r>
        <w:r w:rsidR="002214B1">
          <w:rPr>
            <w:webHidden/>
          </w:rPr>
        </w:r>
        <w:r w:rsidR="002214B1">
          <w:rPr>
            <w:webHidden/>
          </w:rPr>
          <w:fldChar w:fldCharType="separate"/>
        </w:r>
        <w:r w:rsidR="00734E29">
          <w:rPr>
            <w:webHidden/>
          </w:rPr>
          <w:t>28</w:t>
        </w:r>
        <w:r w:rsidR="002214B1">
          <w:rPr>
            <w:webHidden/>
          </w:rPr>
          <w:fldChar w:fldCharType="end"/>
        </w:r>
      </w:hyperlink>
    </w:p>
    <w:p w:rsidR="002214B1" w:rsidRDefault="007B53ED">
      <w:pPr>
        <w:pStyle w:val="Seznamobrzk"/>
        <w:rPr>
          <w:rFonts w:asciiTheme="minorHAnsi" w:eastAsiaTheme="minorEastAsia" w:hAnsiTheme="minorHAnsi"/>
          <w:sz w:val="22"/>
          <w:szCs w:val="22"/>
          <w:lang w:eastAsia="cs-CZ"/>
        </w:rPr>
      </w:pPr>
      <w:hyperlink w:anchor="_Toc508704237" w:history="1">
        <w:r w:rsidR="002214B1" w:rsidRPr="0007687A">
          <w:rPr>
            <w:rStyle w:val="Hypertextovodkaz"/>
          </w:rPr>
          <w:t>Tabulka 20 Podíly znevýhodněných UoZ podle délky evidence</w:t>
        </w:r>
        <w:r w:rsidR="002214B1">
          <w:rPr>
            <w:webHidden/>
          </w:rPr>
          <w:tab/>
        </w:r>
        <w:r w:rsidR="002214B1">
          <w:rPr>
            <w:webHidden/>
          </w:rPr>
          <w:fldChar w:fldCharType="begin"/>
        </w:r>
        <w:r w:rsidR="002214B1">
          <w:rPr>
            <w:webHidden/>
          </w:rPr>
          <w:instrText xml:space="preserve"> PAGEREF _Toc508704237 \h </w:instrText>
        </w:r>
        <w:r w:rsidR="002214B1">
          <w:rPr>
            <w:webHidden/>
          </w:rPr>
        </w:r>
        <w:r w:rsidR="002214B1">
          <w:rPr>
            <w:webHidden/>
          </w:rPr>
          <w:fldChar w:fldCharType="separate"/>
        </w:r>
        <w:r w:rsidR="00734E29">
          <w:rPr>
            <w:webHidden/>
          </w:rPr>
          <w:t>29</w:t>
        </w:r>
        <w:r w:rsidR="002214B1">
          <w:rPr>
            <w:webHidden/>
          </w:rPr>
          <w:fldChar w:fldCharType="end"/>
        </w:r>
      </w:hyperlink>
    </w:p>
    <w:p w:rsidR="00CC4B6B" w:rsidRDefault="008D625D" w:rsidP="00D261D2">
      <w:pPr>
        <w:spacing w:after="0"/>
        <w:jc w:val="left"/>
        <w:rPr>
          <w:sz w:val="16"/>
          <w:szCs w:val="16"/>
        </w:rPr>
      </w:pPr>
      <w:r w:rsidRPr="00EF2D05">
        <w:rPr>
          <w:sz w:val="16"/>
          <w:szCs w:val="16"/>
        </w:rPr>
        <w:fldChar w:fldCharType="end"/>
      </w:r>
    </w:p>
    <w:p w:rsidR="00CC4B6B" w:rsidRDefault="00CC4B6B">
      <w:pPr>
        <w:spacing w:before="0" w:after="200" w:line="276" w:lineRule="auto"/>
        <w:jc w:val="left"/>
        <w:rPr>
          <w:sz w:val="16"/>
          <w:szCs w:val="16"/>
        </w:rPr>
      </w:pPr>
      <w:r>
        <w:rPr>
          <w:sz w:val="16"/>
          <w:szCs w:val="16"/>
        </w:rPr>
        <w:br w:type="page"/>
      </w:r>
    </w:p>
    <w:p w:rsidR="008D625D" w:rsidRDefault="008D625D" w:rsidP="00D261D2">
      <w:pPr>
        <w:spacing w:after="0"/>
        <w:jc w:val="left"/>
        <w:rPr>
          <w:rFonts w:asciiTheme="majorHAnsi" w:hAnsiTheme="majorHAnsi"/>
          <w:b/>
          <w:color w:val="0070C0"/>
          <w:sz w:val="20"/>
          <w:lang w:eastAsia="cs-CZ"/>
        </w:rPr>
      </w:pPr>
      <w:r w:rsidRPr="00484D3B">
        <w:rPr>
          <w:rFonts w:asciiTheme="majorHAnsi" w:hAnsiTheme="majorHAnsi"/>
          <w:b/>
          <w:color w:val="0070C0"/>
          <w:sz w:val="20"/>
          <w:lang w:eastAsia="cs-CZ"/>
        </w:rPr>
        <w:lastRenderedPageBreak/>
        <w:t>Zkratky</w:t>
      </w:r>
    </w:p>
    <w:tbl>
      <w:tblPr>
        <w:tblStyle w:val="Mkatabulky"/>
        <w:tblW w:w="963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8215"/>
      </w:tblGrid>
      <w:tr w:rsidR="008D625D" w:rsidTr="00F65844">
        <w:trPr>
          <w:trHeight w:val="241"/>
        </w:trPr>
        <w:tc>
          <w:tcPr>
            <w:tcW w:w="1424" w:type="dxa"/>
            <w:vAlign w:val="center"/>
          </w:tcPr>
          <w:p w:rsidR="008D625D" w:rsidRPr="00E17CFD" w:rsidRDefault="008D625D" w:rsidP="00CC4B6B">
            <w:pPr>
              <w:spacing w:before="0" w:after="0"/>
              <w:ind w:left="-43"/>
              <w:jc w:val="right"/>
              <w:rPr>
                <w:sz w:val="16"/>
                <w:szCs w:val="16"/>
              </w:rPr>
            </w:pPr>
            <w:r>
              <w:rPr>
                <w:sz w:val="16"/>
                <w:szCs w:val="16"/>
              </w:rPr>
              <w:t>APZ</w:t>
            </w:r>
          </w:p>
        </w:tc>
        <w:tc>
          <w:tcPr>
            <w:tcW w:w="8215" w:type="dxa"/>
            <w:vAlign w:val="center"/>
          </w:tcPr>
          <w:p w:rsidR="008D625D" w:rsidRPr="00E17CFD" w:rsidRDefault="008D625D" w:rsidP="00CC4B6B">
            <w:pPr>
              <w:spacing w:before="0" w:after="0"/>
              <w:ind w:left="34"/>
              <w:jc w:val="left"/>
              <w:rPr>
                <w:sz w:val="16"/>
                <w:szCs w:val="16"/>
              </w:rPr>
            </w:pPr>
            <w:r>
              <w:rPr>
                <w:sz w:val="16"/>
                <w:szCs w:val="16"/>
              </w:rPr>
              <w:t>Aktivní politika zaměstnanosti</w:t>
            </w:r>
          </w:p>
        </w:tc>
      </w:tr>
      <w:tr w:rsidR="008D625D" w:rsidTr="00F65844">
        <w:trPr>
          <w:trHeight w:val="224"/>
        </w:trPr>
        <w:tc>
          <w:tcPr>
            <w:tcW w:w="1424" w:type="dxa"/>
            <w:vAlign w:val="center"/>
          </w:tcPr>
          <w:p w:rsidR="008D625D" w:rsidRDefault="008D625D" w:rsidP="00CC4B6B">
            <w:pPr>
              <w:spacing w:before="0" w:after="0"/>
              <w:ind w:left="-43"/>
              <w:jc w:val="right"/>
              <w:rPr>
                <w:sz w:val="16"/>
              </w:rPr>
            </w:pPr>
            <w:r>
              <w:rPr>
                <w:sz w:val="16"/>
              </w:rPr>
              <w:t>ČSÚ</w:t>
            </w:r>
          </w:p>
        </w:tc>
        <w:tc>
          <w:tcPr>
            <w:tcW w:w="8215" w:type="dxa"/>
            <w:vAlign w:val="center"/>
          </w:tcPr>
          <w:p w:rsidR="008D625D" w:rsidRDefault="008D625D" w:rsidP="00CC4B6B">
            <w:pPr>
              <w:spacing w:before="0" w:after="0"/>
              <w:ind w:left="34"/>
              <w:jc w:val="left"/>
              <w:rPr>
                <w:sz w:val="16"/>
              </w:rPr>
            </w:pPr>
            <w:r>
              <w:rPr>
                <w:sz w:val="16"/>
              </w:rPr>
              <w:t>Český statistický úřad</w:t>
            </w:r>
          </w:p>
        </w:tc>
      </w:tr>
      <w:tr w:rsidR="00F65844" w:rsidTr="00F65844">
        <w:trPr>
          <w:trHeight w:val="241"/>
        </w:trPr>
        <w:tc>
          <w:tcPr>
            <w:tcW w:w="1424" w:type="dxa"/>
            <w:vAlign w:val="center"/>
          </w:tcPr>
          <w:p w:rsidR="00F65844" w:rsidRDefault="00F65844" w:rsidP="009524F7">
            <w:pPr>
              <w:spacing w:before="0" w:after="0"/>
              <w:ind w:left="-43"/>
              <w:jc w:val="right"/>
              <w:rPr>
                <w:sz w:val="16"/>
                <w:szCs w:val="16"/>
              </w:rPr>
            </w:pPr>
            <w:r>
              <w:rPr>
                <w:sz w:val="16"/>
                <w:szCs w:val="16"/>
              </w:rPr>
              <w:t>ČR</w:t>
            </w:r>
          </w:p>
        </w:tc>
        <w:tc>
          <w:tcPr>
            <w:tcW w:w="8215" w:type="dxa"/>
            <w:vAlign w:val="center"/>
          </w:tcPr>
          <w:p w:rsidR="00F65844" w:rsidRDefault="00F65844" w:rsidP="009524F7">
            <w:pPr>
              <w:spacing w:before="0" w:after="0"/>
              <w:ind w:left="34"/>
              <w:jc w:val="left"/>
              <w:rPr>
                <w:sz w:val="16"/>
                <w:szCs w:val="16"/>
              </w:rPr>
            </w:pPr>
            <w:r>
              <w:rPr>
                <w:sz w:val="16"/>
                <w:szCs w:val="16"/>
              </w:rPr>
              <w:t>Česká republika</w:t>
            </w:r>
          </w:p>
        </w:tc>
      </w:tr>
      <w:tr w:rsidR="00F65844" w:rsidTr="00F65844">
        <w:trPr>
          <w:trHeight w:val="156"/>
        </w:trPr>
        <w:tc>
          <w:tcPr>
            <w:tcW w:w="1424" w:type="dxa"/>
            <w:vAlign w:val="center"/>
          </w:tcPr>
          <w:p w:rsidR="00F65844" w:rsidRDefault="00F65844" w:rsidP="009524F7">
            <w:pPr>
              <w:spacing w:before="0" w:after="0"/>
              <w:ind w:left="-43"/>
              <w:jc w:val="right"/>
              <w:rPr>
                <w:sz w:val="16"/>
                <w:szCs w:val="16"/>
              </w:rPr>
            </w:pPr>
            <w:r>
              <w:rPr>
                <w:sz w:val="16"/>
                <w:szCs w:val="16"/>
              </w:rPr>
              <w:t>EU</w:t>
            </w:r>
          </w:p>
        </w:tc>
        <w:tc>
          <w:tcPr>
            <w:tcW w:w="8215" w:type="dxa"/>
            <w:vAlign w:val="center"/>
          </w:tcPr>
          <w:p w:rsidR="00F65844" w:rsidRDefault="00F65844" w:rsidP="009524F7">
            <w:pPr>
              <w:spacing w:before="0" w:after="0"/>
              <w:ind w:left="34"/>
              <w:jc w:val="left"/>
              <w:rPr>
                <w:sz w:val="16"/>
                <w:szCs w:val="16"/>
              </w:rPr>
            </w:pPr>
            <w:r>
              <w:rPr>
                <w:sz w:val="16"/>
                <w:szCs w:val="16"/>
              </w:rPr>
              <w:t>Evropská unie</w:t>
            </w:r>
          </w:p>
        </w:tc>
      </w:tr>
      <w:tr w:rsidR="00F65844" w:rsidTr="00F65844">
        <w:trPr>
          <w:trHeight w:val="241"/>
        </w:trPr>
        <w:tc>
          <w:tcPr>
            <w:tcW w:w="1424" w:type="dxa"/>
            <w:vAlign w:val="center"/>
          </w:tcPr>
          <w:p w:rsidR="00F65844" w:rsidRPr="00E17CFD" w:rsidRDefault="00F65844" w:rsidP="009524F7">
            <w:pPr>
              <w:spacing w:before="0" w:after="0"/>
              <w:ind w:left="-43"/>
              <w:jc w:val="right"/>
              <w:rPr>
                <w:sz w:val="16"/>
                <w:szCs w:val="16"/>
              </w:rPr>
            </w:pPr>
            <w:r>
              <w:rPr>
                <w:sz w:val="16"/>
                <w:szCs w:val="16"/>
              </w:rPr>
              <w:t>FDV</w:t>
            </w:r>
          </w:p>
        </w:tc>
        <w:tc>
          <w:tcPr>
            <w:tcW w:w="8215" w:type="dxa"/>
            <w:vAlign w:val="center"/>
          </w:tcPr>
          <w:p w:rsidR="00F65844" w:rsidRPr="00E17CFD" w:rsidRDefault="00F65844" w:rsidP="009524F7">
            <w:pPr>
              <w:spacing w:before="0" w:after="0"/>
              <w:ind w:left="34"/>
              <w:jc w:val="left"/>
              <w:rPr>
                <w:sz w:val="16"/>
                <w:szCs w:val="16"/>
              </w:rPr>
            </w:pPr>
            <w:r>
              <w:rPr>
                <w:sz w:val="16"/>
                <w:szCs w:val="16"/>
              </w:rPr>
              <w:t>Fond dalšího vzdělávání</w:t>
            </w:r>
          </w:p>
        </w:tc>
      </w:tr>
      <w:tr w:rsidR="00F65844" w:rsidTr="00F65844">
        <w:trPr>
          <w:trHeight w:val="241"/>
        </w:trPr>
        <w:tc>
          <w:tcPr>
            <w:tcW w:w="1424" w:type="dxa"/>
            <w:vAlign w:val="center"/>
          </w:tcPr>
          <w:p w:rsidR="00F65844" w:rsidRPr="00E17CFD" w:rsidRDefault="00F65844" w:rsidP="009524F7">
            <w:pPr>
              <w:spacing w:before="0" w:after="0"/>
              <w:ind w:left="-43"/>
              <w:jc w:val="right"/>
              <w:rPr>
                <w:sz w:val="16"/>
                <w:szCs w:val="16"/>
              </w:rPr>
            </w:pPr>
            <w:r>
              <w:rPr>
                <w:sz w:val="16"/>
                <w:szCs w:val="16"/>
              </w:rPr>
              <w:t>GPG</w:t>
            </w:r>
          </w:p>
        </w:tc>
        <w:tc>
          <w:tcPr>
            <w:tcW w:w="8215" w:type="dxa"/>
            <w:vAlign w:val="center"/>
          </w:tcPr>
          <w:p w:rsidR="00F65844" w:rsidRPr="00E17CFD" w:rsidRDefault="00F65844" w:rsidP="009524F7">
            <w:pPr>
              <w:spacing w:before="0" w:after="0"/>
              <w:ind w:left="34"/>
              <w:jc w:val="left"/>
              <w:rPr>
                <w:sz w:val="16"/>
                <w:szCs w:val="16"/>
              </w:rPr>
            </w:pPr>
            <w:r>
              <w:rPr>
                <w:sz w:val="16"/>
                <w:szCs w:val="16"/>
              </w:rPr>
              <w:t xml:space="preserve">Gender </w:t>
            </w:r>
            <w:proofErr w:type="spellStart"/>
            <w:r>
              <w:rPr>
                <w:sz w:val="16"/>
                <w:szCs w:val="16"/>
              </w:rPr>
              <w:t>pay</w:t>
            </w:r>
            <w:proofErr w:type="spellEnd"/>
            <w:r>
              <w:rPr>
                <w:sz w:val="16"/>
                <w:szCs w:val="16"/>
              </w:rPr>
              <w:t xml:space="preserve"> gap</w:t>
            </w:r>
          </w:p>
        </w:tc>
      </w:tr>
      <w:tr w:rsidR="00F65844" w:rsidTr="00F65844">
        <w:trPr>
          <w:trHeight w:val="241"/>
        </w:trPr>
        <w:tc>
          <w:tcPr>
            <w:tcW w:w="1424" w:type="dxa"/>
            <w:vAlign w:val="center"/>
          </w:tcPr>
          <w:p w:rsidR="00F65844" w:rsidRDefault="00F65844" w:rsidP="009524F7">
            <w:pPr>
              <w:spacing w:before="0" w:after="0"/>
              <w:ind w:left="-43"/>
              <w:jc w:val="right"/>
              <w:rPr>
                <w:sz w:val="16"/>
                <w:szCs w:val="16"/>
              </w:rPr>
            </w:pPr>
            <w:r>
              <w:rPr>
                <w:sz w:val="16"/>
                <w:szCs w:val="16"/>
              </w:rPr>
              <w:t>HMN</w:t>
            </w:r>
          </w:p>
        </w:tc>
        <w:tc>
          <w:tcPr>
            <w:tcW w:w="8215" w:type="dxa"/>
            <w:vAlign w:val="center"/>
          </w:tcPr>
          <w:p w:rsidR="00F65844" w:rsidRDefault="00F65844" w:rsidP="009524F7">
            <w:pPr>
              <w:spacing w:before="0" w:after="0"/>
              <w:ind w:left="34"/>
              <w:jc w:val="left"/>
              <w:rPr>
                <w:sz w:val="16"/>
                <w:szCs w:val="16"/>
              </w:rPr>
            </w:pPr>
            <w:r>
              <w:rPr>
                <w:sz w:val="16"/>
                <w:szCs w:val="16"/>
              </w:rPr>
              <w:t>Hmotné nouze</w:t>
            </w:r>
          </w:p>
        </w:tc>
      </w:tr>
      <w:tr w:rsidR="00F65844" w:rsidTr="00F65844">
        <w:trPr>
          <w:trHeight w:val="241"/>
        </w:trPr>
        <w:tc>
          <w:tcPr>
            <w:tcW w:w="1424" w:type="dxa"/>
            <w:vAlign w:val="center"/>
          </w:tcPr>
          <w:p w:rsidR="00F65844" w:rsidRDefault="00F65844" w:rsidP="00CC4B6B">
            <w:pPr>
              <w:spacing w:before="0" w:after="0"/>
              <w:ind w:left="-43"/>
              <w:jc w:val="right"/>
              <w:rPr>
                <w:sz w:val="16"/>
                <w:szCs w:val="16"/>
              </w:rPr>
            </w:pPr>
            <w:r>
              <w:rPr>
                <w:sz w:val="16"/>
                <w:szCs w:val="16"/>
              </w:rPr>
              <w:t>IAP</w:t>
            </w:r>
          </w:p>
        </w:tc>
        <w:tc>
          <w:tcPr>
            <w:tcW w:w="8215" w:type="dxa"/>
            <w:vAlign w:val="center"/>
          </w:tcPr>
          <w:p w:rsidR="00F65844" w:rsidRDefault="00F65844" w:rsidP="00CC4B6B">
            <w:pPr>
              <w:spacing w:before="0" w:after="0"/>
              <w:ind w:left="34"/>
              <w:jc w:val="left"/>
              <w:rPr>
                <w:sz w:val="16"/>
                <w:szCs w:val="16"/>
              </w:rPr>
            </w:pPr>
            <w:r>
              <w:rPr>
                <w:sz w:val="16"/>
                <w:szCs w:val="16"/>
              </w:rPr>
              <w:t>Individuální akční plán</w:t>
            </w:r>
          </w:p>
        </w:tc>
      </w:tr>
      <w:tr w:rsidR="00F65844" w:rsidTr="00F65844">
        <w:trPr>
          <w:trHeight w:val="282"/>
        </w:trPr>
        <w:tc>
          <w:tcPr>
            <w:tcW w:w="1424" w:type="dxa"/>
            <w:vAlign w:val="center"/>
          </w:tcPr>
          <w:p w:rsidR="00F65844" w:rsidRPr="00E17CFD" w:rsidRDefault="00F65844" w:rsidP="00CC4B6B">
            <w:pPr>
              <w:spacing w:before="0" w:after="0"/>
              <w:ind w:left="-43"/>
              <w:jc w:val="right"/>
              <w:rPr>
                <w:sz w:val="16"/>
                <w:szCs w:val="16"/>
              </w:rPr>
            </w:pPr>
            <w:r>
              <w:rPr>
                <w:sz w:val="16"/>
                <w:szCs w:val="16"/>
              </w:rPr>
              <w:t>IPS</w:t>
            </w:r>
          </w:p>
        </w:tc>
        <w:tc>
          <w:tcPr>
            <w:tcW w:w="8215" w:type="dxa"/>
            <w:vAlign w:val="center"/>
          </w:tcPr>
          <w:p w:rsidR="00F65844" w:rsidRPr="00E17CFD" w:rsidRDefault="00F65844" w:rsidP="00CC4B6B">
            <w:pPr>
              <w:spacing w:before="0" w:after="0"/>
              <w:ind w:left="34"/>
              <w:jc w:val="left"/>
              <w:rPr>
                <w:sz w:val="16"/>
                <w:szCs w:val="16"/>
              </w:rPr>
            </w:pPr>
            <w:r>
              <w:rPr>
                <w:sz w:val="16"/>
                <w:szCs w:val="16"/>
              </w:rPr>
              <w:t xml:space="preserve">Informační a poradenské středisko </w:t>
            </w:r>
          </w:p>
        </w:tc>
      </w:tr>
      <w:tr w:rsidR="00F65844" w:rsidTr="00F65844">
        <w:trPr>
          <w:trHeight w:val="241"/>
        </w:trPr>
        <w:tc>
          <w:tcPr>
            <w:tcW w:w="1424" w:type="dxa"/>
            <w:vAlign w:val="center"/>
          </w:tcPr>
          <w:p w:rsidR="00F65844" w:rsidRPr="00E17CFD" w:rsidRDefault="00F65844" w:rsidP="00CC4B6B">
            <w:pPr>
              <w:spacing w:before="0" w:after="0"/>
              <w:ind w:left="-43"/>
              <w:jc w:val="right"/>
              <w:rPr>
                <w:sz w:val="16"/>
                <w:szCs w:val="16"/>
              </w:rPr>
            </w:pPr>
            <w:r>
              <w:rPr>
                <w:sz w:val="16"/>
              </w:rPr>
              <w:t>ISPV</w:t>
            </w:r>
          </w:p>
        </w:tc>
        <w:tc>
          <w:tcPr>
            <w:tcW w:w="8215" w:type="dxa"/>
            <w:vAlign w:val="center"/>
          </w:tcPr>
          <w:p w:rsidR="00F65844" w:rsidRPr="00E17CFD" w:rsidRDefault="00F65844" w:rsidP="00CC4B6B">
            <w:pPr>
              <w:spacing w:before="0" w:after="0"/>
              <w:ind w:left="34"/>
              <w:jc w:val="left"/>
              <w:rPr>
                <w:sz w:val="16"/>
                <w:szCs w:val="16"/>
              </w:rPr>
            </w:pPr>
            <w:r>
              <w:rPr>
                <w:sz w:val="16"/>
              </w:rPr>
              <w:t>Informační systém o průměrném výdělku</w:t>
            </w:r>
          </w:p>
        </w:tc>
      </w:tr>
      <w:tr w:rsidR="00F65844" w:rsidTr="00F65844">
        <w:trPr>
          <w:trHeight w:val="176"/>
        </w:trPr>
        <w:tc>
          <w:tcPr>
            <w:tcW w:w="1424" w:type="dxa"/>
            <w:vAlign w:val="center"/>
          </w:tcPr>
          <w:p w:rsidR="00F65844" w:rsidRPr="00E17CFD" w:rsidRDefault="00F65844" w:rsidP="00CC4B6B">
            <w:pPr>
              <w:spacing w:before="0" w:after="0"/>
              <w:ind w:left="-43"/>
              <w:jc w:val="right"/>
              <w:rPr>
                <w:sz w:val="16"/>
                <w:szCs w:val="16"/>
              </w:rPr>
            </w:pPr>
            <w:r w:rsidRPr="00E17CFD">
              <w:rPr>
                <w:sz w:val="16"/>
              </w:rPr>
              <w:t>JČK</w:t>
            </w:r>
          </w:p>
        </w:tc>
        <w:tc>
          <w:tcPr>
            <w:tcW w:w="8215" w:type="dxa"/>
            <w:vAlign w:val="center"/>
          </w:tcPr>
          <w:p w:rsidR="00F65844" w:rsidRPr="00E17CFD" w:rsidRDefault="00F65844" w:rsidP="00CC4B6B">
            <w:pPr>
              <w:spacing w:before="0" w:after="0"/>
              <w:ind w:left="34"/>
              <w:jc w:val="left"/>
              <w:rPr>
                <w:sz w:val="16"/>
                <w:szCs w:val="16"/>
              </w:rPr>
            </w:pPr>
            <w:r>
              <w:rPr>
                <w:sz w:val="16"/>
              </w:rPr>
              <w:t>Jihočeský kraj</w:t>
            </w:r>
          </w:p>
        </w:tc>
      </w:tr>
      <w:tr w:rsidR="00F65844" w:rsidTr="00F65844">
        <w:trPr>
          <w:trHeight w:val="224"/>
        </w:trPr>
        <w:tc>
          <w:tcPr>
            <w:tcW w:w="1424" w:type="dxa"/>
            <w:vAlign w:val="center"/>
          </w:tcPr>
          <w:p w:rsidR="00F65844" w:rsidRDefault="00F65844" w:rsidP="00CC4B6B">
            <w:pPr>
              <w:spacing w:before="0" w:after="0"/>
              <w:ind w:left="-43"/>
              <w:jc w:val="right"/>
              <w:rPr>
                <w:sz w:val="16"/>
              </w:rPr>
            </w:pPr>
            <w:r w:rsidRPr="00E17CFD">
              <w:rPr>
                <w:sz w:val="16"/>
              </w:rPr>
              <w:t>JMK</w:t>
            </w:r>
          </w:p>
        </w:tc>
        <w:tc>
          <w:tcPr>
            <w:tcW w:w="8215" w:type="dxa"/>
            <w:vAlign w:val="center"/>
          </w:tcPr>
          <w:p w:rsidR="00F65844" w:rsidRDefault="00F65844" w:rsidP="00CC4B6B">
            <w:pPr>
              <w:spacing w:before="0" w:after="0"/>
              <w:ind w:left="34"/>
              <w:jc w:val="left"/>
              <w:rPr>
                <w:sz w:val="16"/>
              </w:rPr>
            </w:pPr>
            <w:r w:rsidRPr="00E17CFD">
              <w:rPr>
                <w:sz w:val="16"/>
              </w:rPr>
              <w:t>Jihomoravský kraj</w:t>
            </w:r>
          </w:p>
        </w:tc>
      </w:tr>
      <w:tr w:rsidR="00F65844" w:rsidTr="00F65844">
        <w:trPr>
          <w:trHeight w:val="241"/>
        </w:trPr>
        <w:tc>
          <w:tcPr>
            <w:tcW w:w="1424" w:type="dxa"/>
            <w:vAlign w:val="center"/>
          </w:tcPr>
          <w:p w:rsidR="00F65844" w:rsidRPr="00E17CFD" w:rsidRDefault="00F65844" w:rsidP="00CC4B6B">
            <w:pPr>
              <w:spacing w:before="0" w:after="0"/>
              <w:ind w:left="-43"/>
              <w:jc w:val="right"/>
              <w:rPr>
                <w:sz w:val="16"/>
              </w:rPr>
            </w:pPr>
            <w:r w:rsidRPr="00E17CFD">
              <w:rPr>
                <w:sz w:val="16"/>
              </w:rPr>
              <w:t>KHK</w:t>
            </w:r>
          </w:p>
        </w:tc>
        <w:tc>
          <w:tcPr>
            <w:tcW w:w="8215" w:type="dxa"/>
            <w:vAlign w:val="center"/>
          </w:tcPr>
          <w:p w:rsidR="00F65844" w:rsidRPr="00E17CFD" w:rsidRDefault="00F65844" w:rsidP="00CC4B6B">
            <w:pPr>
              <w:spacing w:before="0" w:after="0"/>
              <w:ind w:left="34"/>
              <w:jc w:val="left"/>
              <w:rPr>
                <w:sz w:val="16"/>
              </w:rPr>
            </w:pPr>
            <w:r w:rsidRPr="00E17CFD">
              <w:rPr>
                <w:sz w:val="16"/>
              </w:rPr>
              <w:t>Královehradecký kraj</w:t>
            </w:r>
          </w:p>
        </w:tc>
      </w:tr>
      <w:tr w:rsidR="00F65844" w:rsidTr="00F65844">
        <w:trPr>
          <w:trHeight w:val="224"/>
        </w:trPr>
        <w:tc>
          <w:tcPr>
            <w:tcW w:w="1424" w:type="dxa"/>
            <w:vAlign w:val="center"/>
          </w:tcPr>
          <w:p w:rsidR="00F65844" w:rsidRPr="00E17CFD" w:rsidRDefault="00F65844" w:rsidP="00CC4B6B">
            <w:pPr>
              <w:spacing w:before="0" w:after="0"/>
              <w:ind w:left="-43"/>
              <w:jc w:val="right"/>
              <w:rPr>
                <w:sz w:val="16"/>
              </w:rPr>
            </w:pPr>
            <w:proofErr w:type="spellStart"/>
            <w:r>
              <w:rPr>
                <w:sz w:val="16"/>
              </w:rPr>
              <w:t>KoP</w:t>
            </w:r>
            <w:proofErr w:type="spellEnd"/>
          </w:p>
        </w:tc>
        <w:tc>
          <w:tcPr>
            <w:tcW w:w="8215" w:type="dxa"/>
            <w:vAlign w:val="center"/>
          </w:tcPr>
          <w:p w:rsidR="00F65844" w:rsidRPr="00E17CFD" w:rsidRDefault="00707A60" w:rsidP="00CC4B6B">
            <w:pPr>
              <w:spacing w:before="0" w:after="0"/>
              <w:ind w:left="34"/>
              <w:jc w:val="left"/>
              <w:rPr>
                <w:sz w:val="16"/>
              </w:rPr>
            </w:pPr>
            <w:r>
              <w:rPr>
                <w:sz w:val="16"/>
              </w:rPr>
              <w:t>Kontaktní pracoviště (Ú</w:t>
            </w:r>
            <w:r w:rsidR="00F65844">
              <w:rPr>
                <w:sz w:val="16"/>
              </w:rPr>
              <w:t>P ČR</w:t>
            </w:r>
          </w:p>
        </w:tc>
      </w:tr>
      <w:tr w:rsidR="00F65844" w:rsidTr="00F65844">
        <w:trPr>
          <w:trHeight w:val="241"/>
        </w:trPr>
        <w:tc>
          <w:tcPr>
            <w:tcW w:w="1424" w:type="dxa"/>
            <w:vAlign w:val="center"/>
          </w:tcPr>
          <w:p w:rsidR="00F65844" w:rsidRPr="00E17CFD" w:rsidRDefault="00F65844" w:rsidP="00CC4B6B">
            <w:pPr>
              <w:spacing w:before="0" w:after="0"/>
              <w:ind w:left="-43"/>
              <w:jc w:val="right"/>
              <w:rPr>
                <w:sz w:val="16"/>
              </w:rPr>
            </w:pPr>
            <w:proofErr w:type="spellStart"/>
            <w:r>
              <w:rPr>
                <w:sz w:val="16"/>
              </w:rPr>
              <w:t>KrP</w:t>
            </w:r>
            <w:proofErr w:type="spellEnd"/>
          </w:p>
        </w:tc>
        <w:tc>
          <w:tcPr>
            <w:tcW w:w="8215" w:type="dxa"/>
            <w:vAlign w:val="center"/>
          </w:tcPr>
          <w:p w:rsidR="00F65844" w:rsidRPr="00E17CFD" w:rsidRDefault="00707A60" w:rsidP="00CC4B6B">
            <w:pPr>
              <w:spacing w:before="0" w:after="0"/>
              <w:ind w:left="34"/>
              <w:jc w:val="left"/>
              <w:rPr>
                <w:sz w:val="16"/>
              </w:rPr>
            </w:pPr>
            <w:r>
              <w:rPr>
                <w:sz w:val="16"/>
              </w:rPr>
              <w:t>Krajská pobočka (ˇU</w:t>
            </w:r>
            <w:r w:rsidR="00F65844">
              <w:rPr>
                <w:sz w:val="16"/>
              </w:rPr>
              <w:t>P ČR)</w:t>
            </w:r>
          </w:p>
        </w:tc>
      </w:tr>
      <w:tr w:rsidR="00F65844" w:rsidTr="00F65844">
        <w:trPr>
          <w:trHeight w:val="241"/>
        </w:trPr>
        <w:tc>
          <w:tcPr>
            <w:tcW w:w="1424" w:type="dxa"/>
            <w:vAlign w:val="center"/>
          </w:tcPr>
          <w:p w:rsidR="00F65844" w:rsidRPr="00E17CFD" w:rsidRDefault="00F65844" w:rsidP="00CC4B6B">
            <w:pPr>
              <w:spacing w:before="0" w:after="0"/>
              <w:ind w:left="-43"/>
              <w:jc w:val="right"/>
              <w:rPr>
                <w:sz w:val="16"/>
              </w:rPr>
            </w:pPr>
            <w:r w:rsidRPr="00E17CFD">
              <w:rPr>
                <w:sz w:val="16"/>
              </w:rPr>
              <w:t>KVK</w:t>
            </w:r>
          </w:p>
        </w:tc>
        <w:tc>
          <w:tcPr>
            <w:tcW w:w="8215" w:type="dxa"/>
            <w:vAlign w:val="center"/>
          </w:tcPr>
          <w:p w:rsidR="00F65844" w:rsidRPr="00E17CFD" w:rsidRDefault="00F65844" w:rsidP="00CC4B6B">
            <w:pPr>
              <w:spacing w:before="0" w:after="0"/>
              <w:ind w:left="34"/>
              <w:jc w:val="left"/>
              <w:rPr>
                <w:sz w:val="16"/>
              </w:rPr>
            </w:pPr>
            <w:r w:rsidRPr="00E17CFD">
              <w:rPr>
                <w:sz w:val="16"/>
              </w:rPr>
              <w:t>Karlovarský kraj</w:t>
            </w:r>
          </w:p>
        </w:tc>
      </w:tr>
      <w:tr w:rsidR="00F65844" w:rsidTr="00F65844">
        <w:trPr>
          <w:trHeight w:val="241"/>
        </w:trPr>
        <w:tc>
          <w:tcPr>
            <w:tcW w:w="1424" w:type="dxa"/>
            <w:vAlign w:val="center"/>
          </w:tcPr>
          <w:p w:rsidR="00F65844" w:rsidRPr="00E17CFD" w:rsidRDefault="00F65844" w:rsidP="00CC4B6B">
            <w:pPr>
              <w:spacing w:before="0" w:after="0"/>
              <w:ind w:left="-43"/>
              <w:jc w:val="right"/>
              <w:rPr>
                <w:sz w:val="16"/>
              </w:rPr>
            </w:pPr>
            <w:r w:rsidRPr="00E17CFD">
              <w:rPr>
                <w:sz w:val="16"/>
              </w:rPr>
              <w:t>LBK</w:t>
            </w:r>
          </w:p>
        </w:tc>
        <w:tc>
          <w:tcPr>
            <w:tcW w:w="8215" w:type="dxa"/>
            <w:vAlign w:val="center"/>
          </w:tcPr>
          <w:p w:rsidR="00F65844" w:rsidRPr="00E17CFD" w:rsidRDefault="00F65844" w:rsidP="00CC4B6B">
            <w:pPr>
              <w:spacing w:before="0" w:after="0"/>
              <w:ind w:left="34"/>
              <w:jc w:val="left"/>
              <w:rPr>
                <w:sz w:val="16"/>
              </w:rPr>
            </w:pPr>
            <w:r w:rsidRPr="00E17CFD">
              <w:rPr>
                <w:sz w:val="16"/>
              </w:rPr>
              <w:t>Liberecký kraj</w:t>
            </w:r>
          </w:p>
        </w:tc>
      </w:tr>
      <w:tr w:rsidR="00F65844" w:rsidTr="00F65844">
        <w:trPr>
          <w:trHeight w:val="224"/>
        </w:trPr>
        <w:tc>
          <w:tcPr>
            <w:tcW w:w="1424" w:type="dxa"/>
            <w:vAlign w:val="center"/>
          </w:tcPr>
          <w:p w:rsidR="00F65844" w:rsidRPr="00E17CFD" w:rsidRDefault="00F65844" w:rsidP="00CC4B6B">
            <w:pPr>
              <w:spacing w:before="0" w:after="0"/>
              <w:ind w:left="-43"/>
              <w:jc w:val="right"/>
              <w:rPr>
                <w:sz w:val="16"/>
              </w:rPr>
            </w:pPr>
            <w:r>
              <w:rPr>
                <w:sz w:val="16"/>
              </w:rPr>
              <w:t>MPSV</w:t>
            </w:r>
          </w:p>
        </w:tc>
        <w:tc>
          <w:tcPr>
            <w:tcW w:w="8215" w:type="dxa"/>
            <w:vAlign w:val="center"/>
          </w:tcPr>
          <w:p w:rsidR="00F65844" w:rsidRPr="00E17CFD" w:rsidRDefault="00F65844" w:rsidP="00CC4B6B">
            <w:pPr>
              <w:spacing w:before="0" w:after="0"/>
              <w:ind w:left="34"/>
              <w:jc w:val="left"/>
              <w:rPr>
                <w:sz w:val="16"/>
              </w:rPr>
            </w:pPr>
            <w:r>
              <w:rPr>
                <w:sz w:val="16"/>
              </w:rPr>
              <w:t>Ministerstvo práce a sociálních věcí</w:t>
            </w:r>
          </w:p>
        </w:tc>
      </w:tr>
      <w:tr w:rsidR="00F65844" w:rsidTr="00F65844">
        <w:trPr>
          <w:trHeight w:val="241"/>
        </w:trPr>
        <w:tc>
          <w:tcPr>
            <w:tcW w:w="1424" w:type="dxa"/>
            <w:vAlign w:val="center"/>
          </w:tcPr>
          <w:p w:rsidR="00F65844" w:rsidRPr="00E17CFD" w:rsidRDefault="00F65844" w:rsidP="00CC4B6B">
            <w:pPr>
              <w:spacing w:before="0" w:after="0"/>
              <w:ind w:left="-43"/>
              <w:jc w:val="right"/>
              <w:rPr>
                <w:sz w:val="16"/>
              </w:rPr>
            </w:pPr>
            <w:r>
              <w:rPr>
                <w:sz w:val="16"/>
              </w:rPr>
              <w:t>MSK</w:t>
            </w:r>
          </w:p>
        </w:tc>
        <w:tc>
          <w:tcPr>
            <w:tcW w:w="8215" w:type="dxa"/>
            <w:vAlign w:val="center"/>
          </w:tcPr>
          <w:p w:rsidR="00F65844" w:rsidRPr="00E17CFD" w:rsidRDefault="00F65844" w:rsidP="00CC4B6B">
            <w:pPr>
              <w:spacing w:before="0" w:after="0"/>
              <w:ind w:left="34"/>
              <w:jc w:val="left"/>
              <w:rPr>
                <w:sz w:val="16"/>
              </w:rPr>
            </w:pPr>
            <w:r>
              <w:rPr>
                <w:sz w:val="16"/>
              </w:rPr>
              <w:t>Moravskoslezský kraj</w:t>
            </w:r>
          </w:p>
        </w:tc>
      </w:tr>
      <w:tr w:rsidR="00F65844" w:rsidTr="00F65844">
        <w:trPr>
          <w:trHeight w:val="241"/>
        </w:trPr>
        <w:tc>
          <w:tcPr>
            <w:tcW w:w="1424" w:type="dxa"/>
            <w:vAlign w:val="center"/>
          </w:tcPr>
          <w:p w:rsidR="00F65844" w:rsidRDefault="00F65844" w:rsidP="00CC4B6B">
            <w:pPr>
              <w:spacing w:before="0" w:after="0"/>
              <w:ind w:left="-43"/>
              <w:jc w:val="right"/>
              <w:rPr>
                <w:sz w:val="16"/>
              </w:rPr>
            </w:pPr>
            <w:r>
              <w:rPr>
                <w:sz w:val="16"/>
              </w:rPr>
              <w:t>NSD</w:t>
            </w:r>
          </w:p>
        </w:tc>
        <w:tc>
          <w:tcPr>
            <w:tcW w:w="8215" w:type="dxa"/>
            <w:vAlign w:val="center"/>
          </w:tcPr>
          <w:p w:rsidR="00F65844" w:rsidRDefault="00F65844" w:rsidP="00CC4B6B">
            <w:pPr>
              <w:spacing w:before="0" w:after="0"/>
              <w:ind w:left="34"/>
              <w:jc w:val="left"/>
              <w:rPr>
                <w:sz w:val="16"/>
              </w:rPr>
            </w:pPr>
            <w:r>
              <w:rPr>
                <w:sz w:val="16"/>
              </w:rPr>
              <w:t>Nepojistné sociální dávky</w:t>
            </w:r>
          </w:p>
        </w:tc>
      </w:tr>
      <w:tr w:rsidR="00F65844" w:rsidTr="00F65844">
        <w:trPr>
          <w:trHeight w:val="224"/>
        </w:trPr>
        <w:tc>
          <w:tcPr>
            <w:tcW w:w="1424" w:type="dxa"/>
            <w:vAlign w:val="center"/>
          </w:tcPr>
          <w:p w:rsidR="00F65844" w:rsidRPr="00484D3B" w:rsidRDefault="00F65844" w:rsidP="00CC4B6B">
            <w:pPr>
              <w:spacing w:before="0" w:after="0"/>
              <w:ind w:left="-43"/>
              <w:jc w:val="right"/>
              <w:rPr>
                <w:sz w:val="16"/>
              </w:rPr>
            </w:pPr>
            <w:r>
              <w:rPr>
                <w:sz w:val="16"/>
                <w:szCs w:val="16"/>
              </w:rPr>
              <w:t>NSK</w:t>
            </w:r>
          </w:p>
        </w:tc>
        <w:tc>
          <w:tcPr>
            <w:tcW w:w="8215" w:type="dxa"/>
            <w:vAlign w:val="center"/>
          </w:tcPr>
          <w:p w:rsidR="00F65844" w:rsidRPr="00484D3B" w:rsidRDefault="00F65844" w:rsidP="00CC4B6B">
            <w:pPr>
              <w:tabs>
                <w:tab w:val="left" w:pos="151"/>
              </w:tabs>
              <w:spacing w:before="0" w:after="0"/>
              <w:ind w:left="34"/>
              <w:jc w:val="left"/>
              <w:rPr>
                <w:sz w:val="16"/>
              </w:rPr>
            </w:pPr>
            <w:r>
              <w:rPr>
                <w:sz w:val="16"/>
                <w:szCs w:val="16"/>
              </w:rPr>
              <w:t>Národní soustava kvalifikací</w:t>
            </w:r>
          </w:p>
        </w:tc>
      </w:tr>
      <w:tr w:rsidR="00F65844" w:rsidTr="00F65844">
        <w:trPr>
          <w:trHeight w:val="241"/>
        </w:trPr>
        <w:tc>
          <w:tcPr>
            <w:tcW w:w="1424" w:type="dxa"/>
            <w:vAlign w:val="center"/>
          </w:tcPr>
          <w:p w:rsidR="00F65844" w:rsidRPr="00E17CFD" w:rsidRDefault="00F65844" w:rsidP="00CC4B6B">
            <w:pPr>
              <w:spacing w:before="0" w:after="0"/>
              <w:ind w:left="-43"/>
              <w:jc w:val="right"/>
              <w:rPr>
                <w:sz w:val="16"/>
              </w:rPr>
            </w:pPr>
            <w:r>
              <w:rPr>
                <w:sz w:val="16"/>
                <w:szCs w:val="16"/>
              </w:rPr>
              <w:t>NSP</w:t>
            </w:r>
          </w:p>
        </w:tc>
        <w:tc>
          <w:tcPr>
            <w:tcW w:w="8215" w:type="dxa"/>
            <w:vAlign w:val="center"/>
          </w:tcPr>
          <w:p w:rsidR="00F65844" w:rsidRPr="00E17CFD" w:rsidRDefault="00F65844" w:rsidP="00CC4B6B">
            <w:pPr>
              <w:spacing w:before="0" w:after="0"/>
              <w:ind w:left="34"/>
              <w:jc w:val="left"/>
              <w:rPr>
                <w:sz w:val="16"/>
              </w:rPr>
            </w:pPr>
            <w:r>
              <w:rPr>
                <w:sz w:val="16"/>
                <w:szCs w:val="16"/>
              </w:rPr>
              <w:t>Národní soustava povolání</w:t>
            </w:r>
          </w:p>
        </w:tc>
      </w:tr>
      <w:tr w:rsidR="00F65844" w:rsidTr="00F65844">
        <w:trPr>
          <w:trHeight w:val="224"/>
        </w:trPr>
        <w:tc>
          <w:tcPr>
            <w:tcW w:w="1424" w:type="dxa"/>
            <w:vAlign w:val="center"/>
          </w:tcPr>
          <w:p w:rsidR="00F65844" w:rsidRPr="00E17CFD" w:rsidRDefault="00F65844" w:rsidP="00CC4B6B">
            <w:pPr>
              <w:spacing w:before="0" w:after="0"/>
              <w:ind w:left="-43"/>
              <w:jc w:val="right"/>
              <w:rPr>
                <w:sz w:val="16"/>
                <w:szCs w:val="16"/>
              </w:rPr>
            </w:pPr>
            <w:r w:rsidRPr="00E17CFD">
              <w:rPr>
                <w:sz w:val="16"/>
              </w:rPr>
              <w:t>OLK</w:t>
            </w:r>
          </w:p>
        </w:tc>
        <w:tc>
          <w:tcPr>
            <w:tcW w:w="8215" w:type="dxa"/>
            <w:vAlign w:val="center"/>
          </w:tcPr>
          <w:p w:rsidR="00F65844" w:rsidRPr="00E17CFD" w:rsidRDefault="00F65844" w:rsidP="00CC4B6B">
            <w:pPr>
              <w:spacing w:before="0" w:after="0"/>
              <w:ind w:left="34"/>
              <w:jc w:val="left"/>
              <w:rPr>
                <w:sz w:val="16"/>
                <w:szCs w:val="16"/>
              </w:rPr>
            </w:pPr>
            <w:r w:rsidRPr="00E17CFD">
              <w:rPr>
                <w:sz w:val="16"/>
              </w:rPr>
              <w:t>Olomoucký kraj</w:t>
            </w:r>
          </w:p>
        </w:tc>
      </w:tr>
      <w:tr w:rsidR="00F65844" w:rsidTr="00F65844">
        <w:trPr>
          <w:trHeight w:val="241"/>
        </w:trPr>
        <w:tc>
          <w:tcPr>
            <w:tcW w:w="1424" w:type="dxa"/>
            <w:vAlign w:val="center"/>
          </w:tcPr>
          <w:p w:rsidR="00F65844" w:rsidRPr="00E17CFD" w:rsidRDefault="00F65844" w:rsidP="00CC4B6B">
            <w:pPr>
              <w:spacing w:before="0" w:after="0"/>
              <w:ind w:left="-43"/>
              <w:jc w:val="right"/>
              <w:rPr>
                <w:sz w:val="16"/>
                <w:szCs w:val="16"/>
              </w:rPr>
            </w:pPr>
            <w:r>
              <w:rPr>
                <w:sz w:val="16"/>
                <w:szCs w:val="16"/>
              </w:rPr>
              <w:t>OP Z</w:t>
            </w:r>
          </w:p>
        </w:tc>
        <w:tc>
          <w:tcPr>
            <w:tcW w:w="8215" w:type="dxa"/>
            <w:vAlign w:val="center"/>
          </w:tcPr>
          <w:p w:rsidR="00F65844" w:rsidRPr="00E17CFD" w:rsidRDefault="00F65844" w:rsidP="00CC4B6B">
            <w:pPr>
              <w:spacing w:before="0" w:after="0"/>
              <w:ind w:left="34"/>
              <w:jc w:val="left"/>
              <w:rPr>
                <w:sz w:val="16"/>
                <w:szCs w:val="16"/>
              </w:rPr>
            </w:pPr>
            <w:r>
              <w:rPr>
                <w:sz w:val="16"/>
                <w:szCs w:val="16"/>
              </w:rPr>
              <w:t>Operační program Zaměstnanost</w:t>
            </w:r>
          </w:p>
        </w:tc>
      </w:tr>
      <w:tr w:rsidR="00F65844" w:rsidTr="00F65844">
        <w:trPr>
          <w:trHeight w:val="224"/>
        </w:trPr>
        <w:tc>
          <w:tcPr>
            <w:tcW w:w="1424" w:type="dxa"/>
            <w:vAlign w:val="center"/>
          </w:tcPr>
          <w:p w:rsidR="00F65844" w:rsidRPr="00E17CFD" w:rsidRDefault="00F65844" w:rsidP="00CC4B6B">
            <w:pPr>
              <w:spacing w:before="0" w:after="0"/>
              <w:ind w:left="-43"/>
              <w:jc w:val="right"/>
              <w:rPr>
                <w:sz w:val="16"/>
              </w:rPr>
            </w:pPr>
            <w:r>
              <w:rPr>
                <w:sz w:val="16"/>
              </w:rPr>
              <w:t>OZP</w:t>
            </w:r>
          </w:p>
        </w:tc>
        <w:tc>
          <w:tcPr>
            <w:tcW w:w="8215" w:type="dxa"/>
            <w:vAlign w:val="center"/>
          </w:tcPr>
          <w:p w:rsidR="00F65844" w:rsidRPr="00E17CFD" w:rsidRDefault="00F65844" w:rsidP="00CC4B6B">
            <w:pPr>
              <w:spacing w:before="0" w:after="0"/>
              <w:ind w:left="34"/>
              <w:jc w:val="left"/>
              <w:rPr>
                <w:sz w:val="16"/>
              </w:rPr>
            </w:pPr>
            <w:r>
              <w:rPr>
                <w:sz w:val="16"/>
              </w:rPr>
              <w:t>Osoby se zdravotním postižením</w:t>
            </w:r>
          </w:p>
        </w:tc>
      </w:tr>
      <w:tr w:rsidR="00F65844" w:rsidTr="00F65844">
        <w:trPr>
          <w:trHeight w:val="224"/>
        </w:trPr>
        <w:tc>
          <w:tcPr>
            <w:tcW w:w="1424" w:type="dxa"/>
            <w:vAlign w:val="center"/>
          </w:tcPr>
          <w:p w:rsidR="00F65844" w:rsidRDefault="00F65844" w:rsidP="00CC4B6B">
            <w:pPr>
              <w:spacing w:before="0" w:after="0"/>
              <w:ind w:left="-43"/>
              <w:jc w:val="right"/>
              <w:rPr>
                <w:sz w:val="16"/>
              </w:rPr>
            </w:pPr>
            <w:r>
              <w:rPr>
                <w:sz w:val="16"/>
              </w:rPr>
              <w:t>p. b.</w:t>
            </w:r>
          </w:p>
        </w:tc>
        <w:tc>
          <w:tcPr>
            <w:tcW w:w="8215" w:type="dxa"/>
            <w:vAlign w:val="center"/>
          </w:tcPr>
          <w:p w:rsidR="00F65844" w:rsidRDefault="00F65844" w:rsidP="00CC4B6B">
            <w:pPr>
              <w:spacing w:before="0" w:after="0"/>
              <w:ind w:left="34"/>
              <w:jc w:val="left"/>
              <w:rPr>
                <w:sz w:val="16"/>
              </w:rPr>
            </w:pPr>
            <w:r>
              <w:rPr>
                <w:sz w:val="16"/>
              </w:rPr>
              <w:t>Procentní bod</w:t>
            </w:r>
          </w:p>
        </w:tc>
      </w:tr>
      <w:tr w:rsidR="00F65844" w:rsidTr="00F65844">
        <w:trPr>
          <w:trHeight w:val="241"/>
        </w:trPr>
        <w:tc>
          <w:tcPr>
            <w:tcW w:w="1424" w:type="dxa"/>
            <w:vAlign w:val="center"/>
          </w:tcPr>
          <w:p w:rsidR="00F65844" w:rsidRPr="00E17CFD" w:rsidRDefault="00F65844" w:rsidP="00CC4B6B">
            <w:pPr>
              <w:spacing w:before="0" w:after="0"/>
              <w:ind w:left="-43"/>
              <w:jc w:val="right"/>
              <w:rPr>
                <w:sz w:val="16"/>
                <w:szCs w:val="16"/>
              </w:rPr>
            </w:pPr>
            <w:r w:rsidRPr="00E17CFD">
              <w:rPr>
                <w:sz w:val="16"/>
              </w:rPr>
              <w:t>PBK</w:t>
            </w:r>
          </w:p>
        </w:tc>
        <w:tc>
          <w:tcPr>
            <w:tcW w:w="8215" w:type="dxa"/>
            <w:vAlign w:val="center"/>
          </w:tcPr>
          <w:p w:rsidR="00F65844" w:rsidRPr="00E17CFD" w:rsidRDefault="00F65844" w:rsidP="00CC4B6B">
            <w:pPr>
              <w:spacing w:before="0" w:after="0"/>
              <w:ind w:left="34"/>
              <w:jc w:val="left"/>
              <w:rPr>
                <w:sz w:val="16"/>
                <w:szCs w:val="16"/>
              </w:rPr>
            </w:pPr>
            <w:r w:rsidRPr="00E17CFD">
              <w:rPr>
                <w:sz w:val="16"/>
              </w:rPr>
              <w:t>Pardubický kraj</w:t>
            </w:r>
          </w:p>
        </w:tc>
      </w:tr>
      <w:tr w:rsidR="00F65844" w:rsidTr="00F65844">
        <w:trPr>
          <w:trHeight w:val="224"/>
        </w:trPr>
        <w:tc>
          <w:tcPr>
            <w:tcW w:w="1424" w:type="dxa"/>
            <w:vAlign w:val="center"/>
          </w:tcPr>
          <w:p w:rsidR="00F65844" w:rsidRDefault="00F65844" w:rsidP="00CC4B6B">
            <w:pPr>
              <w:spacing w:before="0" w:after="0"/>
              <w:ind w:left="-43"/>
              <w:jc w:val="right"/>
              <w:rPr>
                <w:sz w:val="16"/>
              </w:rPr>
            </w:pPr>
            <w:r w:rsidRPr="00E17CFD">
              <w:rPr>
                <w:sz w:val="16"/>
              </w:rPr>
              <w:t>PLK</w:t>
            </w:r>
          </w:p>
        </w:tc>
        <w:tc>
          <w:tcPr>
            <w:tcW w:w="8215" w:type="dxa"/>
            <w:vAlign w:val="center"/>
          </w:tcPr>
          <w:p w:rsidR="00F65844" w:rsidRDefault="00F65844" w:rsidP="00CC4B6B">
            <w:pPr>
              <w:spacing w:before="0" w:after="0"/>
              <w:ind w:left="34"/>
              <w:jc w:val="left"/>
              <w:rPr>
                <w:sz w:val="16"/>
              </w:rPr>
            </w:pPr>
            <w:r>
              <w:rPr>
                <w:sz w:val="16"/>
              </w:rPr>
              <w:t>Plzeňský kraj</w:t>
            </w:r>
          </w:p>
        </w:tc>
      </w:tr>
      <w:tr w:rsidR="00CD0317" w:rsidTr="00F65844">
        <w:trPr>
          <w:trHeight w:val="224"/>
        </w:trPr>
        <w:tc>
          <w:tcPr>
            <w:tcW w:w="1424" w:type="dxa"/>
            <w:vAlign w:val="center"/>
          </w:tcPr>
          <w:p w:rsidR="00CD0317" w:rsidRPr="00E17CFD" w:rsidRDefault="00CD0317" w:rsidP="00CC4B6B">
            <w:pPr>
              <w:spacing w:before="0" w:after="0"/>
              <w:ind w:left="-43"/>
              <w:jc w:val="right"/>
              <w:rPr>
                <w:sz w:val="16"/>
              </w:rPr>
            </w:pPr>
            <w:r>
              <w:rPr>
                <w:sz w:val="16"/>
              </w:rPr>
              <w:t>PNO</w:t>
            </w:r>
          </w:p>
        </w:tc>
        <w:tc>
          <w:tcPr>
            <w:tcW w:w="8215" w:type="dxa"/>
            <w:vAlign w:val="center"/>
          </w:tcPr>
          <w:p w:rsidR="00CD0317" w:rsidRDefault="00CD0317" w:rsidP="00CC4B6B">
            <w:pPr>
              <w:spacing w:before="0" w:after="0"/>
              <w:ind w:left="34"/>
              <w:jc w:val="left"/>
              <w:rPr>
                <w:sz w:val="16"/>
              </w:rPr>
            </w:pPr>
            <w:r>
              <w:rPr>
                <w:sz w:val="16"/>
              </w:rPr>
              <w:t>Podíl nezaměstnaných osob</w:t>
            </w:r>
          </w:p>
        </w:tc>
      </w:tr>
      <w:tr w:rsidR="00F65844" w:rsidTr="00F65844">
        <w:trPr>
          <w:trHeight w:val="241"/>
        </w:trPr>
        <w:tc>
          <w:tcPr>
            <w:tcW w:w="1424" w:type="dxa"/>
            <w:vAlign w:val="center"/>
          </w:tcPr>
          <w:p w:rsidR="00F65844" w:rsidRPr="00E17CFD" w:rsidRDefault="00F65844" w:rsidP="00CC4B6B">
            <w:pPr>
              <w:spacing w:before="0" w:after="0"/>
              <w:ind w:left="-43"/>
              <w:jc w:val="right"/>
              <w:rPr>
                <w:sz w:val="16"/>
              </w:rPr>
            </w:pPr>
            <w:r w:rsidRPr="00E17CFD">
              <w:rPr>
                <w:sz w:val="16"/>
              </w:rPr>
              <w:t>PRA</w:t>
            </w:r>
          </w:p>
        </w:tc>
        <w:tc>
          <w:tcPr>
            <w:tcW w:w="8215" w:type="dxa"/>
            <w:vAlign w:val="center"/>
          </w:tcPr>
          <w:p w:rsidR="00F65844" w:rsidRPr="00E17CFD" w:rsidRDefault="00F65844" w:rsidP="00CC4B6B">
            <w:pPr>
              <w:spacing w:before="0" w:after="0"/>
              <w:ind w:left="34"/>
              <w:jc w:val="left"/>
              <w:rPr>
                <w:sz w:val="16"/>
              </w:rPr>
            </w:pPr>
            <w:r>
              <w:rPr>
                <w:sz w:val="16"/>
              </w:rPr>
              <w:t>Hl. m. Praha</w:t>
            </w:r>
          </w:p>
        </w:tc>
      </w:tr>
      <w:tr w:rsidR="00F65844" w:rsidTr="00F65844">
        <w:trPr>
          <w:trHeight w:val="224"/>
        </w:trPr>
        <w:tc>
          <w:tcPr>
            <w:tcW w:w="1424" w:type="dxa"/>
            <w:vAlign w:val="center"/>
          </w:tcPr>
          <w:p w:rsidR="00F65844" w:rsidRPr="00E17CFD" w:rsidRDefault="00F65844" w:rsidP="00CC4B6B">
            <w:pPr>
              <w:spacing w:before="0" w:after="0"/>
              <w:ind w:left="-43"/>
              <w:jc w:val="right"/>
              <w:rPr>
                <w:sz w:val="16"/>
              </w:rPr>
            </w:pPr>
            <w:r>
              <w:rPr>
                <w:sz w:val="16"/>
                <w:szCs w:val="16"/>
              </w:rPr>
              <w:t>PS PČR</w:t>
            </w:r>
          </w:p>
        </w:tc>
        <w:tc>
          <w:tcPr>
            <w:tcW w:w="8215" w:type="dxa"/>
            <w:vAlign w:val="center"/>
          </w:tcPr>
          <w:p w:rsidR="00F65844" w:rsidRPr="00E17CFD" w:rsidRDefault="00F65844" w:rsidP="00CC4B6B">
            <w:pPr>
              <w:spacing w:before="0" w:after="0"/>
              <w:ind w:left="34"/>
              <w:jc w:val="left"/>
              <w:rPr>
                <w:sz w:val="16"/>
              </w:rPr>
            </w:pPr>
            <w:r>
              <w:rPr>
                <w:sz w:val="16"/>
                <w:szCs w:val="16"/>
              </w:rPr>
              <w:t>Poslanecká sněmovna Parlamentu České republiky</w:t>
            </w:r>
          </w:p>
        </w:tc>
      </w:tr>
      <w:tr w:rsidR="00F65844" w:rsidTr="00F65844">
        <w:trPr>
          <w:trHeight w:val="241"/>
        </w:trPr>
        <w:tc>
          <w:tcPr>
            <w:tcW w:w="1424" w:type="dxa"/>
            <w:vAlign w:val="center"/>
          </w:tcPr>
          <w:p w:rsidR="00F65844" w:rsidRPr="00E17CFD" w:rsidRDefault="00F65844" w:rsidP="00CC4B6B">
            <w:pPr>
              <w:spacing w:before="0" w:after="0"/>
              <w:ind w:left="-43"/>
              <w:jc w:val="right"/>
              <w:rPr>
                <w:sz w:val="16"/>
              </w:rPr>
            </w:pPr>
            <w:proofErr w:type="spellStart"/>
            <w:r>
              <w:rPr>
                <w:sz w:val="16"/>
              </w:rPr>
              <w:t>PvN</w:t>
            </w:r>
            <w:proofErr w:type="spellEnd"/>
            <w:r>
              <w:rPr>
                <w:sz w:val="16"/>
              </w:rPr>
              <w:t xml:space="preserve">   </w:t>
            </w:r>
          </w:p>
        </w:tc>
        <w:tc>
          <w:tcPr>
            <w:tcW w:w="8215" w:type="dxa"/>
            <w:vAlign w:val="center"/>
          </w:tcPr>
          <w:p w:rsidR="00F65844" w:rsidRPr="00E17CFD" w:rsidRDefault="00F65844" w:rsidP="00CC4B6B">
            <w:pPr>
              <w:spacing w:before="0" w:after="0"/>
              <w:ind w:left="34"/>
              <w:jc w:val="left"/>
              <w:rPr>
                <w:sz w:val="16"/>
              </w:rPr>
            </w:pPr>
            <w:r>
              <w:rPr>
                <w:sz w:val="16"/>
              </w:rPr>
              <w:t>Podpora v nezaměstnanosti</w:t>
            </w:r>
          </w:p>
        </w:tc>
      </w:tr>
      <w:tr w:rsidR="0070390E" w:rsidTr="00F65844">
        <w:trPr>
          <w:trHeight w:val="241"/>
        </w:trPr>
        <w:tc>
          <w:tcPr>
            <w:tcW w:w="1424" w:type="dxa"/>
            <w:vAlign w:val="center"/>
          </w:tcPr>
          <w:p w:rsidR="0070390E" w:rsidRDefault="0070390E" w:rsidP="00CC4B6B">
            <w:pPr>
              <w:spacing w:before="0" w:after="0"/>
              <w:ind w:left="-43"/>
              <w:jc w:val="right"/>
              <w:rPr>
                <w:sz w:val="16"/>
              </w:rPr>
            </w:pPr>
            <w:r>
              <w:rPr>
                <w:sz w:val="16"/>
              </w:rPr>
              <w:t>Q</w:t>
            </w:r>
          </w:p>
        </w:tc>
        <w:tc>
          <w:tcPr>
            <w:tcW w:w="8215" w:type="dxa"/>
            <w:vAlign w:val="center"/>
          </w:tcPr>
          <w:p w:rsidR="0070390E" w:rsidRDefault="0070390E" w:rsidP="00CC4B6B">
            <w:pPr>
              <w:spacing w:before="0" w:after="0"/>
              <w:ind w:left="34"/>
              <w:jc w:val="left"/>
              <w:rPr>
                <w:sz w:val="16"/>
              </w:rPr>
            </w:pPr>
            <w:r>
              <w:rPr>
                <w:sz w:val="16"/>
              </w:rPr>
              <w:t>Čtvrtletí</w:t>
            </w:r>
          </w:p>
        </w:tc>
      </w:tr>
      <w:tr w:rsidR="00F65844" w:rsidTr="0070390E">
        <w:trPr>
          <w:trHeight w:val="186"/>
        </w:trPr>
        <w:tc>
          <w:tcPr>
            <w:tcW w:w="1424" w:type="dxa"/>
            <w:vAlign w:val="center"/>
          </w:tcPr>
          <w:p w:rsidR="00F65844" w:rsidRPr="00E17CFD" w:rsidRDefault="00F65844" w:rsidP="00CC4B6B">
            <w:pPr>
              <w:spacing w:before="0" w:after="0"/>
              <w:ind w:left="-43"/>
              <w:jc w:val="right"/>
              <w:rPr>
                <w:sz w:val="16"/>
                <w:szCs w:val="16"/>
              </w:rPr>
            </w:pPr>
            <w:r>
              <w:rPr>
                <w:sz w:val="16"/>
                <w:szCs w:val="16"/>
              </w:rPr>
              <w:t>RIP</w:t>
            </w:r>
          </w:p>
        </w:tc>
        <w:tc>
          <w:tcPr>
            <w:tcW w:w="8215" w:type="dxa"/>
            <w:vAlign w:val="center"/>
          </w:tcPr>
          <w:p w:rsidR="00F65844" w:rsidRPr="00E17CFD" w:rsidRDefault="00F65844" w:rsidP="00707A60">
            <w:pPr>
              <w:spacing w:before="0" w:after="0"/>
              <w:ind w:left="34"/>
              <w:jc w:val="left"/>
              <w:rPr>
                <w:sz w:val="16"/>
                <w:szCs w:val="16"/>
              </w:rPr>
            </w:pPr>
            <w:r>
              <w:rPr>
                <w:sz w:val="16"/>
                <w:szCs w:val="16"/>
              </w:rPr>
              <w:t xml:space="preserve">Regionální individuální projekt (projekty OPZ realizované krajskými pobočkami </w:t>
            </w:r>
            <w:r w:rsidR="00707A60">
              <w:rPr>
                <w:sz w:val="16"/>
                <w:szCs w:val="16"/>
              </w:rPr>
              <w:t>Ú</w:t>
            </w:r>
            <w:r>
              <w:rPr>
                <w:sz w:val="16"/>
                <w:szCs w:val="16"/>
              </w:rPr>
              <w:t>P ČR</w:t>
            </w:r>
          </w:p>
        </w:tc>
      </w:tr>
      <w:tr w:rsidR="00F65844" w:rsidTr="00F65844">
        <w:trPr>
          <w:trHeight w:val="241"/>
        </w:trPr>
        <w:tc>
          <w:tcPr>
            <w:tcW w:w="1424" w:type="dxa"/>
            <w:vAlign w:val="center"/>
          </w:tcPr>
          <w:p w:rsidR="00F65844" w:rsidRPr="00484D3B" w:rsidRDefault="00F65844" w:rsidP="00CC4B6B">
            <w:pPr>
              <w:spacing w:before="0" w:after="0"/>
              <w:ind w:left="-43"/>
              <w:jc w:val="right"/>
              <w:rPr>
                <w:sz w:val="16"/>
              </w:rPr>
            </w:pPr>
            <w:r w:rsidRPr="00E17CFD">
              <w:rPr>
                <w:sz w:val="16"/>
              </w:rPr>
              <w:t>SČK</w:t>
            </w:r>
          </w:p>
        </w:tc>
        <w:tc>
          <w:tcPr>
            <w:tcW w:w="8215" w:type="dxa"/>
            <w:vAlign w:val="center"/>
          </w:tcPr>
          <w:p w:rsidR="00F65844" w:rsidRPr="00484D3B" w:rsidRDefault="00F65844" w:rsidP="00CC4B6B">
            <w:pPr>
              <w:tabs>
                <w:tab w:val="left" w:pos="151"/>
              </w:tabs>
              <w:spacing w:before="0" w:after="0"/>
              <w:ind w:left="34"/>
              <w:jc w:val="left"/>
              <w:rPr>
                <w:sz w:val="16"/>
              </w:rPr>
            </w:pPr>
            <w:r>
              <w:rPr>
                <w:sz w:val="16"/>
              </w:rPr>
              <w:t>Středočeský kraj</w:t>
            </w:r>
          </w:p>
        </w:tc>
      </w:tr>
      <w:tr w:rsidR="00F65844" w:rsidTr="00F65844">
        <w:trPr>
          <w:trHeight w:val="241"/>
        </w:trPr>
        <w:tc>
          <w:tcPr>
            <w:tcW w:w="1424" w:type="dxa"/>
            <w:vAlign w:val="center"/>
          </w:tcPr>
          <w:p w:rsidR="00F65844" w:rsidRDefault="00F65844" w:rsidP="00CC4B6B">
            <w:pPr>
              <w:spacing w:before="0" w:after="0"/>
              <w:ind w:left="-43"/>
              <w:jc w:val="right"/>
              <w:rPr>
                <w:sz w:val="16"/>
              </w:rPr>
            </w:pPr>
            <w:r>
              <w:rPr>
                <w:sz w:val="16"/>
              </w:rPr>
              <w:t>SŠ</w:t>
            </w:r>
          </w:p>
        </w:tc>
        <w:tc>
          <w:tcPr>
            <w:tcW w:w="8215" w:type="dxa"/>
            <w:vAlign w:val="center"/>
          </w:tcPr>
          <w:p w:rsidR="00F65844" w:rsidRDefault="00F65844" w:rsidP="00CC4B6B">
            <w:pPr>
              <w:tabs>
                <w:tab w:val="left" w:pos="151"/>
              </w:tabs>
              <w:spacing w:before="0" w:after="0"/>
              <w:ind w:left="34"/>
              <w:jc w:val="left"/>
              <w:rPr>
                <w:sz w:val="16"/>
              </w:rPr>
            </w:pPr>
            <w:r>
              <w:rPr>
                <w:sz w:val="16"/>
              </w:rPr>
              <w:t>Střední škola, středoškolské vzdělání</w:t>
            </w:r>
          </w:p>
        </w:tc>
      </w:tr>
      <w:tr w:rsidR="00F65844" w:rsidTr="00F65844">
        <w:trPr>
          <w:trHeight w:val="224"/>
        </w:trPr>
        <w:tc>
          <w:tcPr>
            <w:tcW w:w="1424" w:type="dxa"/>
            <w:vAlign w:val="center"/>
          </w:tcPr>
          <w:p w:rsidR="00F65844" w:rsidRPr="00E17CFD" w:rsidRDefault="00F65844" w:rsidP="00CC4B6B">
            <w:pPr>
              <w:spacing w:before="0" w:after="0"/>
              <w:ind w:left="-43"/>
              <w:jc w:val="right"/>
              <w:rPr>
                <w:sz w:val="16"/>
                <w:szCs w:val="16"/>
              </w:rPr>
            </w:pPr>
            <w:r>
              <w:rPr>
                <w:sz w:val="16"/>
              </w:rPr>
              <w:t>SUIP</w:t>
            </w:r>
          </w:p>
        </w:tc>
        <w:tc>
          <w:tcPr>
            <w:tcW w:w="8215" w:type="dxa"/>
            <w:vAlign w:val="center"/>
          </w:tcPr>
          <w:p w:rsidR="00F65844" w:rsidRPr="00E17CFD" w:rsidRDefault="00F65844" w:rsidP="00CC4B6B">
            <w:pPr>
              <w:spacing w:before="0" w:after="0"/>
              <w:ind w:left="34"/>
              <w:jc w:val="left"/>
              <w:rPr>
                <w:sz w:val="16"/>
                <w:szCs w:val="16"/>
              </w:rPr>
            </w:pPr>
            <w:r>
              <w:rPr>
                <w:sz w:val="16"/>
              </w:rPr>
              <w:t>Státní úřad inspekce práce</w:t>
            </w:r>
          </w:p>
        </w:tc>
      </w:tr>
      <w:tr w:rsidR="00F65844" w:rsidTr="00F65844">
        <w:trPr>
          <w:trHeight w:val="194"/>
        </w:trPr>
        <w:tc>
          <w:tcPr>
            <w:tcW w:w="1424" w:type="dxa"/>
            <w:vAlign w:val="center"/>
          </w:tcPr>
          <w:p w:rsidR="00F65844" w:rsidRPr="00E17CFD" w:rsidRDefault="00F65844" w:rsidP="00CC4B6B">
            <w:pPr>
              <w:spacing w:before="0" w:after="0"/>
              <w:ind w:left="-43"/>
              <w:jc w:val="right"/>
              <w:rPr>
                <w:sz w:val="16"/>
                <w:szCs w:val="16"/>
              </w:rPr>
            </w:pPr>
            <w:r>
              <w:rPr>
                <w:sz w:val="16"/>
                <w:szCs w:val="16"/>
              </w:rPr>
              <w:t>SÚPM</w:t>
            </w:r>
          </w:p>
        </w:tc>
        <w:tc>
          <w:tcPr>
            <w:tcW w:w="8215" w:type="dxa"/>
            <w:vAlign w:val="center"/>
          </w:tcPr>
          <w:p w:rsidR="00F65844" w:rsidRPr="00E17CFD" w:rsidRDefault="00F65844" w:rsidP="00CC4B6B">
            <w:pPr>
              <w:spacing w:before="0" w:after="0"/>
              <w:ind w:left="34"/>
              <w:jc w:val="left"/>
              <w:rPr>
                <w:sz w:val="16"/>
                <w:szCs w:val="16"/>
              </w:rPr>
            </w:pPr>
            <w:r>
              <w:rPr>
                <w:sz w:val="16"/>
                <w:szCs w:val="16"/>
              </w:rPr>
              <w:t xml:space="preserve">Společensky účelné pracovní místo (§ 113 </w:t>
            </w:r>
            <w:proofErr w:type="spellStart"/>
            <w:r>
              <w:rPr>
                <w:sz w:val="16"/>
                <w:szCs w:val="16"/>
              </w:rPr>
              <w:t>ZoZ</w:t>
            </w:r>
            <w:proofErr w:type="spellEnd"/>
            <w:r>
              <w:rPr>
                <w:sz w:val="16"/>
                <w:szCs w:val="16"/>
              </w:rPr>
              <w:t>)</w:t>
            </w:r>
          </w:p>
        </w:tc>
      </w:tr>
      <w:tr w:rsidR="00F65844" w:rsidTr="00F65844">
        <w:trPr>
          <w:trHeight w:val="241"/>
        </w:trPr>
        <w:tc>
          <w:tcPr>
            <w:tcW w:w="1424" w:type="dxa"/>
            <w:vAlign w:val="center"/>
          </w:tcPr>
          <w:p w:rsidR="00F65844" w:rsidRPr="00E17CFD" w:rsidRDefault="00F65844" w:rsidP="00CC4B6B">
            <w:pPr>
              <w:spacing w:before="0" w:after="0"/>
              <w:ind w:left="-43"/>
              <w:jc w:val="right"/>
              <w:rPr>
                <w:sz w:val="16"/>
              </w:rPr>
            </w:pPr>
            <w:r w:rsidRPr="00E17CFD">
              <w:rPr>
                <w:sz w:val="16"/>
              </w:rPr>
              <w:t>ULK</w:t>
            </w:r>
          </w:p>
        </w:tc>
        <w:tc>
          <w:tcPr>
            <w:tcW w:w="8215" w:type="dxa"/>
            <w:vAlign w:val="center"/>
          </w:tcPr>
          <w:p w:rsidR="00F65844" w:rsidRPr="00E17CFD" w:rsidRDefault="00F65844" w:rsidP="00CC4B6B">
            <w:pPr>
              <w:spacing w:before="0" w:after="0"/>
              <w:ind w:left="34"/>
              <w:jc w:val="left"/>
              <w:rPr>
                <w:sz w:val="16"/>
              </w:rPr>
            </w:pPr>
            <w:r w:rsidRPr="00E17CFD">
              <w:rPr>
                <w:sz w:val="16"/>
              </w:rPr>
              <w:t>Ústecký kraj</w:t>
            </w:r>
          </w:p>
        </w:tc>
      </w:tr>
      <w:tr w:rsidR="00F65844" w:rsidTr="00F65844">
        <w:trPr>
          <w:trHeight w:val="224"/>
        </w:trPr>
        <w:tc>
          <w:tcPr>
            <w:tcW w:w="1424" w:type="dxa"/>
            <w:vAlign w:val="center"/>
          </w:tcPr>
          <w:p w:rsidR="00F65844" w:rsidRPr="00484D3B" w:rsidRDefault="00F65844" w:rsidP="00CC4B6B">
            <w:pPr>
              <w:spacing w:before="0" w:after="0"/>
              <w:ind w:left="-43"/>
              <w:jc w:val="right"/>
              <w:rPr>
                <w:sz w:val="16"/>
              </w:rPr>
            </w:pPr>
            <w:proofErr w:type="spellStart"/>
            <w:r>
              <w:rPr>
                <w:sz w:val="16"/>
              </w:rPr>
              <w:t>UoZ</w:t>
            </w:r>
            <w:proofErr w:type="spellEnd"/>
          </w:p>
        </w:tc>
        <w:tc>
          <w:tcPr>
            <w:tcW w:w="8215" w:type="dxa"/>
            <w:vAlign w:val="center"/>
          </w:tcPr>
          <w:p w:rsidR="00F65844" w:rsidRPr="00484D3B" w:rsidRDefault="00F65844" w:rsidP="00CC4B6B">
            <w:pPr>
              <w:tabs>
                <w:tab w:val="left" w:pos="151"/>
              </w:tabs>
              <w:spacing w:before="0" w:after="0"/>
              <w:ind w:left="34"/>
              <w:jc w:val="left"/>
              <w:rPr>
                <w:sz w:val="16"/>
              </w:rPr>
            </w:pPr>
            <w:r>
              <w:rPr>
                <w:sz w:val="16"/>
              </w:rPr>
              <w:t>Uchazeč o zaměstnání</w:t>
            </w:r>
          </w:p>
        </w:tc>
      </w:tr>
      <w:tr w:rsidR="00F65844" w:rsidTr="00F65844">
        <w:trPr>
          <w:trHeight w:val="224"/>
        </w:trPr>
        <w:tc>
          <w:tcPr>
            <w:tcW w:w="1424" w:type="dxa"/>
            <w:vAlign w:val="center"/>
          </w:tcPr>
          <w:p w:rsidR="00F65844" w:rsidRDefault="00F65844" w:rsidP="00CC4B6B">
            <w:pPr>
              <w:spacing w:before="0" w:after="0"/>
              <w:ind w:left="-43"/>
              <w:jc w:val="right"/>
              <w:rPr>
                <w:sz w:val="16"/>
              </w:rPr>
            </w:pPr>
            <w:proofErr w:type="spellStart"/>
            <w:r>
              <w:rPr>
                <w:sz w:val="16"/>
              </w:rPr>
              <w:t>UoZ</w:t>
            </w:r>
            <w:proofErr w:type="spellEnd"/>
            <w:r>
              <w:rPr>
                <w:sz w:val="16"/>
              </w:rPr>
              <w:t>/VPM</w:t>
            </w:r>
          </w:p>
        </w:tc>
        <w:tc>
          <w:tcPr>
            <w:tcW w:w="8215" w:type="dxa"/>
            <w:vAlign w:val="center"/>
          </w:tcPr>
          <w:p w:rsidR="00F65844" w:rsidRDefault="00F65844" w:rsidP="00CC4B6B">
            <w:pPr>
              <w:tabs>
                <w:tab w:val="left" w:pos="151"/>
              </w:tabs>
              <w:spacing w:before="0" w:after="0"/>
              <w:ind w:left="34"/>
              <w:jc w:val="left"/>
              <w:rPr>
                <w:sz w:val="16"/>
              </w:rPr>
            </w:pPr>
            <w:r>
              <w:rPr>
                <w:sz w:val="16"/>
              </w:rPr>
              <w:t>Počet uchazečů o zaměstnání připadajících na jedno volné hlášené pracovní místo</w:t>
            </w:r>
          </w:p>
        </w:tc>
      </w:tr>
      <w:tr w:rsidR="00F65844" w:rsidTr="00F65844">
        <w:trPr>
          <w:trHeight w:val="241"/>
        </w:trPr>
        <w:tc>
          <w:tcPr>
            <w:tcW w:w="1424" w:type="dxa"/>
            <w:vAlign w:val="center"/>
          </w:tcPr>
          <w:p w:rsidR="00F65844" w:rsidRPr="00E17CFD" w:rsidRDefault="00F65844" w:rsidP="00CC4B6B">
            <w:pPr>
              <w:spacing w:before="0" w:after="0"/>
              <w:ind w:left="-43"/>
              <w:jc w:val="right"/>
              <w:rPr>
                <w:sz w:val="16"/>
              </w:rPr>
            </w:pPr>
            <w:r>
              <w:rPr>
                <w:sz w:val="16"/>
              </w:rPr>
              <w:t>ÚP ČR</w:t>
            </w:r>
          </w:p>
        </w:tc>
        <w:tc>
          <w:tcPr>
            <w:tcW w:w="8215" w:type="dxa"/>
            <w:vAlign w:val="center"/>
          </w:tcPr>
          <w:p w:rsidR="00F65844" w:rsidRPr="00E17CFD" w:rsidRDefault="00F65844" w:rsidP="00CC4B6B">
            <w:pPr>
              <w:spacing w:before="0" w:after="0"/>
              <w:ind w:left="34"/>
              <w:jc w:val="left"/>
              <w:rPr>
                <w:sz w:val="16"/>
              </w:rPr>
            </w:pPr>
            <w:r>
              <w:rPr>
                <w:sz w:val="16"/>
              </w:rPr>
              <w:t>Úřad práce České republiky</w:t>
            </w:r>
          </w:p>
        </w:tc>
      </w:tr>
      <w:tr w:rsidR="00F65844" w:rsidTr="00F65844">
        <w:trPr>
          <w:trHeight w:val="241"/>
        </w:trPr>
        <w:tc>
          <w:tcPr>
            <w:tcW w:w="1424" w:type="dxa"/>
            <w:vAlign w:val="center"/>
          </w:tcPr>
          <w:p w:rsidR="00F65844" w:rsidRDefault="00F65844" w:rsidP="00CC4B6B">
            <w:pPr>
              <w:spacing w:before="0" w:after="0"/>
              <w:ind w:left="-43"/>
              <w:jc w:val="right"/>
              <w:rPr>
                <w:sz w:val="16"/>
              </w:rPr>
            </w:pPr>
            <w:r>
              <w:rPr>
                <w:sz w:val="16"/>
              </w:rPr>
              <w:t>VDTP</w:t>
            </w:r>
          </w:p>
        </w:tc>
        <w:tc>
          <w:tcPr>
            <w:tcW w:w="8215" w:type="dxa"/>
            <w:vAlign w:val="center"/>
          </w:tcPr>
          <w:p w:rsidR="00F65844" w:rsidRDefault="00F65844" w:rsidP="00CC4B6B">
            <w:pPr>
              <w:spacing w:before="0" w:after="0"/>
              <w:ind w:left="34"/>
              <w:jc w:val="left"/>
              <w:rPr>
                <w:sz w:val="16"/>
              </w:rPr>
            </w:pPr>
            <w:r>
              <w:rPr>
                <w:sz w:val="16"/>
              </w:rPr>
              <w:t>Vzdělávání a dovednosti pro trh práce – projekt UP ČR zaměřený na podp</w:t>
            </w:r>
            <w:r w:rsidR="0070390E">
              <w:rPr>
                <w:sz w:val="16"/>
              </w:rPr>
              <w:t>oru a realizaci rekvalifikací a </w:t>
            </w:r>
            <w:r>
              <w:rPr>
                <w:sz w:val="16"/>
              </w:rPr>
              <w:t>poradenství</w:t>
            </w:r>
          </w:p>
        </w:tc>
      </w:tr>
      <w:tr w:rsidR="00F65844" w:rsidTr="00F65844">
        <w:trPr>
          <w:trHeight w:val="286"/>
        </w:trPr>
        <w:tc>
          <w:tcPr>
            <w:tcW w:w="1424" w:type="dxa"/>
            <w:vAlign w:val="center"/>
          </w:tcPr>
          <w:p w:rsidR="00F65844" w:rsidRPr="00E17CFD" w:rsidRDefault="00F65844" w:rsidP="00CC4B6B">
            <w:pPr>
              <w:spacing w:before="0" w:after="0"/>
              <w:ind w:left="-43"/>
              <w:jc w:val="right"/>
              <w:rPr>
                <w:sz w:val="16"/>
                <w:szCs w:val="16"/>
              </w:rPr>
            </w:pPr>
            <w:r>
              <w:rPr>
                <w:sz w:val="16"/>
              </w:rPr>
              <w:t>VPM</w:t>
            </w:r>
          </w:p>
        </w:tc>
        <w:tc>
          <w:tcPr>
            <w:tcW w:w="8215" w:type="dxa"/>
            <w:vAlign w:val="center"/>
          </w:tcPr>
          <w:p w:rsidR="00F65844" w:rsidRPr="00E17CFD" w:rsidRDefault="00F65844" w:rsidP="00CC4B6B">
            <w:pPr>
              <w:spacing w:before="0" w:after="0"/>
              <w:ind w:left="34"/>
              <w:jc w:val="left"/>
              <w:rPr>
                <w:sz w:val="16"/>
                <w:szCs w:val="16"/>
              </w:rPr>
            </w:pPr>
            <w:r>
              <w:rPr>
                <w:sz w:val="16"/>
              </w:rPr>
              <w:t>Volné pracovní místo</w:t>
            </w:r>
          </w:p>
        </w:tc>
      </w:tr>
      <w:tr w:rsidR="00F65844" w:rsidTr="00F65844">
        <w:trPr>
          <w:trHeight w:val="241"/>
        </w:trPr>
        <w:tc>
          <w:tcPr>
            <w:tcW w:w="1424" w:type="dxa"/>
            <w:vAlign w:val="center"/>
          </w:tcPr>
          <w:p w:rsidR="00F65844" w:rsidRPr="00E17CFD" w:rsidRDefault="00F65844" w:rsidP="00CC4B6B">
            <w:pPr>
              <w:spacing w:before="0" w:after="0"/>
              <w:ind w:left="-43"/>
              <w:jc w:val="right"/>
              <w:rPr>
                <w:sz w:val="16"/>
              </w:rPr>
            </w:pPr>
            <w:r>
              <w:rPr>
                <w:sz w:val="16"/>
                <w:szCs w:val="16"/>
              </w:rPr>
              <w:t>VPP</w:t>
            </w:r>
          </w:p>
        </w:tc>
        <w:tc>
          <w:tcPr>
            <w:tcW w:w="8215" w:type="dxa"/>
            <w:vAlign w:val="center"/>
          </w:tcPr>
          <w:p w:rsidR="00F65844" w:rsidRPr="00E17CFD" w:rsidRDefault="00F65844" w:rsidP="00CC4B6B">
            <w:pPr>
              <w:spacing w:before="0" w:after="0"/>
              <w:ind w:left="34"/>
              <w:jc w:val="left"/>
              <w:rPr>
                <w:sz w:val="16"/>
              </w:rPr>
            </w:pPr>
            <w:r>
              <w:rPr>
                <w:sz w:val="16"/>
                <w:szCs w:val="16"/>
              </w:rPr>
              <w:t xml:space="preserve">Veřejně prospěné práce (§112 </w:t>
            </w:r>
            <w:proofErr w:type="spellStart"/>
            <w:r>
              <w:rPr>
                <w:sz w:val="16"/>
                <w:szCs w:val="16"/>
              </w:rPr>
              <w:t>ZoZ</w:t>
            </w:r>
            <w:proofErr w:type="spellEnd"/>
            <w:r>
              <w:rPr>
                <w:sz w:val="16"/>
                <w:szCs w:val="16"/>
              </w:rPr>
              <w:t>)</w:t>
            </w:r>
          </w:p>
        </w:tc>
      </w:tr>
      <w:tr w:rsidR="00F65844" w:rsidTr="00F65844">
        <w:trPr>
          <w:trHeight w:val="224"/>
        </w:trPr>
        <w:tc>
          <w:tcPr>
            <w:tcW w:w="1424" w:type="dxa"/>
            <w:vAlign w:val="center"/>
          </w:tcPr>
          <w:p w:rsidR="00F65844" w:rsidRPr="00484D3B" w:rsidRDefault="00F65844" w:rsidP="00CC4B6B">
            <w:pPr>
              <w:spacing w:before="0" w:after="0"/>
              <w:ind w:left="-43"/>
              <w:jc w:val="right"/>
              <w:rPr>
                <w:sz w:val="16"/>
              </w:rPr>
            </w:pPr>
            <w:r>
              <w:rPr>
                <w:sz w:val="16"/>
              </w:rPr>
              <w:t>VŠ</w:t>
            </w:r>
          </w:p>
        </w:tc>
        <w:tc>
          <w:tcPr>
            <w:tcW w:w="8215" w:type="dxa"/>
            <w:vAlign w:val="center"/>
          </w:tcPr>
          <w:p w:rsidR="00F65844" w:rsidRPr="00484D3B" w:rsidRDefault="00F65844" w:rsidP="00CC4B6B">
            <w:pPr>
              <w:tabs>
                <w:tab w:val="left" w:pos="151"/>
              </w:tabs>
              <w:spacing w:before="0" w:after="0"/>
              <w:ind w:left="34"/>
              <w:jc w:val="left"/>
              <w:rPr>
                <w:sz w:val="16"/>
              </w:rPr>
            </w:pPr>
            <w:r>
              <w:rPr>
                <w:sz w:val="16"/>
              </w:rPr>
              <w:t>vysoká škola, vysokoškolské vzdělání</w:t>
            </w:r>
          </w:p>
        </w:tc>
      </w:tr>
      <w:tr w:rsidR="00636031" w:rsidTr="00F65844">
        <w:trPr>
          <w:trHeight w:val="224"/>
        </w:trPr>
        <w:tc>
          <w:tcPr>
            <w:tcW w:w="1424" w:type="dxa"/>
            <w:vAlign w:val="center"/>
          </w:tcPr>
          <w:p w:rsidR="00636031" w:rsidRDefault="00636031" w:rsidP="00CC4B6B">
            <w:pPr>
              <w:spacing w:before="0" w:after="0"/>
              <w:ind w:left="-43"/>
              <w:jc w:val="right"/>
              <w:rPr>
                <w:sz w:val="16"/>
              </w:rPr>
            </w:pPr>
            <w:r>
              <w:rPr>
                <w:sz w:val="16"/>
              </w:rPr>
              <w:t>VŠPS</w:t>
            </w:r>
          </w:p>
        </w:tc>
        <w:tc>
          <w:tcPr>
            <w:tcW w:w="8215" w:type="dxa"/>
            <w:vAlign w:val="center"/>
          </w:tcPr>
          <w:p w:rsidR="00636031" w:rsidRDefault="00636031" w:rsidP="00CC4B6B">
            <w:pPr>
              <w:tabs>
                <w:tab w:val="left" w:pos="151"/>
              </w:tabs>
              <w:spacing w:before="0" w:after="0"/>
              <w:ind w:left="34"/>
              <w:jc w:val="left"/>
              <w:rPr>
                <w:sz w:val="16"/>
              </w:rPr>
            </w:pPr>
            <w:r>
              <w:rPr>
                <w:sz w:val="16"/>
              </w:rPr>
              <w:t>Výběrové šetření pracovních sil</w:t>
            </w:r>
          </w:p>
        </w:tc>
      </w:tr>
      <w:tr w:rsidR="00F65844" w:rsidTr="00F65844">
        <w:trPr>
          <w:trHeight w:val="241"/>
        </w:trPr>
        <w:tc>
          <w:tcPr>
            <w:tcW w:w="1424" w:type="dxa"/>
            <w:vAlign w:val="center"/>
          </w:tcPr>
          <w:p w:rsidR="00F65844" w:rsidRPr="00484D3B" w:rsidRDefault="00F65844" w:rsidP="00CC4B6B">
            <w:pPr>
              <w:spacing w:before="0" w:after="0"/>
              <w:ind w:left="-43"/>
              <w:jc w:val="right"/>
              <w:rPr>
                <w:sz w:val="16"/>
              </w:rPr>
            </w:pPr>
            <w:r>
              <w:rPr>
                <w:sz w:val="16"/>
              </w:rPr>
              <w:t>VÚPSV</w:t>
            </w:r>
          </w:p>
        </w:tc>
        <w:tc>
          <w:tcPr>
            <w:tcW w:w="8215" w:type="dxa"/>
            <w:vAlign w:val="center"/>
          </w:tcPr>
          <w:p w:rsidR="00F65844" w:rsidRPr="00484D3B" w:rsidRDefault="00F65844" w:rsidP="00CC4B6B">
            <w:pPr>
              <w:tabs>
                <w:tab w:val="left" w:pos="151"/>
              </w:tabs>
              <w:spacing w:before="0" w:after="0"/>
              <w:ind w:left="34"/>
              <w:jc w:val="left"/>
              <w:rPr>
                <w:sz w:val="16"/>
              </w:rPr>
            </w:pPr>
            <w:r>
              <w:rPr>
                <w:sz w:val="16"/>
              </w:rPr>
              <w:t xml:space="preserve">Výzkumný ústav práce a sociálních věcí, </w:t>
            </w:r>
            <w:proofErr w:type="spellStart"/>
            <w:proofErr w:type="gramStart"/>
            <w:r>
              <w:rPr>
                <w:sz w:val="16"/>
              </w:rPr>
              <w:t>v.v.</w:t>
            </w:r>
            <w:proofErr w:type="gramEnd"/>
            <w:r>
              <w:rPr>
                <w:sz w:val="16"/>
              </w:rPr>
              <w:t>i</w:t>
            </w:r>
            <w:proofErr w:type="spellEnd"/>
          </w:p>
        </w:tc>
      </w:tr>
      <w:tr w:rsidR="00F65844" w:rsidTr="00F65844">
        <w:trPr>
          <w:trHeight w:val="224"/>
        </w:trPr>
        <w:tc>
          <w:tcPr>
            <w:tcW w:w="1424" w:type="dxa"/>
            <w:vAlign w:val="center"/>
          </w:tcPr>
          <w:p w:rsidR="00F65844" w:rsidRPr="00484D3B" w:rsidRDefault="00F65844" w:rsidP="00CC4B6B">
            <w:pPr>
              <w:spacing w:before="0" w:after="0"/>
              <w:ind w:left="-43"/>
              <w:jc w:val="right"/>
              <w:rPr>
                <w:sz w:val="16"/>
              </w:rPr>
            </w:pPr>
            <w:r w:rsidRPr="00E17CFD">
              <w:rPr>
                <w:sz w:val="16"/>
              </w:rPr>
              <w:t>VYS</w:t>
            </w:r>
          </w:p>
        </w:tc>
        <w:tc>
          <w:tcPr>
            <w:tcW w:w="8215" w:type="dxa"/>
            <w:vAlign w:val="center"/>
          </w:tcPr>
          <w:p w:rsidR="00F65844" w:rsidRPr="00484D3B" w:rsidRDefault="00F65844" w:rsidP="00CC4B6B">
            <w:pPr>
              <w:tabs>
                <w:tab w:val="left" w:pos="151"/>
              </w:tabs>
              <w:spacing w:before="0" w:after="0"/>
              <w:ind w:left="34"/>
              <w:jc w:val="left"/>
              <w:rPr>
                <w:sz w:val="16"/>
              </w:rPr>
            </w:pPr>
            <w:r w:rsidRPr="00E17CFD">
              <w:rPr>
                <w:sz w:val="16"/>
              </w:rPr>
              <w:t>Kraj Vysočina</w:t>
            </w:r>
          </w:p>
        </w:tc>
      </w:tr>
      <w:tr w:rsidR="00F65844" w:rsidTr="00F65844">
        <w:trPr>
          <w:trHeight w:val="241"/>
        </w:trPr>
        <w:tc>
          <w:tcPr>
            <w:tcW w:w="1424" w:type="dxa"/>
            <w:vAlign w:val="center"/>
          </w:tcPr>
          <w:p w:rsidR="00F65844" w:rsidRPr="00E17CFD" w:rsidRDefault="00F65844" w:rsidP="00CC4B6B">
            <w:pPr>
              <w:spacing w:before="0" w:after="0"/>
              <w:ind w:left="-43"/>
              <w:jc w:val="right"/>
              <w:rPr>
                <w:sz w:val="16"/>
                <w:szCs w:val="16"/>
              </w:rPr>
            </w:pPr>
            <w:r>
              <w:rPr>
                <w:sz w:val="16"/>
              </w:rPr>
              <w:t>ZLK</w:t>
            </w:r>
          </w:p>
        </w:tc>
        <w:tc>
          <w:tcPr>
            <w:tcW w:w="8215" w:type="dxa"/>
            <w:vAlign w:val="center"/>
          </w:tcPr>
          <w:p w:rsidR="00F65844" w:rsidRPr="00E17CFD" w:rsidRDefault="00F65844" w:rsidP="00CC4B6B">
            <w:pPr>
              <w:spacing w:before="0" w:after="0"/>
              <w:ind w:left="34"/>
              <w:jc w:val="left"/>
              <w:rPr>
                <w:sz w:val="16"/>
                <w:szCs w:val="16"/>
              </w:rPr>
            </w:pPr>
            <w:r>
              <w:rPr>
                <w:sz w:val="16"/>
              </w:rPr>
              <w:t>Zlínský kraj</w:t>
            </w:r>
          </w:p>
        </w:tc>
      </w:tr>
      <w:tr w:rsidR="00F65844" w:rsidTr="00F65844">
        <w:trPr>
          <w:trHeight w:val="224"/>
        </w:trPr>
        <w:tc>
          <w:tcPr>
            <w:tcW w:w="1424" w:type="dxa"/>
            <w:vAlign w:val="center"/>
          </w:tcPr>
          <w:p w:rsidR="00F65844" w:rsidRDefault="00F65844" w:rsidP="00CC4B6B">
            <w:pPr>
              <w:spacing w:before="0" w:after="0"/>
              <w:ind w:left="-43"/>
              <w:jc w:val="right"/>
              <w:rPr>
                <w:sz w:val="16"/>
              </w:rPr>
            </w:pPr>
            <w:proofErr w:type="spellStart"/>
            <w:r>
              <w:rPr>
                <w:sz w:val="16"/>
              </w:rPr>
              <w:t>ZoZ</w:t>
            </w:r>
            <w:proofErr w:type="spellEnd"/>
          </w:p>
        </w:tc>
        <w:tc>
          <w:tcPr>
            <w:tcW w:w="8215" w:type="dxa"/>
            <w:vAlign w:val="center"/>
          </w:tcPr>
          <w:p w:rsidR="00F65844" w:rsidRDefault="00F65844" w:rsidP="00CC4B6B">
            <w:pPr>
              <w:spacing w:before="0" w:after="0"/>
              <w:ind w:left="34"/>
              <w:jc w:val="left"/>
              <w:rPr>
                <w:sz w:val="16"/>
              </w:rPr>
            </w:pPr>
            <w:r>
              <w:rPr>
                <w:sz w:val="16"/>
              </w:rPr>
              <w:t>Zákon č. 435/2004 Sb., o zaměstnanosti, ve znění pozdějších předpisů (rovněž jako „zákon o zaměstnanosti“)</w:t>
            </w:r>
          </w:p>
        </w:tc>
      </w:tr>
      <w:tr w:rsidR="00F65844" w:rsidTr="00F65844">
        <w:trPr>
          <w:trHeight w:val="224"/>
        </w:trPr>
        <w:tc>
          <w:tcPr>
            <w:tcW w:w="1424" w:type="dxa"/>
            <w:vAlign w:val="center"/>
          </w:tcPr>
          <w:p w:rsidR="00F65844" w:rsidRDefault="00F65844" w:rsidP="00CC4B6B">
            <w:pPr>
              <w:spacing w:before="0" w:after="0"/>
              <w:ind w:left="-43"/>
              <w:jc w:val="right"/>
              <w:rPr>
                <w:sz w:val="16"/>
              </w:rPr>
            </w:pPr>
            <w:r>
              <w:rPr>
                <w:sz w:val="16"/>
              </w:rPr>
              <w:t>ZŠ</w:t>
            </w:r>
          </w:p>
        </w:tc>
        <w:tc>
          <w:tcPr>
            <w:tcW w:w="8215" w:type="dxa"/>
            <w:vAlign w:val="center"/>
          </w:tcPr>
          <w:p w:rsidR="00F65844" w:rsidRDefault="00F65844" w:rsidP="00CC4B6B">
            <w:pPr>
              <w:spacing w:before="0" w:after="0"/>
              <w:ind w:left="34"/>
              <w:jc w:val="left"/>
              <w:rPr>
                <w:sz w:val="16"/>
              </w:rPr>
            </w:pPr>
            <w:r>
              <w:rPr>
                <w:sz w:val="16"/>
              </w:rPr>
              <w:t>Základní škola, základní vzdělání</w:t>
            </w:r>
          </w:p>
        </w:tc>
      </w:tr>
      <w:tr w:rsidR="00F65844" w:rsidTr="00F65844">
        <w:trPr>
          <w:trHeight w:val="224"/>
        </w:trPr>
        <w:tc>
          <w:tcPr>
            <w:tcW w:w="1424" w:type="dxa"/>
            <w:vAlign w:val="center"/>
          </w:tcPr>
          <w:p w:rsidR="00F65844" w:rsidRDefault="00F65844" w:rsidP="00CC4B6B">
            <w:pPr>
              <w:spacing w:before="0" w:after="0"/>
              <w:ind w:left="-43"/>
              <w:jc w:val="right"/>
              <w:rPr>
                <w:sz w:val="16"/>
              </w:rPr>
            </w:pPr>
          </w:p>
        </w:tc>
        <w:tc>
          <w:tcPr>
            <w:tcW w:w="8215" w:type="dxa"/>
            <w:vAlign w:val="center"/>
          </w:tcPr>
          <w:p w:rsidR="00F65844" w:rsidRDefault="00F65844" w:rsidP="00CC4B6B">
            <w:pPr>
              <w:spacing w:before="0" w:after="0"/>
              <w:ind w:left="34"/>
              <w:jc w:val="left"/>
              <w:rPr>
                <w:sz w:val="16"/>
              </w:rPr>
            </w:pPr>
          </w:p>
        </w:tc>
      </w:tr>
      <w:tr w:rsidR="00F65844" w:rsidTr="00F65844">
        <w:trPr>
          <w:trHeight w:val="224"/>
        </w:trPr>
        <w:tc>
          <w:tcPr>
            <w:tcW w:w="1424" w:type="dxa"/>
            <w:vAlign w:val="center"/>
          </w:tcPr>
          <w:p w:rsidR="00F65844" w:rsidRPr="00F65844" w:rsidRDefault="00F65844" w:rsidP="00F65844">
            <w:pPr>
              <w:pStyle w:val="Seznamobrzk"/>
              <w:spacing w:before="0" w:after="0"/>
              <w:jc w:val="right"/>
              <w:rPr>
                <w:rFonts w:asciiTheme="majorHAnsi" w:hAnsiTheme="majorHAnsi"/>
                <w:b/>
                <w:color w:val="0070C0"/>
                <w:sz w:val="20"/>
                <w:lang w:eastAsia="cs-CZ"/>
              </w:rPr>
            </w:pPr>
            <w:r w:rsidRPr="00F65844">
              <w:rPr>
                <w:rFonts w:asciiTheme="majorHAnsi" w:hAnsiTheme="majorHAnsi"/>
                <w:b/>
                <w:color w:val="0070C0"/>
                <w:sz w:val="20"/>
                <w:lang w:eastAsia="cs-CZ"/>
              </w:rPr>
              <w:t>Poznámka</w:t>
            </w:r>
          </w:p>
        </w:tc>
        <w:tc>
          <w:tcPr>
            <w:tcW w:w="8215" w:type="dxa"/>
            <w:vAlign w:val="center"/>
          </w:tcPr>
          <w:p w:rsidR="00F65844" w:rsidRPr="00F65844" w:rsidRDefault="00F65844" w:rsidP="00CC4B6B">
            <w:pPr>
              <w:spacing w:before="0" w:after="0"/>
              <w:ind w:left="34"/>
              <w:jc w:val="left"/>
              <w:rPr>
                <w:i/>
                <w:sz w:val="16"/>
              </w:rPr>
            </w:pPr>
            <w:r>
              <w:rPr>
                <w:i/>
                <w:sz w:val="16"/>
              </w:rPr>
              <w:t xml:space="preserve">Není-li uvedeno jinak, pak k vypracování analýzy jsou použita data MPSV, resp. UP </w:t>
            </w:r>
            <w:r w:rsidR="0070390E">
              <w:rPr>
                <w:i/>
                <w:sz w:val="16"/>
              </w:rPr>
              <w:t>ČR. Statistické informace o </w:t>
            </w:r>
            <w:r>
              <w:rPr>
                <w:i/>
                <w:sz w:val="16"/>
              </w:rPr>
              <w:t xml:space="preserve">trhu práce jsou zveřejňovány na Integrovaném portále MPSV na adrese: </w:t>
            </w:r>
            <w:hyperlink r:id="rId15" w:history="1">
              <w:r w:rsidRPr="009078D0">
                <w:rPr>
                  <w:rStyle w:val="Hypertextovodkaz"/>
                  <w:i/>
                  <w:sz w:val="16"/>
                </w:rPr>
                <w:t>http://portal.mpsv.cz/sz/stat</w:t>
              </w:r>
            </w:hyperlink>
            <w:r>
              <w:rPr>
                <w:i/>
                <w:sz w:val="16"/>
              </w:rPr>
              <w:t xml:space="preserve"> </w:t>
            </w:r>
          </w:p>
        </w:tc>
      </w:tr>
    </w:tbl>
    <w:p w:rsidR="00CC4B6B" w:rsidRDefault="00CC4B6B" w:rsidP="002A3A1A">
      <w:pPr>
        <w:pStyle w:val="Nadpis1"/>
        <w:sectPr w:rsidR="00CC4B6B" w:rsidSect="00CC4B6B">
          <w:footerReference w:type="default" r:id="rId16"/>
          <w:pgSz w:w="11906" w:h="16838"/>
          <w:pgMar w:top="1417" w:right="1417" w:bottom="1417" w:left="1417" w:header="708" w:footer="708" w:gutter="0"/>
          <w:pgNumType w:fmt="lowerRoman" w:start="1"/>
          <w:cols w:space="708"/>
          <w:docGrid w:linePitch="360"/>
        </w:sectPr>
      </w:pPr>
    </w:p>
    <w:p w:rsidR="00F2095D" w:rsidRDefault="00F2095D" w:rsidP="00F2095D">
      <w:pPr>
        <w:pStyle w:val="Nadpis1"/>
        <w:numPr>
          <w:ilvl w:val="0"/>
          <w:numId w:val="0"/>
        </w:numPr>
        <w:ind w:left="360"/>
      </w:pPr>
      <w:bookmarkStart w:id="1" w:name="_Toc509474118"/>
      <w:r>
        <w:t>Manažerské shrnutí</w:t>
      </w:r>
      <w:bookmarkEnd w:id="1"/>
    </w:p>
    <w:p w:rsidR="00734E29" w:rsidRPr="00734E29" w:rsidRDefault="00734E29" w:rsidP="00734E29">
      <w:r>
        <w:t>Analýza</w:t>
      </w:r>
      <w:r w:rsidR="003E1F27">
        <w:t xml:space="preserve"> nabídky a poptávky na trhu práce, průběžná zpráva – stav k 31. 12. 2017 (dále jen také jako „Analýza“)</w:t>
      </w:r>
      <w:r>
        <w:t xml:space="preserve"> je vypracována na základě usnesení vlády č. 1127 ze dne 14. prosince 2016 o Analýze nabídky a poptávky na trhu práce. Průběžná zpráva – stav k 31. 12. 2017 se sestává z 3 částí. </w:t>
      </w:r>
      <w:r w:rsidRPr="00734E29">
        <w:rPr>
          <w:b/>
        </w:rPr>
        <w:t>Část A</w:t>
      </w:r>
      <w:r w:rsidR="003E1F27">
        <w:t xml:space="preserve"> se věnuje rozboru nabídky a </w:t>
      </w:r>
      <w:r>
        <w:t>poptávky na trhu práce, zejména s ohledem na st</w:t>
      </w:r>
      <w:r w:rsidR="003E1F27">
        <w:t>rukturu uchazečů o zaměstnání a </w:t>
      </w:r>
      <w:r>
        <w:t xml:space="preserve">požadavky trhu práce vyjádřené strukturou hlášených volných pracovních míst. </w:t>
      </w:r>
      <w:r w:rsidRPr="00734E29">
        <w:rPr>
          <w:b/>
        </w:rPr>
        <w:t>V části B</w:t>
      </w:r>
      <w:r>
        <w:rPr>
          <w:b/>
        </w:rPr>
        <w:t xml:space="preserve"> </w:t>
      </w:r>
      <w:r>
        <w:t xml:space="preserve">je detailněji proveden rozbor dlouhodobé nezaměstnanosti, ta sice v posledních obdobích významně klesá, nicméně nadále je příčinou bránící vyšší nivelizaci mezi nabídkovou a poptávkovou stranou trhu práce. Poslední </w:t>
      </w:r>
      <w:r>
        <w:rPr>
          <w:b/>
        </w:rPr>
        <w:t>část C</w:t>
      </w:r>
      <w:r>
        <w:t xml:space="preserve"> je věnována popisu plnění opatření vymezených </w:t>
      </w:r>
      <w:r w:rsidR="003E1F27">
        <w:t>v Analýze nabídky a poptávky na trhu práce, schválené usnesením</w:t>
      </w:r>
      <w:r>
        <w:t xml:space="preserve"> vlády č. 1127/2016. Níže uvádíme shrnutí nejzásadnějších bodů Analýzy:</w:t>
      </w:r>
    </w:p>
    <w:p w:rsidR="00F2095D" w:rsidRDefault="00F2095D" w:rsidP="00F2095D">
      <w:pPr>
        <w:pStyle w:val="Odstavecseseznamem"/>
        <w:numPr>
          <w:ilvl w:val="0"/>
          <w:numId w:val="29"/>
        </w:numPr>
        <w:spacing w:before="120" w:line="240" w:lineRule="auto"/>
        <w:ind w:left="426" w:hanging="426"/>
        <w:contextualSpacing w:val="0"/>
      </w:pPr>
      <w:r>
        <w:t>Ve 2. polovině roku 2017 pokračoval příznivý trend na trhu práce vyznačující se poklesem počtu uchazečů o zaměstnání. Jejich počet meziročně klesl o více jak 100 000 k 31. 12. 2017 z počtu 381 373 na 280 620 osob. Podíl nezaměstnaných osob ke stejnému datu klesl na 3,8 %.</w:t>
      </w:r>
    </w:p>
    <w:p w:rsidR="00F2095D" w:rsidRDefault="00F2095D" w:rsidP="00F2095D">
      <w:pPr>
        <w:pStyle w:val="Odstavecseseznamem"/>
        <w:numPr>
          <w:ilvl w:val="0"/>
          <w:numId w:val="29"/>
        </w:numPr>
        <w:spacing w:before="120" w:line="240" w:lineRule="auto"/>
        <w:ind w:left="426" w:hanging="426"/>
        <w:contextualSpacing w:val="0"/>
      </w:pPr>
      <w:r>
        <w:t>Souběžně pokračoval růst volných pracovních míst, jejich počet k 31. 12. 2017 dosáhl hodnoty 216 629, což tedy znamená, že ke konci roku 2017 se o jedno volné pracovní místo ucházelo 1,3 uchazeče o zaměstnání.</w:t>
      </w:r>
    </w:p>
    <w:p w:rsidR="00F2095D" w:rsidRDefault="00F2095D" w:rsidP="00F2095D">
      <w:pPr>
        <w:pStyle w:val="Odstavecseseznamem"/>
        <w:numPr>
          <w:ilvl w:val="0"/>
          <w:numId w:val="29"/>
        </w:numPr>
        <w:spacing w:before="120" w:line="240" w:lineRule="auto"/>
        <w:ind w:left="426" w:hanging="426"/>
        <w:contextualSpacing w:val="0"/>
      </w:pPr>
      <w:r>
        <w:t>Český trh práce se nachází hluboko pod přirozenou mírou nezaměstnanosti a ve stavu nedostatku volné pracovní síly z řad uchazečů o zaměstnání, zejména v některých profesích a regionech.</w:t>
      </w:r>
    </w:p>
    <w:p w:rsidR="00F2095D" w:rsidRDefault="00F2095D" w:rsidP="00F2095D">
      <w:pPr>
        <w:pStyle w:val="Odstavecseseznamem"/>
        <w:numPr>
          <w:ilvl w:val="0"/>
          <w:numId w:val="29"/>
        </w:numPr>
        <w:spacing w:before="120" w:line="240" w:lineRule="auto"/>
        <w:ind w:left="426" w:hanging="426"/>
        <w:contextualSpacing w:val="0"/>
      </w:pPr>
      <w:r>
        <w:t>Na trhu práce jsou však nejvíce žádaná povolání s nízkými požadavky na kvalifikaci, zejména mezi nově hlášenými pracovními místy, a v pomocných a nekvalifikovaných profesích.</w:t>
      </w:r>
    </w:p>
    <w:p w:rsidR="00F2095D" w:rsidRDefault="00F2095D" w:rsidP="00F2095D">
      <w:pPr>
        <w:pStyle w:val="Odstavecseseznamem"/>
        <w:numPr>
          <w:ilvl w:val="0"/>
          <w:numId w:val="29"/>
        </w:numPr>
        <w:spacing w:before="120" w:line="240" w:lineRule="auto"/>
        <w:ind w:left="426" w:hanging="426"/>
        <w:contextualSpacing w:val="0"/>
      </w:pPr>
      <w:r>
        <w:t xml:space="preserve">Problém s obsazováním pracovních míst je patrný zejména v řemeslnických profesích a v případě </w:t>
      </w:r>
      <w:proofErr w:type="spellStart"/>
      <w:r>
        <w:t>vysocekvalifikovaných</w:t>
      </w:r>
      <w:proofErr w:type="spellEnd"/>
      <w:r>
        <w:t xml:space="preserve"> profesí (specialisté), přestože z pohledu kvalifikační struktury se tyto profese vyznačují nadprůměrným počtem uchazečů o zaměstnání na volné pracovní místo.</w:t>
      </w:r>
    </w:p>
    <w:p w:rsidR="00F2095D" w:rsidRDefault="00F2095D" w:rsidP="00F2095D">
      <w:pPr>
        <w:pStyle w:val="Odstavecseseznamem"/>
        <w:numPr>
          <w:ilvl w:val="0"/>
          <w:numId w:val="29"/>
        </w:numPr>
        <w:spacing w:before="120" w:line="240" w:lineRule="auto"/>
        <w:ind w:left="426" w:hanging="426"/>
        <w:contextualSpacing w:val="0"/>
      </w:pPr>
      <w:r>
        <w:t xml:space="preserve">Příznivá situace na trhu práce se projevuje ve zlepšení postavení </w:t>
      </w:r>
      <w:r w:rsidR="00734E29">
        <w:t>znevýhodněných</w:t>
      </w:r>
      <w:r>
        <w:t xml:space="preserve"> osob na trhu práce, klesá dlouhodobá nezaměstnanost</w:t>
      </w:r>
      <w:r w:rsidR="00734E29">
        <w:t>,</w:t>
      </w:r>
      <w:r>
        <w:t xml:space="preserve"> a to jak v absolutních číslech, tak v relativních ukazatelích</w:t>
      </w:r>
      <w:r w:rsidR="009524F7">
        <w:t>.</w:t>
      </w:r>
    </w:p>
    <w:p w:rsidR="00F2095D" w:rsidRDefault="00F2095D" w:rsidP="00F2095D">
      <w:pPr>
        <w:pStyle w:val="Odstavecseseznamem"/>
        <w:numPr>
          <w:ilvl w:val="0"/>
          <w:numId w:val="29"/>
        </w:numPr>
        <w:spacing w:before="120" w:line="240" w:lineRule="auto"/>
        <w:ind w:left="426" w:hanging="426"/>
        <w:contextualSpacing w:val="0"/>
      </w:pPr>
      <w:r>
        <w:t>Se vznikem dlouhodobé nezaměstnanosti souvisejí zejména vyšší věk, nízké vzdělání a zdravotní stav, všechny tyto skupiny jsou mezi uchazeči o zaměstnání evidovanými déle než 12 měsíců zastoupeni nadprůměrně. S dlouhodobou nezaměstnaností je rovněž spojen vznik hmotné nouze a související pobírání příslušných dávek. Problémem se čím dál více stávají exekuce.</w:t>
      </w:r>
    </w:p>
    <w:p w:rsidR="00F2095D" w:rsidRPr="00F2095D" w:rsidRDefault="00F2095D" w:rsidP="00F2095D">
      <w:pPr>
        <w:pStyle w:val="Odstavecseseznamem"/>
        <w:numPr>
          <w:ilvl w:val="0"/>
          <w:numId w:val="29"/>
        </w:numPr>
        <w:spacing w:before="120" w:line="240" w:lineRule="auto"/>
        <w:ind w:left="426" w:hanging="426"/>
        <w:contextualSpacing w:val="0"/>
      </w:pPr>
      <w:r>
        <w:t xml:space="preserve">Z navržených 17 opatření, které mají přispět k vyššímu </w:t>
      </w:r>
      <w:r w:rsidR="00734E29">
        <w:t>souladu mezi nabídkou a </w:t>
      </w:r>
      <w:r>
        <w:t xml:space="preserve">poptávkou na trhu práce a maximálnímu využití dostupné pracovní síly v podobě uchazečů o zaměstnání bylo k 31. 12. 2017 </w:t>
      </w:r>
      <w:r w:rsidR="00734E29">
        <w:t>5 opatření splněno, 5 </w:t>
      </w:r>
      <w:r w:rsidR="00D714B3">
        <w:t>opatření plněno průběžně a 7</w:t>
      </w:r>
      <w:r>
        <w:t xml:space="preserve"> opatření řešeno.</w:t>
      </w:r>
    </w:p>
    <w:p w:rsidR="008D625D" w:rsidRPr="00184D13" w:rsidRDefault="008D625D" w:rsidP="002A3A1A">
      <w:pPr>
        <w:pStyle w:val="Nadpis1"/>
      </w:pPr>
      <w:bookmarkStart w:id="2" w:name="_Toc509474119"/>
      <w:r w:rsidRPr="00184D13">
        <w:t>Analýza nabídky a poptávky</w:t>
      </w:r>
      <w:bookmarkEnd w:id="2"/>
    </w:p>
    <w:p w:rsidR="008D625D" w:rsidRPr="008D625D" w:rsidRDefault="008D625D" w:rsidP="002A3A1A">
      <w:pPr>
        <w:pStyle w:val="Nadpis2"/>
      </w:pPr>
      <w:bookmarkStart w:id="3" w:name="_Toc509474120"/>
      <w:r w:rsidRPr="008D625D">
        <w:t>Situace na trhu práce k 31. 12. 2017</w:t>
      </w:r>
      <w:bookmarkEnd w:id="3"/>
    </w:p>
    <w:p w:rsidR="008D625D" w:rsidRDefault="008D625D" w:rsidP="002A3A1A">
      <w:r w:rsidRPr="008D625D">
        <w:t xml:space="preserve">K 31. 12. 2017 evidoval Úřad práce České republiky (ÚP ČR) </w:t>
      </w:r>
      <w:r w:rsidRPr="008D625D">
        <w:rPr>
          <w:b/>
        </w:rPr>
        <w:t>28</w:t>
      </w:r>
      <w:r w:rsidR="009524F7">
        <w:rPr>
          <w:b/>
        </w:rPr>
        <w:t>0</w:t>
      </w:r>
      <w:r w:rsidRPr="008D625D">
        <w:rPr>
          <w:b/>
        </w:rPr>
        <w:t> </w:t>
      </w:r>
      <w:r w:rsidR="009524F7">
        <w:rPr>
          <w:b/>
        </w:rPr>
        <w:t>620</w:t>
      </w:r>
      <w:r w:rsidRPr="008D625D">
        <w:rPr>
          <w:b/>
        </w:rPr>
        <w:t xml:space="preserve"> </w:t>
      </w:r>
      <w:r>
        <w:rPr>
          <w:b/>
        </w:rPr>
        <w:t>uchazečů o </w:t>
      </w:r>
      <w:r w:rsidRPr="008D625D">
        <w:rPr>
          <w:b/>
        </w:rPr>
        <w:t>zaměstnání</w:t>
      </w:r>
      <w:r w:rsidR="00413C26">
        <w:rPr>
          <w:b/>
        </w:rPr>
        <w:t xml:space="preserve"> </w:t>
      </w:r>
      <w:r w:rsidR="00413C26">
        <w:t>(</w:t>
      </w:r>
      <w:proofErr w:type="spellStart"/>
      <w:r w:rsidR="00413C26">
        <w:t>UoZ</w:t>
      </w:r>
      <w:proofErr w:type="spellEnd"/>
      <w:r w:rsidR="00413C26">
        <w:t>)</w:t>
      </w:r>
      <w:r w:rsidRPr="008D625D">
        <w:t xml:space="preserve">, což bylo o </w:t>
      </w:r>
      <w:r w:rsidR="00423BAC">
        <w:t>15 151</w:t>
      </w:r>
      <w:r w:rsidRPr="008D625D">
        <w:t xml:space="preserve"> osob více než v listopadu 2017, zárove</w:t>
      </w:r>
      <w:r>
        <w:t>ň však o </w:t>
      </w:r>
      <w:r w:rsidRPr="008D625D">
        <w:t>100 </w:t>
      </w:r>
      <w:r w:rsidR="00423BAC">
        <w:t>753</w:t>
      </w:r>
      <w:r w:rsidRPr="008D625D">
        <w:t xml:space="preserve"> osob méně než koncem prosince 2016.</w:t>
      </w:r>
      <w:r>
        <w:t xml:space="preserve"> I přes sezónní vliv projevující se ukončováním některých prací v průběhu zimních</w:t>
      </w:r>
      <w:r w:rsidR="002A3A1A">
        <w:t xml:space="preserve"> měsíců pokles počet uchazečů o </w:t>
      </w:r>
      <w:r>
        <w:t xml:space="preserve">zaměstnání o </w:t>
      </w:r>
      <w:r w:rsidR="00423BAC">
        <w:t xml:space="preserve">16 819 osob oproti konci června 2017. </w:t>
      </w:r>
      <w:r>
        <w:t xml:space="preserve">Podíl nezaměstnaných osob </w:t>
      </w:r>
      <w:r w:rsidR="00CD0317">
        <w:t xml:space="preserve">(PNO) </w:t>
      </w:r>
      <w:r>
        <w:t>činil 3,8 %</w:t>
      </w:r>
      <w:r w:rsidR="00423BAC">
        <w:t xml:space="preserve">, což bylo o 1,4 p. b. </w:t>
      </w:r>
      <w:proofErr w:type="gramStart"/>
      <w:r w:rsidR="00423BAC">
        <w:t>méně</w:t>
      </w:r>
      <w:proofErr w:type="gramEnd"/>
      <w:r w:rsidR="00423BAC">
        <w:t xml:space="preserve"> než ve stejném období roku 2016 a o 0,2 p. b.</w:t>
      </w:r>
      <w:r>
        <w:t xml:space="preserve"> </w:t>
      </w:r>
      <w:r w:rsidR="00423BAC">
        <w:t xml:space="preserve">méně než v červnu 2017 (datum poslední průběžné zprávy). </w:t>
      </w:r>
    </w:p>
    <w:p w:rsidR="00CD2B30" w:rsidRPr="00D76028" w:rsidRDefault="00423BAC" w:rsidP="002A3A1A">
      <w:r>
        <w:t>Zároveň bylo koncem prosince 2017 hlášeno celkem 216 629 volných pracovních míst</w:t>
      </w:r>
      <w:r w:rsidR="00413C26">
        <w:t xml:space="preserve"> (VPM)</w:t>
      </w:r>
      <w:r>
        <w:t xml:space="preserve">, tj. o 84 133 více než v prosinci 2016 a o 33 129 více než v červnu 2017, což i přes sezónní vlivy byla doposud nejvyšší sledovaná hodnota. </w:t>
      </w:r>
      <w:r>
        <w:rPr>
          <w:b/>
        </w:rPr>
        <w:t xml:space="preserve">V průběhu </w:t>
      </w:r>
      <w:r w:rsidR="00CD2B30">
        <w:rPr>
          <w:b/>
        </w:rPr>
        <w:t>celého 2. </w:t>
      </w:r>
      <w:r>
        <w:rPr>
          <w:b/>
        </w:rPr>
        <w:t>pololetí roku 2017 vykazoval český trh pr</w:t>
      </w:r>
      <w:r w:rsidR="00B85166">
        <w:rPr>
          <w:b/>
        </w:rPr>
        <w:t>áce rekordní</w:t>
      </w:r>
      <w:r>
        <w:rPr>
          <w:b/>
        </w:rPr>
        <w:t xml:space="preserve"> hodnot</w:t>
      </w:r>
      <w:r w:rsidR="00B85166">
        <w:rPr>
          <w:b/>
        </w:rPr>
        <w:t>y</w:t>
      </w:r>
      <w:r w:rsidR="00F65844">
        <w:rPr>
          <w:b/>
        </w:rPr>
        <w:t>,</w:t>
      </w:r>
      <w:r>
        <w:rPr>
          <w:b/>
        </w:rPr>
        <w:t xml:space="preserve"> a to jak v počtu hlášených volných pracovních míst</w:t>
      </w:r>
      <w:r>
        <w:t xml:space="preserve">, jejichž počet kontinuálně narůstá, </w:t>
      </w:r>
      <w:r>
        <w:rPr>
          <w:b/>
        </w:rPr>
        <w:t>tak historicky nejnižších počtů evid</w:t>
      </w:r>
      <w:r w:rsidR="002A3A1A">
        <w:rPr>
          <w:b/>
        </w:rPr>
        <w:t>ovaných uchazečů o zaměstnání</w:t>
      </w:r>
      <w:r>
        <w:rPr>
          <w:b/>
        </w:rPr>
        <w:t>.</w:t>
      </w:r>
      <w:r w:rsidR="00CD2B30">
        <w:rPr>
          <w:b/>
        </w:rPr>
        <w:t xml:space="preserve"> </w:t>
      </w:r>
      <w:r w:rsidR="00CD2B30" w:rsidRPr="00CD2B30">
        <w:t>Na jedno volné pracovní místo připadalo</w:t>
      </w:r>
      <w:r>
        <w:t xml:space="preserve"> </w:t>
      </w:r>
      <w:r w:rsidR="00CD2B30">
        <w:t xml:space="preserve">v prosinci 2017 1,3 uchazeče o zaměstnání a </w:t>
      </w:r>
      <w:r w:rsidR="00CD2B30">
        <w:rPr>
          <w:b/>
        </w:rPr>
        <w:t>český trh práce se tak významně nachází pod přirozenou mírou nezaměstnanosti</w:t>
      </w:r>
      <w:r w:rsidR="00D76028">
        <w:t xml:space="preserve"> (a to cca o </w:t>
      </w:r>
      <w:r w:rsidR="00422013">
        <w:t xml:space="preserve">2 až </w:t>
      </w:r>
      <w:r w:rsidR="00D76028">
        <w:t>2,5 p. b.).</w:t>
      </w:r>
      <w:r w:rsidR="00D76028" w:rsidRPr="00D76028">
        <w:rPr>
          <w:rStyle w:val="Znakapoznpodarou"/>
        </w:rPr>
        <w:footnoteReference w:id="1"/>
      </w:r>
      <w:r w:rsidR="00D76028">
        <w:rPr>
          <w:b/>
        </w:rPr>
        <w:t xml:space="preserve"> </w:t>
      </w:r>
    </w:p>
    <w:p w:rsidR="00423BAC" w:rsidRPr="00CD2B30" w:rsidRDefault="00CD2B30" w:rsidP="002A3A1A">
      <w:r>
        <w:t xml:space="preserve">Přes tyto pozitivní trendy jsou však zřetelné rozdíly mezi jednotlivými regiony ČR, a to i přestože lze pozitivní trend snižování nezaměstnanosti sledovat dlouhodobě na území celé ČR. </w:t>
      </w:r>
      <w:r>
        <w:rPr>
          <w:b/>
        </w:rPr>
        <w:t xml:space="preserve"> </w:t>
      </w:r>
      <w:r w:rsidR="00F65844">
        <w:t>Na r</w:t>
      </w:r>
      <w:r>
        <w:t xml:space="preserve">egionální disproporce poukazuje níže uvedená </w:t>
      </w:r>
      <w:r>
        <w:fldChar w:fldCharType="begin"/>
      </w:r>
      <w:r>
        <w:instrText xml:space="preserve"> REF _Ref508205306 \h </w:instrText>
      </w:r>
      <w:r w:rsidR="00FD7C43">
        <w:instrText xml:space="preserve"> \* MERGEFORMAT </w:instrText>
      </w:r>
      <w:r>
        <w:fldChar w:fldCharType="separate"/>
      </w:r>
      <w:r w:rsidR="00F41CBA">
        <w:t xml:space="preserve">Tabulka </w:t>
      </w:r>
      <w:r w:rsidR="00F41CBA">
        <w:rPr>
          <w:noProof/>
        </w:rPr>
        <w:t>1</w:t>
      </w:r>
      <w:r>
        <w:fldChar w:fldCharType="end"/>
      </w:r>
      <w:r>
        <w:t>.</w:t>
      </w:r>
    </w:p>
    <w:p w:rsidR="00423BAC" w:rsidRPr="008D625D" w:rsidRDefault="00CD2B30" w:rsidP="002A3A1A">
      <w:pPr>
        <w:pStyle w:val="Titulek"/>
        <w:spacing w:before="240"/>
        <w:rPr>
          <w:sz w:val="24"/>
        </w:rPr>
      </w:pPr>
      <w:bookmarkStart w:id="4" w:name="_Ref508205306"/>
      <w:bookmarkStart w:id="5" w:name="_Toc508704219"/>
      <w:r>
        <w:t xml:space="preserve">Tabulka </w:t>
      </w:r>
      <w:r w:rsidR="007B53ED">
        <w:fldChar w:fldCharType="begin"/>
      </w:r>
      <w:r w:rsidR="007B53ED">
        <w:instrText xml:space="preserve"> SEQ Tabulka \* ARABIC </w:instrText>
      </w:r>
      <w:r w:rsidR="007B53ED">
        <w:fldChar w:fldCharType="separate"/>
      </w:r>
      <w:r w:rsidR="00F41CBA">
        <w:rPr>
          <w:noProof/>
        </w:rPr>
        <w:t>1</w:t>
      </w:r>
      <w:r w:rsidR="007B53ED">
        <w:rPr>
          <w:noProof/>
        </w:rPr>
        <w:fldChar w:fldCharType="end"/>
      </w:r>
      <w:bookmarkEnd w:id="4"/>
      <w:r>
        <w:t xml:space="preserve"> Základní ukazatele nezaměstnanosti k 31. 12. 2017 v krajích ČR</w:t>
      </w:r>
      <w:bookmarkEnd w:id="5"/>
    </w:p>
    <w:tbl>
      <w:tblPr>
        <w:tblStyle w:val="Mkatabulky"/>
        <w:tblW w:w="9128" w:type="dxa"/>
        <w:tblInd w:w="108" w:type="dxa"/>
        <w:tblBorders>
          <w:insideH w:val="none" w:sz="0" w:space="0" w:color="auto"/>
        </w:tblBorders>
        <w:tblLook w:val="04A0" w:firstRow="1" w:lastRow="0" w:firstColumn="1" w:lastColumn="0" w:noHBand="0" w:noVBand="1"/>
      </w:tblPr>
      <w:tblGrid>
        <w:gridCol w:w="2701"/>
        <w:gridCol w:w="1420"/>
        <w:gridCol w:w="1707"/>
        <w:gridCol w:w="1848"/>
        <w:gridCol w:w="1452"/>
      </w:tblGrid>
      <w:tr w:rsidR="00CD2B30" w:rsidRPr="008828D3" w:rsidTr="00D76028">
        <w:trPr>
          <w:trHeight w:val="322"/>
        </w:trPr>
        <w:tc>
          <w:tcPr>
            <w:tcW w:w="2701" w:type="dxa"/>
            <w:tcBorders>
              <w:top w:val="single" w:sz="4" w:space="0" w:color="auto"/>
              <w:bottom w:val="single" w:sz="4" w:space="0" w:color="auto"/>
            </w:tcBorders>
            <w:vAlign w:val="center"/>
          </w:tcPr>
          <w:p w:rsidR="00CD2B30" w:rsidRPr="00CD2B30" w:rsidRDefault="00CD2B30" w:rsidP="002A3A1A">
            <w:pPr>
              <w:spacing w:before="0" w:after="0"/>
              <w:jc w:val="left"/>
              <w:rPr>
                <w:rFonts w:cs="Arial"/>
                <w:b/>
                <w:sz w:val="20"/>
                <w:szCs w:val="20"/>
              </w:rPr>
            </w:pPr>
            <w:r w:rsidRPr="00CD2B30">
              <w:rPr>
                <w:rFonts w:cs="Arial"/>
                <w:b/>
                <w:sz w:val="20"/>
                <w:szCs w:val="20"/>
              </w:rPr>
              <w:t>Kraj</w:t>
            </w:r>
          </w:p>
        </w:tc>
        <w:tc>
          <w:tcPr>
            <w:tcW w:w="1420" w:type="dxa"/>
            <w:tcBorders>
              <w:top w:val="single" w:sz="4" w:space="0" w:color="auto"/>
              <w:bottom w:val="single" w:sz="4" w:space="0" w:color="auto"/>
            </w:tcBorders>
            <w:vAlign w:val="center"/>
          </w:tcPr>
          <w:p w:rsidR="00CD2B30" w:rsidRPr="00CD2B30" w:rsidRDefault="00CD2B30" w:rsidP="002A3A1A">
            <w:pPr>
              <w:spacing w:before="0" w:after="0"/>
              <w:jc w:val="left"/>
              <w:rPr>
                <w:rFonts w:cs="Arial"/>
                <w:b/>
                <w:sz w:val="20"/>
                <w:szCs w:val="20"/>
              </w:rPr>
            </w:pPr>
            <w:r w:rsidRPr="00CD2B30">
              <w:rPr>
                <w:rFonts w:cs="Arial"/>
                <w:b/>
                <w:sz w:val="20"/>
                <w:szCs w:val="20"/>
              </w:rPr>
              <w:t>PNO (%)</w:t>
            </w:r>
          </w:p>
        </w:tc>
        <w:tc>
          <w:tcPr>
            <w:tcW w:w="1707" w:type="dxa"/>
            <w:tcBorders>
              <w:top w:val="single" w:sz="4" w:space="0" w:color="auto"/>
              <w:bottom w:val="single" w:sz="4" w:space="0" w:color="auto"/>
            </w:tcBorders>
            <w:vAlign w:val="center"/>
          </w:tcPr>
          <w:p w:rsidR="00CD2B30" w:rsidRPr="00CD2B30" w:rsidRDefault="00CD2B30" w:rsidP="002A3A1A">
            <w:pPr>
              <w:spacing w:before="0" w:after="0"/>
              <w:jc w:val="left"/>
              <w:rPr>
                <w:rFonts w:cs="Arial"/>
                <w:b/>
                <w:sz w:val="20"/>
                <w:szCs w:val="20"/>
              </w:rPr>
            </w:pPr>
            <w:r w:rsidRPr="00CD2B30">
              <w:rPr>
                <w:rFonts w:cs="Arial"/>
                <w:b/>
                <w:sz w:val="20"/>
                <w:szCs w:val="20"/>
              </w:rPr>
              <w:t xml:space="preserve">Počet </w:t>
            </w:r>
            <w:proofErr w:type="spellStart"/>
            <w:r w:rsidRPr="00CD2B30">
              <w:rPr>
                <w:rFonts w:cs="Arial"/>
                <w:b/>
                <w:sz w:val="20"/>
                <w:szCs w:val="20"/>
              </w:rPr>
              <w:t>UoZ</w:t>
            </w:r>
            <w:proofErr w:type="spellEnd"/>
          </w:p>
        </w:tc>
        <w:tc>
          <w:tcPr>
            <w:tcW w:w="1848" w:type="dxa"/>
            <w:tcBorders>
              <w:top w:val="single" w:sz="4" w:space="0" w:color="auto"/>
              <w:bottom w:val="single" w:sz="4" w:space="0" w:color="auto"/>
            </w:tcBorders>
            <w:vAlign w:val="center"/>
          </w:tcPr>
          <w:p w:rsidR="00CD2B30" w:rsidRPr="00CD2B30" w:rsidRDefault="00CD2B30" w:rsidP="002A3A1A">
            <w:pPr>
              <w:spacing w:before="0" w:after="0"/>
              <w:jc w:val="left"/>
              <w:rPr>
                <w:rFonts w:cs="Arial"/>
                <w:b/>
                <w:sz w:val="20"/>
                <w:szCs w:val="20"/>
              </w:rPr>
            </w:pPr>
            <w:r w:rsidRPr="00CD2B30">
              <w:rPr>
                <w:rFonts w:cs="Arial"/>
                <w:b/>
                <w:sz w:val="20"/>
                <w:szCs w:val="20"/>
              </w:rPr>
              <w:t>Počet VPM</w:t>
            </w:r>
          </w:p>
        </w:tc>
        <w:tc>
          <w:tcPr>
            <w:tcW w:w="1452" w:type="dxa"/>
            <w:tcBorders>
              <w:top w:val="single" w:sz="4" w:space="0" w:color="auto"/>
              <w:bottom w:val="single" w:sz="4" w:space="0" w:color="auto"/>
            </w:tcBorders>
            <w:vAlign w:val="center"/>
          </w:tcPr>
          <w:p w:rsidR="00CD2B30" w:rsidRPr="00CD2B30" w:rsidRDefault="00CD2B30" w:rsidP="002A3A1A">
            <w:pPr>
              <w:spacing w:before="0" w:after="0"/>
              <w:jc w:val="left"/>
              <w:rPr>
                <w:rFonts w:cs="Arial"/>
                <w:b/>
                <w:sz w:val="20"/>
                <w:szCs w:val="20"/>
              </w:rPr>
            </w:pPr>
            <w:proofErr w:type="spellStart"/>
            <w:r w:rsidRPr="00CD2B30">
              <w:rPr>
                <w:rFonts w:cs="Arial"/>
                <w:b/>
                <w:sz w:val="20"/>
                <w:szCs w:val="20"/>
              </w:rPr>
              <w:t>UoZ</w:t>
            </w:r>
            <w:proofErr w:type="spellEnd"/>
            <w:r w:rsidRPr="00CD2B30">
              <w:rPr>
                <w:rFonts w:cs="Arial"/>
                <w:b/>
                <w:sz w:val="20"/>
                <w:szCs w:val="20"/>
              </w:rPr>
              <w:t>/VPM</w:t>
            </w:r>
          </w:p>
        </w:tc>
      </w:tr>
      <w:tr w:rsidR="00CD2B30" w:rsidRPr="00A404B5" w:rsidTr="00D76028">
        <w:trPr>
          <w:trHeight w:val="322"/>
        </w:trPr>
        <w:tc>
          <w:tcPr>
            <w:tcW w:w="2701" w:type="dxa"/>
            <w:tcBorders>
              <w:top w:val="single" w:sz="4" w:space="0" w:color="auto"/>
            </w:tcBorders>
            <w:vAlign w:val="center"/>
          </w:tcPr>
          <w:p w:rsidR="00CD2B30" w:rsidRPr="00CD2B30" w:rsidRDefault="00CD2B30" w:rsidP="002A3A1A">
            <w:pPr>
              <w:spacing w:before="0" w:after="0"/>
              <w:jc w:val="left"/>
              <w:rPr>
                <w:rFonts w:cs="Arial"/>
                <w:sz w:val="20"/>
                <w:szCs w:val="20"/>
              </w:rPr>
            </w:pPr>
            <w:r w:rsidRPr="00CD2B30">
              <w:rPr>
                <w:rFonts w:cs="Arial"/>
                <w:sz w:val="20"/>
                <w:szCs w:val="20"/>
              </w:rPr>
              <w:t>Hl. m. Praha</w:t>
            </w:r>
          </w:p>
        </w:tc>
        <w:tc>
          <w:tcPr>
            <w:tcW w:w="1420" w:type="dxa"/>
            <w:tcBorders>
              <w:top w:val="single" w:sz="4" w:space="0" w:color="auto"/>
            </w:tcBorders>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2,3</w:t>
            </w:r>
          </w:p>
        </w:tc>
        <w:tc>
          <w:tcPr>
            <w:tcW w:w="1707" w:type="dxa"/>
            <w:tcBorders>
              <w:top w:val="single" w:sz="4" w:space="0" w:color="auto"/>
            </w:tcBorders>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21 787</w:t>
            </w:r>
          </w:p>
        </w:tc>
        <w:tc>
          <w:tcPr>
            <w:tcW w:w="1848" w:type="dxa"/>
            <w:tcBorders>
              <w:top w:val="single" w:sz="4" w:space="0" w:color="auto"/>
            </w:tcBorders>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42 380</w:t>
            </w:r>
          </w:p>
        </w:tc>
        <w:tc>
          <w:tcPr>
            <w:tcW w:w="1452" w:type="dxa"/>
            <w:tcBorders>
              <w:top w:val="single" w:sz="4" w:space="0" w:color="auto"/>
            </w:tcBorders>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0,5</w:t>
            </w:r>
          </w:p>
        </w:tc>
      </w:tr>
      <w:tr w:rsidR="00CD2B30" w:rsidRPr="00A404B5" w:rsidTr="00D76028">
        <w:trPr>
          <w:trHeight w:val="322"/>
        </w:trPr>
        <w:tc>
          <w:tcPr>
            <w:tcW w:w="2701" w:type="dxa"/>
            <w:vAlign w:val="center"/>
          </w:tcPr>
          <w:p w:rsidR="00CD2B30" w:rsidRPr="00CD2B30" w:rsidRDefault="00CD2B30" w:rsidP="002A3A1A">
            <w:pPr>
              <w:spacing w:before="0" w:after="0"/>
              <w:jc w:val="left"/>
              <w:rPr>
                <w:rFonts w:cs="Arial"/>
                <w:sz w:val="20"/>
                <w:szCs w:val="20"/>
              </w:rPr>
            </w:pPr>
            <w:r w:rsidRPr="00CD2B30">
              <w:rPr>
                <w:rFonts w:cs="Arial"/>
                <w:sz w:val="20"/>
                <w:szCs w:val="20"/>
              </w:rPr>
              <w:t>Středočeský kraj</w:t>
            </w:r>
          </w:p>
        </w:tc>
        <w:tc>
          <w:tcPr>
            <w:tcW w:w="1420"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3,2</w:t>
            </w:r>
          </w:p>
        </w:tc>
        <w:tc>
          <w:tcPr>
            <w:tcW w:w="1707"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29 370</w:t>
            </w:r>
          </w:p>
        </w:tc>
        <w:tc>
          <w:tcPr>
            <w:tcW w:w="1848"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30 321</w:t>
            </w:r>
          </w:p>
        </w:tc>
        <w:tc>
          <w:tcPr>
            <w:tcW w:w="1452"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1,0</w:t>
            </w:r>
          </w:p>
        </w:tc>
      </w:tr>
      <w:tr w:rsidR="00CD2B30" w:rsidRPr="00A404B5" w:rsidTr="00D76028">
        <w:trPr>
          <w:trHeight w:val="322"/>
        </w:trPr>
        <w:tc>
          <w:tcPr>
            <w:tcW w:w="2701" w:type="dxa"/>
            <w:vAlign w:val="center"/>
          </w:tcPr>
          <w:p w:rsidR="00CD2B30" w:rsidRPr="00CD2B30" w:rsidRDefault="00CD2B30" w:rsidP="002A3A1A">
            <w:pPr>
              <w:spacing w:before="0" w:after="0"/>
              <w:jc w:val="left"/>
              <w:rPr>
                <w:rFonts w:cs="Arial"/>
                <w:sz w:val="20"/>
                <w:szCs w:val="20"/>
              </w:rPr>
            </w:pPr>
            <w:r w:rsidRPr="00CD2B30">
              <w:rPr>
                <w:rFonts w:cs="Arial"/>
                <w:sz w:val="20"/>
                <w:szCs w:val="20"/>
              </w:rPr>
              <w:t>Jihočeský kraj</w:t>
            </w:r>
          </w:p>
        </w:tc>
        <w:tc>
          <w:tcPr>
            <w:tcW w:w="1420"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3,1</w:t>
            </w:r>
          </w:p>
        </w:tc>
        <w:tc>
          <w:tcPr>
            <w:tcW w:w="1707"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14 112</w:t>
            </w:r>
          </w:p>
        </w:tc>
        <w:tc>
          <w:tcPr>
            <w:tcW w:w="1848"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13 833</w:t>
            </w:r>
          </w:p>
        </w:tc>
        <w:tc>
          <w:tcPr>
            <w:tcW w:w="1452"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1,0</w:t>
            </w:r>
          </w:p>
        </w:tc>
      </w:tr>
      <w:tr w:rsidR="00CD2B30" w:rsidRPr="00A404B5" w:rsidTr="00D76028">
        <w:trPr>
          <w:trHeight w:val="322"/>
        </w:trPr>
        <w:tc>
          <w:tcPr>
            <w:tcW w:w="2701" w:type="dxa"/>
            <w:vAlign w:val="center"/>
          </w:tcPr>
          <w:p w:rsidR="00CD2B30" w:rsidRPr="00CD2B30" w:rsidRDefault="00CD2B30" w:rsidP="002A3A1A">
            <w:pPr>
              <w:spacing w:before="0" w:after="0"/>
              <w:jc w:val="left"/>
              <w:rPr>
                <w:rFonts w:cs="Arial"/>
                <w:sz w:val="20"/>
                <w:szCs w:val="20"/>
              </w:rPr>
            </w:pPr>
            <w:r w:rsidRPr="00CD2B30">
              <w:rPr>
                <w:rFonts w:cs="Arial"/>
                <w:sz w:val="20"/>
                <w:szCs w:val="20"/>
              </w:rPr>
              <w:t>Plzeňský kraj</w:t>
            </w:r>
          </w:p>
        </w:tc>
        <w:tc>
          <w:tcPr>
            <w:tcW w:w="1420"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2,6</w:t>
            </w:r>
          </w:p>
        </w:tc>
        <w:tc>
          <w:tcPr>
            <w:tcW w:w="1707"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10 517</w:t>
            </w:r>
          </w:p>
        </w:tc>
        <w:tc>
          <w:tcPr>
            <w:tcW w:w="1848"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20 396</w:t>
            </w:r>
          </w:p>
        </w:tc>
        <w:tc>
          <w:tcPr>
            <w:tcW w:w="1452"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0,5</w:t>
            </w:r>
          </w:p>
        </w:tc>
      </w:tr>
      <w:tr w:rsidR="00CD2B30" w:rsidRPr="00A404B5" w:rsidTr="00D76028">
        <w:trPr>
          <w:trHeight w:val="322"/>
        </w:trPr>
        <w:tc>
          <w:tcPr>
            <w:tcW w:w="2701" w:type="dxa"/>
            <w:vAlign w:val="center"/>
          </w:tcPr>
          <w:p w:rsidR="00CD2B30" w:rsidRPr="00CD2B30" w:rsidRDefault="00CD2B30" w:rsidP="002A3A1A">
            <w:pPr>
              <w:spacing w:before="0" w:after="0"/>
              <w:jc w:val="left"/>
              <w:rPr>
                <w:rFonts w:cs="Arial"/>
                <w:sz w:val="20"/>
                <w:szCs w:val="20"/>
              </w:rPr>
            </w:pPr>
            <w:r w:rsidRPr="00CD2B30">
              <w:rPr>
                <w:rFonts w:cs="Arial"/>
                <w:sz w:val="20"/>
                <w:szCs w:val="20"/>
              </w:rPr>
              <w:t>Karlovarský kraj</w:t>
            </w:r>
          </w:p>
        </w:tc>
        <w:tc>
          <w:tcPr>
            <w:tcW w:w="1420"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3,5</w:t>
            </w:r>
          </w:p>
        </w:tc>
        <w:tc>
          <w:tcPr>
            <w:tcW w:w="1707"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7 488</w:t>
            </w:r>
          </w:p>
        </w:tc>
        <w:tc>
          <w:tcPr>
            <w:tcW w:w="1848"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6 503</w:t>
            </w:r>
          </w:p>
        </w:tc>
        <w:tc>
          <w:tcPr>
            <w:tcW w:w="1452"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1,2</w:t>
            </w:r>
          </w:p>
        </w:tc>
      </w:tr>
      <w:tr w:rsidR="00CD2B30" w:rsidRPr="00A404B5" w:rsidTr="00D76028">
        <w:trPr>
          <w:trHeight w:val="322"/>
        </w:trPr>
        <w:tc>
          <w:tcPr>
            <w:tcW w:w="2701" w:type="dxa"/>
            <w:vAlign w:val="center"/>
          </w:tcPr>
          <w:p w:rsidR="00CD2B30" w:rsidRPr="00CD2B30" w:rsidRDefault="00CD2B30" w:rsidP="002A3A1A">
            <w:pPr>
              <w:spacing w:before="0" w:after="0"/>
              <w:jc w:val="left"/>
              <w:rPr>
                <w:rFonts w:cs="Arial"/>
                <w:sz w:val="20"/>
                <w:szCs w:val="20"/>
              </w:rPr>
            </w:pPr>
            <w:r w:rsidRPr="00CD2B30">
              <w:rPr>
                <w:rFonts w:cs="Arial"/>
                <w:sz w:val="20"/>
                <w:szCs w:val="20"/>
              </w:rPr>
              <w:t>Ústecký kraj</w:t>
            </w:r>
          </w:p>
        </w:tc>
        <w:tc>
          <w:tcPr>
            <w:tcW w:w="1420"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5,4</w:t>
            </w:r>
          </w:p>
        </w:tc>
        <w:tc>
          <w:tcPr>
            <w:tcW w:w="1707"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31 522</w:t>
            </w:r>
          </w:p>
        </w:tc>
        <w:tc>
          <w:tcPr>
            <w:tcW w:w="1848"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10 808</w:t>
            </w:r>
          </w:p>
        </w:tc>
        <w:tc>
          <w:tcPr>
            <w:tcW w:w="1452"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2,9</w:t>
            </w:r>
          </w:p>
        </w:tc>
      </w:tr>
      <w:tr w:rsidR="00CD2B30" w:rsidRPr="00A404B5" w:rsidTr="00D76028">
        <w:trPr>
          <w:trHeight w:val="322"/>
        </w:trPr>
        <w:tc>
          <w:tcPr>
            <w:tcW w:w="2701" w:type="dxa"/>
            <w:vAlign w:val="center"/>
          </w:tcPr>
          <w:p w:rsidR="00CD2B30" w:rsidRPr="00CD2B30" w:rsidRDefault="00CD2B30" w:rsidP="002A3A1A">
            <w:pPr>
              <w:spacing w:before="0" w:after="0"/>
              <w:jc w:val="left"/>
              <w:rPr>
                <w:rFonts w:cs="Arial"/>
                <w:sz w:val="20"/>
                <w:szCs w:val="20"/>
              </w:rPr>
            </w:pPr>
            <w:r w:rsidRPr="00CD2B30">
              <w:rPr>
                <w:rFonts w:cs="Arial"/>
                <w:sz w:val="20"/>
                <w:szCs w:val="20"/>
              </w:rPr>
              <w:t>Liberecký kraj</w:t>
            </w:r>
          </w:p>
        </w:tc>
        <w:tc>
          <w:tcPr>
            <w:tcW w:w="1420"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3,8</w:t>
            </w:r>
          </w:p>
        </w:tc>
        <w:tc>
          <w:tcPr>
            <w:tcW w:w="1707"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11 861</w:t>
            </w:r>
          </w:p>
        </w:tc>
        <w:tc>
          <w:tcPr>
            <w:tcW w:w="1848"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8 674</w:t>
            </w:r>
          </w:p>
        </w:tc>
        <w:tc>
          <w:tcPr>
            <w:tcW w:w="1452"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1,4</w:t>
            </w:r>
          </w:p>
        </w:tc>
      </w:tr>
      <w:tr w:rsidR="00CD2B30" w:rsidRPr="00A404B5" w:rsidTr="00D76028">
        <w:trPr>
          <w:trHeight w:val="322"/>
        </w:trPr>
        <w:tc>
          <w:tcPr>
            <w:tcW w:w="2701" w:type="dxa"/>
            <w:vAlign w:val="center"/>
          </w:tcPr>
          <w:p w:rsidR="00CD2B30" w:rsidRPr="00CD2B30" w:rsidRDefault="00CD2B30" w:rsidP="002A3A1A">
            <w:pPr>
              <w:spacing w:before="0" w:after="0"/>
              <w:jc w:val="left"/>
              <w:rPr>
                <w:rFonts w:cs="Arial"/>
                <w:sz w:val="20"/>
                <w:szCs w:val="20"/>
              </w:rPr>
            </w:pPr>
            <w:r w:rsidRPr="00CD2B30">
              <w:rPr>
                <w:rFonts w:cs="Arial"/>
                <w:sz w:val="20"/>
                <w:szCs w:val="20"/>
              </w:rPr>
              <w:t>Královehradecký kraj</w:t>
            </w:r>
          </w:p>
        </w:tc>
        <w:tc>
          <w:tcPr>
            <w:tcW w:w="1420"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2,7</w:t>
            </w:r>
          </w:p>
        </w:tc>
        <w:tc>
          <w:tcPr>
            <w:tcW w:w="1707"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10 483</w:t>
            </w:r>
          </w:p>
        </w:tc>
        <w:tc>
          <w:tcPr>
            <w:tcW w:w="1848"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8 816</w:t>
            </w:r>
          </w:p>
        </w:tc>
        <w:tc>
          <w:tcPr>
            <w:tcW w:w="1452"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1,2</w:t>
            </w:r>
          </w:p>
        </w:tc>
      </w:tr>
      <w:tr w:rsidR="00CD2B30" w:rsidRPr="00A404B5" w:rsidTr="00D76028">
        <w:trPr>
          <w:trHeight w:val="322"/>
        </w:trPr>
        <w:tc>
          <w:tcPr>
            <w:tcW w:w="2701" w:type="dxa"/>
            <w:vAlign w:val="center"/>
          </w:tcPr>
          <w:p w:rsidR="00CD2B30" w:rsidRPr="00CD2B30" w:rsidRDefault="00CD2B30" w:rsidP="002A3A1A">
            <w:pPr>
              <w:spacing w:before="0" w:after="0"/>
              <w:jc w:val="left"/>
              <w:rPr>
                <w:rFonts w:cs="Arial"/>
                <w:sz w:val="20"/>
                <w:szCs w:val="20"/>
              </w:rPr>
            </w:pPr>
            <w:r w:rsidRPr="00CD2B30">
              <w:rPr>
                <w:rFonts w:cs="Arial"/>
                <w:sz w:val="20"/>
                <w:szCs w:val="20"/>
              </w:rPr>
              <w:t>Pardubický kraj</w:t>
            </w:r>
          </w:p>
        </w:tc>
        <w:tc>
          <w:tcPr>
            <w:tcW w:w="1420"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2,8</w:t>
            </w:r>
          </w:p>
        </w:tc>
        <w:tc>
          <w:tcPr>
            <w:tcW w:w="1707"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10 152</w:t>
            </w:r>
          </w:p>
        </w:tc>
        <w:tc>
          <w:tcPr>
            <w:tcW w:w="1848"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19 953</w:t>
            </w:r>
          </w:p>
        </w:tc>
        <w:tc>
          <w:tcPr>
            <w:tcW w:w="1452"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0,5</w:t>
            </w:r>
          </w:p>
        </w:tc>
      </w:tr>
      <w:tr w:rsidR="00CD2B30" w:rsidRPr="00A404B5" w:rsidTr="00D76028">
        <w:trPr>
          <w:trHeight w:val="322"/>
        </w:trPr>
        <w:tc>
          <w:tcPr>
            <w:tcW w:w="2701" w:type="dxa"/>
            <w:vAlign w:val="center"/>
          </w:tcPr>
          <w:p w:rsidR="00CD2B30" w:rsidRPr="00CD2B30" w:rsidRDefault="00CD2B30" w:rsidP="002A3A1A">
            <w:pPr>
              <w:spacing w:before="0" w:after="0"/>
              <w:jc w:val="left"/>
              <w:rPr>
                <w:rFonts w:cs="Arial"/>
                <w:sz w:val="20"/>
                <w:szCs w:val="20"/>
              </w:rPr>
            </w:pPr>
            <w:r w:rsidRPr="00CD2B30">
              <w:rPr>
                <w:rFonts w:cs="Arial"/>
                <w:sz w:val="20"/>
                <w:szCs w:val="20"/>
              </w:rPr>
              <w:t>Kraj Vysočina</w:t>
            </w:r>
          </w:p>
        </w:tc>
        <w:tc>
          <w:tcPr>
            <w:tcW w:w="1420"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3,8</w:t>
            </w:r>
          </w:p>
        </w:tc>
        <w:tc>
          <w:tcPr>
            <w:tcW w:w="1707"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12 992</w:t>
            </w:r>
          </w:p>
        </w:tc>
        <w:tc>
          <w:tcPr>
            <w:tcW w:w="1848"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7 475</w:t>
            </w:r>
          </w:p>
        </w:tc>
        <w:tc>
          <w:tcPr>
            <w:tcW w:w="1452"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1,7</w:t>
            </w:r>
          </w:p>
        </w:tc>
      </w:tr>
      <w:tr w:rsidR="00CD2B30" w:rsidRPr="00A404B5" w:rsidTr="00D76028">
        <w:trPr>
          <w:trHeight w:val="322"/>
        </w:trPr>
        <w:tc>
          <w:tcPr>
            <w:tcW w:w="2701" w:type="dxa"/>
            <w:vAlign w:val="center"/>
          </w:tcPr>
          <w:p w:rsidR="00CD2B30" w:rsidRPr="00CD2B30" w:rsidRDefault="00CD2B30" w:rsidP="002A3A1A">
            <w:pPr>
              <w:spacing w:before="0" w:after="0"/>
              <w:jc w:val="left"/>
              <w:rPr>
                <w:rFonts w:cs="Arial"/>
                <w:sz w:val="20"/>
                <w:szCs w:val="20"/>
              </w:rPr>
            </w:pPr>
            <w:r w:rsidRPr="00CD2B30">
              <w:rPr>
                <w:rFonts w:cs="Arial"/>
                <w:sz w:val="20"/>
                <w:szCs w:val="20"/>
              </w:rPr>
              <w:t>Jihomoravský kraj</w:t>
            </w:r>
          </w:p>
        </w:tc>
        <w:tc>
          <w:tcPr>
            <w:tcW w:w="1420"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4,6</w:t>
            </w:r>
          </w:p>
        </w:tc>
        <w:tc>
          <w:tcPr>
            <w:tcW w:w="1707"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37 290</w:t>
            </w:r>
          </w:p>
        </w:tc>
        <w:tc>
          <w:tcPr>
            <w:tcW w:w="1848"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16 826</w:t>
            </w:r>
          </w:p>
        </w:tc>
        <w:tc>
          <w:tcPr>
            <w:tcW w:w="1452"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2,2</w:t>
            </w:r>
          </w:p>
        </w:tc>
      </w:tr>
      <w:tr w:rsidR="00CD2B30" w:rsidRPr="00A404B5" w:rsidTr="00D76028">
        <w:trPr>
          <w:trHeight w:val="322"/>
        </w:trPr>
        <w:tc>
          <w:tcPr>
            <w:tcW w:w="2701" w:type="dxa"/>
            <w:vAlign w:val="center"/>
          </w:tcPr>
          <w:p w:rsidR="00CD2B30" w:rsidRPr="00CD2B30" w:rsidRDefault="00CD2B30" w:rsidP="002A3A1A">
            <w:pPr>
              <w:spacing w:before="0" w:after="0"/>
              <w:jc w:val="left"/>
              <w:rPr>
                <w:rFonts w:cs="Arial"/>
                <w:sz w:val="20"/>
                <w:szCs w:val="20"/>
              </w:rPr>
            </w:pPr>
            <w:r w:rsidRPr="00CD2B30">
              <w:rPr>
                <w:rFonts w:cs="Arial"/>
                <w:sz w:val="20"/>
                <w:szCs w:val="20"/>
              </w:rPr>
              <w:t>Olomoucký kraj</w:t>
            </w:r>
          </w:p>
        </w:tc>
        <w:tc>
          <w:tcPr>
            <w:tcW w:w="1420"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4,3</w:t>
            </w:r>
          </w:p>
        </w:tc>
        <w:tc>
          <w:tcPr>
            <w:tcW w:w="1707"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19 519</w:t>
            </w:r>
          </w:p>
        </w:tc>
        <w:tc>
          <w:tcPr>
            <w:tcW w:w="1848"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8 696</w:t>
            </w:r>
          </w:p>
        </w:tc>
        <w:tc>
          <w:tcPr>
            <w:tcW w:w="1452"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2,2</w:t>
            </w:r>
          </w:p>
        </w:tc>
      </w:tr>
      <w:tr w:rsidR="00CD2B30" w:rsidRPr="00A404B5" w:rsidTr="00D76028">
        <w:trPr>
          <w:trHeight w:val="322"/>
        </w:trPr>
        <w:tc>
          <w:tcPr>
            <w:tcW w:w="2701" w:type="dxa"/>
            <w:vAlign w:val="center"/>
          </w:tcPr>
          <w:p w:rsidR="00CD2B30" w:rsidRPr="00CD2B30" w:rsidRDefault="00CD2B30" w:rsidP="002A3A1A">
            <w:pPr>
              <w:spacing w:before="0" w:after="0"/>
              <w:jc w:val="left"/>
              <w:rPr>
                <w:rFonts w:cs="Arial"/>
                <w:sz w:val="20"/>
                <w:szCs w:val="20"/>
              </w:rPr>
            </w:pPr>
            <w:r w:rsidRPr="00CD2B30">
              <w:rPr>
                <w:rFonts w:cs="Arial"/>
                <w:sz w:val="20"/>
                <w:szCs w:val="20"/>
              </w:rPr>
              <w:t>Zlínský kraj</w:t>
            </w:r>
          </w:p>
        </w:tc>
        <w:tc>
          <w:tcPr>
            <w:tcW w:w="1420"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3,4</w:t>
            </w:r>
          </w:p>
        </w:tc>
        <w:tc>
          <w:tcPr>
            <w:tcW w:w="1707"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14 040</w:t>
            </w:r>
          </w:p>
        </w:tc>
        <w:tc>
          <w:tcPr>
            <w:tcW w:w="1848"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7 975</w:t>
            </w:r>
          </w:p>
        </w:tc>
        <w:tc>
          <w:tcPr>
            <w:tcW w:w="1452" w:type="dxa"/>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1,8</w:t>
            </w:r>
          </w:p>
        </w:tc>
      </w:tr>
      <w:tr w:rsidR="00CD2B30" w:rsidRPr="00A404B5" w:rsidTr="00D76028">
        <w:trPr>
          <w:trHeight w:val="322"/>
        </w:trPr>
        <w:tc>
          <w:tcPr>
            <w:tcW w:w="2701" w:type="dxa"/>
            <w:tcBorders>
              <w:bottom w:val="single" w:sz="4" w:space="0" w:color="auto"/>
            </w:tcBorders>
            <w:vAlign w:val="center"/>
          </w:tcPr>
          <w:p w:rsidR="00CD2B30" w:rsidRPr="00CD2B30" w:rsidRDefault="00CD2B30" w:rsidP="002A3A1A">
            <w:pPr>
              <w:spacing w:before="0" w:after="0"/>
              <w:jc w:val="left"/>
              <w:rPr>
                <w:rFonts w:cs="Arial"/>
                <w:sz w:val="20"/>
                <w:szCs w:val="20"/>
              </w:rPr>
            </w:pPr>
            <w:r w:rsidRPr="00CD2B30">
              <w:rPr>
                <w:rFonts w:cs="Arial"/>
                <w:sz w:val="20"/>
                <w:szCs w:val="20"/>
              </w:rPr>
              <w:t>Moravskoslezský kraj</w:t>
            </w:r>
          </w:p>
        </w:tc>
        <w:tc>
          <w:tcPr>
            <w:tcW w:w="1420" w:type="dxa"/>
            <w:tcBorders>
              <w:bottom w:val="single" w:sz="4" w:space="0" w:color="auto"/>
            </w:tcBorders>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5,8</w:t>
            </w:r>
          </w:p>
        </w:tc>
        <w:tc>
          <w:tcPr>
            <w:tcW w:w="1707" w:type="dxa"/>
            <w:tcBorders>
              <w:bottom w:val="single" w:sz="4" w:space="0" w:color="auto"/>
            </w:tcBorders>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49 487</w:t>
            </w:r>
          </w:p>
        </w:tc>
        <w:tc>
          <w:tcPr>
            <w:tcW w:w="1848" w:type="dxa"/>
            <w:tcBorders>
              <w:bottom w:val="single" w:sz="4" w:space="0" w:color="auto"/>
            </w:tcBorders>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13 973</w:t>
            </w:r>
          </w:p>
        </w:tc>
        <w:tc>
          <w:tcPr>
            <w:tcW w:w="1452" w:type="dxa"/>
            <w:tcBorders>
              <w:bottom w:val="single" w:sz="4" w:space="0" w:color="auto"/>
            </w:tcBorders>
            <w:vAlign w:val="center"/>
          </w:tcPr>
          <w:p w:rsidR="00CD2B30" w:rsidRPr="00CD2B30" w:rsidRDefault="00CD2B30" w:rsidP="002A3A1A">
            <w:pPr>
              <w:spacing w:before="0" w:after="0"/>
              <w:jc w:val="left"/>
              <w:rPr>
                <w:rFonts w:cs="Arial"/>
                <w:color w:val="000000"/>
                <w:sz w:val="20"/>
                <w:szCs w:val="20"/>
              </w:rPr>
            </w:pPr>
            <w:r w:rsidRPr="00CD2B30">
              <w:rPr>
                <w:rFonts w:cs="Arial"/>
                <w:color w:val="000000"/>
                <w:sz w:val="20"/>
                <w:szCs w:val="20"/>
              </w:rPr>
              <w:t>3,5</w:t>
            </w:r>
          </w:p>
        </w:tc>
      </w:tr>
      <w:tr w:rsidR="00CD2B30" w:rsidRPr="00A404B5" w:rsidTr="00D76028">
        <w:trPr>
          <w:trHeight w:val="322"/>
        </w:trPr>
        <w:tc>
          <w:tcPr>
            <w:tcW w:w="2701" w:type="dxa"/>
            <w:tcBorders>
              <w:top w:val="single" w:sz="4" w:space="0" w:color="auto"/>
              <w:bottom w:val="single" w:sz="4" w:space="0" w:color="auto"/>
            </w:tcBorders>
            <w:vAlign w:val="center"/>
          </w:tcPr>
          <w:p w:rsidR="00CD2B30" w:rsidRPr="00CD2B30" w:rsidRDefault="00CD2B30" w:rsidP="002A3A1A">
            <w:pPr>
              <w:spacing w:before="0" w:after="0"/>
              <w:jc w:val="left"/>
              <w:rPr>
                <w:rFonts w:cs="Arial"/>
                <w:b/>
                <w:sz w:val="20"/>
                <w:szCs w:val="20"/>
              </w:rPr>
            </w:pPr>
            <w:r w:rsidRPr="00CD2B30">
              <w:rPr>
                <w:rFonts w:cs="Arial"/>
                <w:b/>
                <w:sz w:val="20"/>
                <w:szCs w:val="20"/>
              </w:rPr>
              <w:t>Česká republika</w:t>
            </w:r>
          </w:p>
        </w:tc>
        <w:tc>
          <w:tcPr>
            <w:tcW w:w="1420" w:type="dxa"/>
            <w:tcBorders>
              <w:top w:val="single" w:sz="4" w:space="0" w:color="auto"/>
              <w:bottom w:val="single" w:sz="4" w:space="0" w:color="auto"/>
            </w:tcBorders>
            <w:vAlign w:val="center"/>
          </w:tcPr>
          <w:p w:rsidR="00CD2B30" w:rsidRPr="00CD2B30" w:rsidRDefault="00CD2B30" w:rsidP="002A3A1A">
            <w:pPr>
              <w:spacing w:before="0" w:after="0"/>
              <w:jc w:val="left"/>
              <w:rPr>
                <w:rFonts w:cs="Arial"/>
                <w:b/>
                <w:bCs/>
                <w:color w:val="000000"/>
                <w:sz w:val="20"/>
                <w:szCs w:val="20"/>
              </w:rPr>
            </w:pPr>
            <w:r w:rsidRPr="00CD2B30">
              <w:rPr>
                <w:rFonts w:cs="Arial"/>
                <w:b/>
                <w:bCs/>
                <w:color w:val="000000"/>
                <w:sz w:val="20"/>
                <w:szCs w:val="20"/>
              </w:rPr>
              <w:t>3,8</w:t>
            </w:r>
          </w:p>
        </w:tc>
        <w:tc>
          <w:tcPr>
            <w:tcW w:w="1707" w:type="dxa"/>
            <w:tcBorders>
              <w:top w:val="single" w:sz="4" w:space="0" w:color="auto"/>
              <w:bottom w:val="single" w:sz="4" w:space="0" w:color="auto"/>
            </w:tcBorders>
            <w:vAlign w:val="center"/>
          </w:tcPr>
          <w:p w:rsidR="00CD2B30" w:rsidRPr="00CD2B30" w:rsidRDefault="00CD2B30" w:rsidP="002A3A1A">
            <w:pPr>
              <w:spacing w:before="0" w:after="0"/>
              <w:jc w:val="left"/>
              <w:rPr>
                <w:rFonts w:cs="Arial"/>
                <w:b/>
                <w:bCs/>
                <w:color w:val="000000"/>
                <w:sz w:val="20"/>
                <w:szCs w:val="20"/>
              </w:rPr>
            </w:pPr>
            <w:r w:rsidRPr="00CD2B30">
              <w:rPr>
                <w:rFonts w:cs="Arial"/>
                <w:b/>
                <w:bCs/>
                <w:color w:val="000000"/>
                <w:sz w:val="20"/>
                <w:szCs w:val="20"/>
              </w:rPr>
              <w:t>280 620</w:t>
            </w:r>
          </w:p>
        </w:tc>
        <w:tc>
          <w:tcPr>
            <w:tcW w:w="1848" w:type="dxa"/>
            <w:tcBorders>
              <w:top w:val="single" w:sz="4" w:space="0" w:color="auto"/>
              <w:bottom w:val="single" w:sz="4" w:space="0" w:color="auto"/>
            </w:tcBorders>
            <w:vAlign w:val="center"/>
          </w:tcPr>
          <w:p w:rsidR="00CD2B30" w:rsidRPr="00CD2B30" w:rsidRDefault="00CD2B30" w:rsidP="002A3A1A">
            <w:pPr>
              <w:spacing w:before="0" w:after="0"/>
              <w:jc w:val="left"/>
              <w:rPr>
                <w:rFonts w:cs="Arial"/>
                <w:b/>
                <w:bCs/>
                <w:color w:val="000000"/>
                <w:sz w:val="20"/>
                <w:szCs w:val="20"/>
              </w:rPr>
            </w:pPr>
            <w:r w:rsidRPr="00CD2B30">
              <w:rPr>
                <w:rFonts w:cs="Arial"/>
                <w:b/>
                <w:bCs/>
                <w:color w:val="000000"/>
                <w:sz w:val="20"/>
                <w:szCs w:val="20"/>
              </w:rPr>
              <w:t>216 629</w:t>
            </w:r>
          </w:p>
        </w:tc>
        <w:tc>
          <w:tcPr>
            <w:tcW w:w="1452" w:type="dxa"/>
            <w:tcBorders>
              <w:top w:val="single" w:sz="4" w:space="0" w:color="auto"/>
              <w:bottom w:val="single" w:sz="4" w:space="0" w:color="auto"/>
            </w:tcBorders>
            <w:vAlign w:val="center"/>
          </w:tcPr>
          <w:p w:rsidR="00CD2B30" w:rsidRPr="00CD2B30" w:rsidRDefault="00CD2B30" w:rsidP="002A3A1A">
            <w:pPr>
              <w:spacing w:before="0" w:after="0"/>
              <w:jc w:val="left"/>
              <w:rPr>
                <w:rFonts w:cs="Arial"/>
                <w:b/>
                <w:bCs/>
                <w:color w:val="000000"/>
                <w:sz w:val="20"/>
                <w:szCs w:val="20"/>
              </w:rPr>
            </w:pPr>
            <w:r w:rsidRPr="00CD2B30">
              <w:rPr>
                <w:rFonts w:cs="Arial"/>
                <w:b/>
                <w:bCs/>
                <w:color w:val="000000"/>
                <w:sz w:val="20"/>
                <w:szCs w:val="20"/>
              </w:rPr>
              <w:t>1,3</w:t>
            </w:r>
          </w:p>
        </w:tc>
      </w:tr>
    </w:tbl>
    <w:p w:rsidR="0062671F" w:rsidRDefault="0062671F" w:rsidP="002A3A1A">
      <w:r>
        <w:t xml:space="preserve">Stejně jako v minulosti je situace na trhu práce nejméně příznivá v Moravskoslezském a Ústeckém kraji, a to i přes významné zlepšení. Třetí strukturálně postižený region – Karlovarský kraj však v základních ukazatelích vykazuje velmi příznivý vývoj a např. v podílu nezaměstnaných osob i v počtu uchazečů o zaměstnání připadajících na jedno volné pracovní místo dosáhl lepší hodnoty než je celorepublikový průměr. </w:t>
      </w:r>
    </w:p>
    <w:p w:rsidR="0062671F" w:rsidRDefault="0062671F" w:rsidP="002A3A1A">
      <w:r>
        <w:t>Z tabulky je však rovněž patrné, že velká část krajů se potýká s citelným nedostatkem dostupné pracovní síly z řad uchazečů o zaměstnání, když v 5 krajích je evidováno méně či stejné množství uchazečů o zaměstnání jako pracovních míst (v polovině roku 2017 to byly 3 kraje).</w:t>
      </w:r>
    </w:p>
    <w:p w:rsidR="0062671F" w:rsidRDefault="00C77F29" w:rsidP="002A3A1A">
      <w:pPr>
        <w:pStyle w:val="Nadpis2"/>
      </w:pPr>
      <w:bookmarkStart w:id="6" w:name="_Toc509474121"/>
      <w:r>
        <w:t>Poptávka po pracovní síle</w:t>
      </w:r>
      <w:bookmarkEnd w:id="6"/>
    </w:p>
    <w:p w:rsidR="0062671F" w:rsidRPr="00503C4A" w:rsidRDefault="004F5ECD" w:rsidP="002A3A1A">
      <w:r>
        <w:t xml:space="preserve">Počet hlášených volných pracovních míst kontinuálně narůstá od </w:t>
      </w:r>
      <w:r w:rsidR="009524F7">
        <w:t>prosince</w:t>
      </w:r>
      <w:r>
        <w:t xml:space="preserve"> 2013 a od dubna 2017 každý měsíc dosáhne nového historického maxima </w:t>
      </w:r>
      <w:r w:rsidR="0070390E">
        <w:t>(</w:t>
      </w:r>
      <w:r>
        <w:t xml:space="preserve">do té doby maximum v dubnu 2008 </w:t>
      </w:r>
      <w:r w:rsidRPr="004F5ECD">
        <w:t>152</w:t>
      </w:r>
      <w:r>
        <w:t> </w:t>
      </w:r>
      <w:r w:rsidRPr="004F5ECD">
        <w:t>267</w:t>
      </w:r>
      <w:r>
        <w:t xml:space="preserve"> VPM). V průběh</w:t>
      </w:r>
      <w:r w:rsidR="0070390E">
        <w:t>u roku 2017 vzrostl počet VPM o </w:t>
      </w:r>
      <w:r>
        <w:t xml:space="preserve">63,5 %. </w:t>
      </w:r>
      <w:r w:rsidRPr="004F5ECD">
        <w:t>Oproti 1. pololetí 2017 však v průběhu 2. pololetí 2017</w:t>
      </w:r>
      <w:r>
        <w:t xml:space="preserve"> došlo k významné změně ve struktuře VPM podle doby jejich neobsazenosti</w:t>
      </w:r>
      <w:r>
        <w:rPr>
          <w:b/>
        </w:rPr>
        <w:t>, když vzrostl podíl dlouhodobě neobsazených VPM</w:t>
      </w:r>
      <w:r w:rsidR="00503C4A">
        <w:t>. K 31. 12. 2017 tak bylo déle než 6 měsíců neobsazeno 43,2 % hlášených pracovních míst, což je více než ve stejném období roku</w:t>
      </w:r>
      <w:r w:rsidR="009524F7">
        <w:t xml:space="preserve"> 2016</w:t>
      </w:r>
      <w:r w:rsidR="00503C4A">
        <w:t>. Z bližšího rozboru, resp. významného nárůstu podílu pracovních míst neobsazených v rozpětí 6 – 12 měsíců</w:t>
      </w:r>
      <w:r w:rsidR="0070390E">
        <w:t>,</w:t>
      </w:r>
      <w:r w:rsidR="00503C4A">
        <w:t xml:space="preserve"> lze usoudit, že nemalou část pracovních míst hlášených v závěru 1. pololetí 2017 se doposud nepodařilo obsadit.</w:t>
      </w:r>
    </w:p>
    <w:p w:rsidR="00503C4A" w:rsidRDefault="00503C4A" w:rsidP="002A3A1A">
      <w:pPr>
        <w:pStyle w:val="Titulek"/>
        <w:keepNext/>
        <w:spacing w:after="120"/>
      </w:pPr>
      <w:bookmarkStart w:id="7" w:name="_Toc508704220"/>
      <w:r>
        <w:t xml:space="preserve">Tabulka </w:t>
      </w:r>
      <w:r w:rsidR="007B53ED">
        <w:fldChar w:fldCharType="begin"/>
      </w:r>
      <w:r w:rsidR="007B53ED">
        <w:instrText xml:space="preserve"> SEQ Tabulka \* ARABIC </w:instrText>
      </w:r>
      <w:r w:rsidR="007B53ED">
        <w:fldChar w:fldCharType="separate"/>
      </w:r>
      <w:r w:rsidR="00F41CBA">
        <w:rPr>
          <w:noProof/>
        </w:rPr>
        <w:t>2</w:t>
      </w:r>
      <w:r w:rsidR="007B53ED">
        <w:rPr>
          <w:noProof/>
        </w:rPr>
        <w:fldChar w:fldCharType="end"/>
      </w:r>
      <w:r>
        <w:t xml:space="preserve"> Podíly VPM podle doby neobsazenosti</w:t>
      </w:r>
      <w:bookmarkEnd w:id="7"/>
    </w:p>
    <w:tbl>
      <w:tblPr>
        <w:tblStyle w:val="Mkatabulky"/>
        <w:tblpPr w:leftFromText="141" w:rightFromText="141" w:vertAnchor="text" w:horzAnchor="margin" w:tblpX="108" w:tblpY="98"/>
        <w:tblOverlap w:val="never"/>
        <w:tblW w:w="0" w:type="auto"/>
        <w:tblLook w:val="04A0" w:firstRow="1" w:lastRow="0" w:firstColumn="1" w:lastColumn="0" w:noHBand="0" w:noVBand="1"/>
      </w:tblPr>
      <w:tblGrid>
        <w:gridCol w:w="1622"/>
        <w:gridCol w:w="1581"/>
        <w:gridCol w:w="1384"/>
        <w:gridCol w:w="1381"/>
        <w:gridCol w:w="1581"/>
        <w:gridCol w:w="1581"/>
      </w:tblGrid>
      <w:tr w:rsidR="002C1E7B" w:rsidRPr="008828D3" w:rsidTr="00413C26">
        <w:trPr>
          <w:trHeight w:val="303"/>
        </w:trPr>
        <w:tc>
          <w:tcPr>
            <w:tcW w:w="9130" w:type="dxa"/>
            <w:gridSpan w:val="6"/>
            <w:vAlign w:val="center"/>
          </w:tcPr>
          <w:p w:rsidR="002C1E7B" w:rsidRPr="008828D3" w:rsidRDefault="002C1E7B" w:rsidP="008C67F5">
            <w:pPr>
              <w:spacing w:before="0" w:after="0"/>
              <w:jc w:val="center"/>
              <w:rPr>
                <w:rFonts w:cs="Arial"/>
                <w:b/>
                <w:sz w:val="20"/>
                <w:szCs w:val="20"/>
              </w:rPr>
            </w:pPr>
            <w:r w:rsidRPr="008828D3">
              <w:rPr>
                <w:rFonts w:cs="Arial"/>
                <w:b/>
                <w:sz w:val="20"/>
                <w:szCs w:val="20"/>
              </w:rPr>
              <w:t>Neobsazenost volných pracovních míst k</w:t>
            </w:r>
            <w:r>
              <w:rPr>
                <w:rFonts w:cs="Arial"/>
                <w:b/>
                <w:sz w:val="20"/>
                <w:szCs w:val="20"/>
              </w:rPr>
              <w:t> </w:t>
            </w:r>
            <w:r w:rsidRPr="008828D3">
              <w:rPr>
                <w:rFonts w:cs="Arial"/>
                <w:b/>
                <w:sz w:val="20"/>
                <w:szCs w:val="20"/>
              </w:rPr>
              <w:t>3</w:t>
            </w:r>
            <w:r>
              <w:rPr>
                <w:rFonts w:cs="Arial"/>
                <w:b/>
                <w:sz w:val="20"/>
                <w:szCs w:val="20"/>
              </w:rPr>
              <w:t>1. 12. 2017</w:t>
            </w:r>
          </w:p>
        </w:tc>
      </w:tr>
      <w:tr w:rsidR="002C1E7B" w:rsidRPr="008828D3" w:rsidTr="00413C26">
        <w:trPr>
          <w:trHeight w:val="347"/>
        </w:trPr>
        <w:tc>
          <w:tcPr>
            <w:tcW w:w="1622" w:type="dxa"/>
            <w:vMerge w:val="restart"/>
            <w:vAlign w:val="center"/>
          </w:tcPr>
          <w:p w:rsidR="002C1E7B" w:rsidRPr="008828D3" w:rsidRDefault="002C1E7B" w:rsidP="008C67F5">
            <w:pPr>
              <w:spacing w:before="0" w:after="0"/>
              <w:jc w:val="center"/>
              <w:rPr>
                <w:rFonts w:cs="Arial"/>
                <w:color w:val="000000"/>
                <w:sz w:val="20"/>
                <w:szCs w:val="20"/>
              </w:rPr>
            </w:pPr>
            <w:r w:rsidRPr="008828D3">
              <w:rPr>
                <w:rFonts w:cs="Arial"/>
                <w:color w:val="000000"/>
                <w:sz w:val="20"/>
                <w:szCs w:val="20"/>
              </w:rPr>
              <w:t>Počet pracovních míst</w:t>
            </w:r>
          </w:p>
        </w:tc>
        <w:tc>
          <w:tcPr>
            <w:tcW w:w="1581" w:type="dxa"/>
            <w:vMerge w:val="restart"/>
            <w:tcBorders>
              <w:right w:val="single" w:sz="4" w:space="0" w:color="auto"/>
            </w:tcBorders>
            <w:vAlign w:val="center"/>
          </w:tcPr>
          <w:p w:rsidR="002C1E7B" w:rsidRPr="008828D3" w:rsidRDefault="002C1E7B" w:rsidP="008C67F5">
            <w:pPr>
              <w:spacing w:before="0" w:after="0"/>
              <w:jc w:val="center"/>
              <w:rPr>
                <w:rFonts w:cs="Arial"/>
                <w:sz w:val="20"/>
                <w:szCs w:val="20"/>
              </w:rPr>
            </w:pPr>
            <w:r w:rsidRPr="008828D3">
              <w:rPr>
                <w:rFonts w:cs="Arial"/>
                <w:sz w:val="20"/>
                <w:szCs w:val="20"/>
              </w:rPr>
              <w:t>celkem</w:t>
            </w:r>
          </w:p>
        </w:tc>
        <w:tc>
          <w:tcPr>
            <w:tcW w:w="5927" w:type="dxa"/>
            <w:gridSpan w:val="4"/>
            <w:tcBorders>
              <w:left w:val="single" w:sz="4" w:space="0" w:color="auto"/>
            </w:tcBorders>
            <w:vAlign w:val="center"/>
          </w:tcPr>
          <w:p w:rsidR="002C1E7B" w:rsidRPr="008828D3" w:rsidRDefault="002C1E7B" w:rsidP="008C67F5">
            <w:pPr>
              <w:spacing w:before="0" w:after="0"/>
              <w:jc w:val="center"/>
              <w:rPr>
                <w:rFonts w:cs="Arial"/>
                <w:sz w:val="20"/>
                <w:szCs w:val="20"/>
              </w:rPr>
            </w:pPr>
            <w:r w:rsidRPr="008828D3">
              <w:rPr>
                <w:rFonts w:cs="Arial"/>
                <w:sz w:val="20"/>
                <w:szCs w:val="20"/>
              </w:rPr>
              <w:t>Neobsazeno (měsíců)</w:t>
            </w:r>
          </w:p>
        </w:tc>
      </w:tr>
      <w:tr w:rsidR="002C1E7B" w:rsidRPr="008828D3" w:rsidTr="00413C26">
        <w:trPr>
          <w:trHeight w:val="347"/>
        </w:trPr>
        <w:tc>
          <w:tcPr>
            <w:tcW w:w="1622" w:type="dxa"/>
            <w:vMerge/>
            <w:vAlign w:val="center"/>
          </w:tcPr>
          <w:p w:rsidR="002C1E7B" w:rsidRPr="008828D3" w:rsidRDefault="002C1E7B" w:rsidP="008C67F5">
            <w:pPr>
              <w:spacing w:before="0" w:after="0"/>
              <w:jc w:val="center"/>
              <w:rPr>
                <w:rFonts w:cs="Arial"/>
                <w:sz w:val="20"/>
                <w:szCs w:val="20"/>
              </w:rPr>
            </w:pPr>
          </w:p>
        </w:tc>
        <w:tc>
          <w:tcPr>
            <w:tcW w:w="1581" w:type="dxa"/>
            <w:vMerge/>
            <w:tcBorders>
              <w:bottom w:val="single" w:sz="4" w:space="0" w:color="auto"/>
              <w:right w:val="single" w:sz="4" w:space="0" w:color="auto"/>
            </w:tcBorders>
          </w:tcPr>
          <w:p w:rsidR="002C1E7B" w:rsidRPr="008828D3" w:rsidRDefault="002C1E7B" w:rsidP="008C67F5">
            <w:pPr>
              <w:spacing w:before="0" w:after="0"/>
              <w:jc w:val="center"/>
              <w:rPr>
                <w:rFonts w:cs="Arial"/>
                <w:sz w:val="20"/>
                <w:szCs w:val="20"/>
              </w:rPr>
            </w:pPr>
          </w:p>
        </w:tc>
        <w:tc>
          <w:tcPr>
            <w:tcW w:w="1384" w:type="dxa"/>
            <w:tcBorders>
              <w:left w:val="single" w:sz="4" w:space="0" w:color="auto"/>
              <w:bottom w:val="single" w:sz="4" w:space="0" w:color="auto"/>
            </w:tcBorders>
            <w:vAlign w:val="center"/>
          </w:tcPr>
          <w:p w:rsidR="002C1E7B" w:rsidRPr="008828D3" w:rsidRDefault="002C1E7B" w:rsidP="008C67F5">
            <w:pPr>
              <w:spacing w:before="0" w:after="0"/>
              <w:jc w:val="center"/>
              <w:rPr>
                <w:rFonts w:cs="Arial"/>
                <w:sz w:val="20"/>
                <w:szCs w:val="20"/>
              </w:rPr>
            </w:pPr>
            <w:r w:rsidRPr="008828D3">
              <w:rPr>
                <w:rFonts w:cs="Arial"/>
                <w:sz w:val="20"/>
                <w:szCs w:val="20"/>
              </w:rPr>
              <w:t xml:space="preserve">0-3 </w:t>
            </w:r>
          </w:p>
        </w:tc>
        <w:tc>
          <w:tcPr>
            <w:tcW w:w="1381" w:type="dxa"/>
            <w:tcBorders>
              <w:bottom w:val="single" w:sz="4" w:space="0" w:color="auto"/>
            </w:tcBorders>
            <w:vAlign w:val="center"/>
          </w:tcPr>
          <w:p w:rsidR="002C1E7B" w:rsidRPr="008828D3" w:rsidRDefault="002C1E7B" w:rsidP="008C67F5">
            <w:pPr>
              <w:spacing w:before="0" w:after="0"/>
              <w:jc w:val="center"/>
              <w:rPr>
                <w:rFonts w:cs="Arial"/>
                <w:sz w:val="20"/>
                <w:szCs w:val="20"/>
              </w:rPr>
            </w:pPr>
            <w:r w:rsidRPr="008828D3">
              <w:rPr>
                <w:rFonts w:cs="Arial"/>
                <w:sz w:val="20"/>
                <w:szCs w:val="20"/>
              </w:rPr>
              <w:t xml:space="preserve">3-6 </w:t>
            </w:r>
          </w:p>
        </w:tc>
        <w:tc>
          <w:tcPr>
            <w:tcW w:w="1581" w:type="dxa"/>
            <w:tcBorders>
              <w:bottom w:val="single" w:sz="4" w:space="0" w:color="auto"/>
            </w:tcBorders>
            <w:vAlign w:val="center"/>
          </w:tcPr>
          <w:p w:rsidR="002C1E7B" w:rsidRPr="008828D3" w:rsidRDefault="002C1E7B" w:rsidP="008C67F5">
            <w:pPr>
              <w:spacing w:before="0" w:after="0"/>
              <w:jc w:val="center"/>
              <w:rPr>
                <w:rFonts w:cs="Arial"/>
                <w:sz w:val="20"/>
                <w:szCs w:val="20"/>
              </w:rPr>
            </w:pPr>
            <w:r w:rsidRPr="008828D3">
              <w:rPr>
                <w:rFonts w:cs="Arial"/>
                <w:sz w:val="20"/>
                <w:szCs w:val="20"/>
              </w:rPr>
              <w:t xml:space="preserve">6-12 </w:t>
            </w:r>
          </w:p>
        </w:tc>
        <w:tc>
          <w:tcPr>
            <w:tcW w:w="1581" w:type="dxa"/>
            <w:tcBorders>
              <w:bottom w:val="single" w:sz="4" w:space="0" w:color="auto"/>
            </w:tcBorders>
            <w:vAlign w:val="center"/>
          </w:tcPr>
          <w:p w:rsidR="002C1E7B" w:rsidRPr="008828D3" w:rsidRDefault="002C1E7B" w:rsidP="008C67F5">
            <w:pPr>
              <w:spacing w:before="0" w:after="0"/>
              <w:jc w:val="center"/>
              <w:rPr>
                <w:rFonts w:cs="Arial"/>
                <w:sz w:val="20"/>
                <w:szCs w:val="20"/>
              </w:rPr>
            </w:pPr>
            <w:r w:rsidRPr="008828D3">
              <w:rPr>
                <w:rFonts w:cs="Arial"/>
                <w:sz w:val="20"/>
                <w:szCs w:val="20"/>
              </w:rPr>
              <w:t xml:space="preserve">Nad 12 </w:t>
            </w:r>
          </w:p>
        </w:tc>
      </w:tr>
      <w:tr w:rsidR="002C1E7B" w:rsidRPr="008828D3" w:rsidTr="002C1E7B">
        <w:trPr>
          <w:trHeight w:val="347"/>
        </w:trPr>
        <w:tc>
          <w:tcPr>
            <w:tcW w:w="1622" w:type="dxa"/>
            <w:vMerge/>
            <w:vAlign w:val="center"/>
          </w:tcPr>
          <w:p w:rsidR="002C1E7B" w:rsidRPr="008828D3" w:rsidRDefault="002C1E7B" w:rsidP="008C67F5">
            <w:pPr>
              <w:spacing w:before="0" w:after="0"/>
              <w:jc w:val="right"/>
              <w:rPr>
                <w:rFonts w:cs="Arial"/>
                <w:color w:val="000000"/>
                <w:sz w:val="20"/>
                <w:szCs w:val="20"/>
              </w:rPr>
            </w:pPr>
          </w:p>
        </w:tc>
        <w:tc>
          <w:tcPr>
            <w:tcW w:w="1581" w:type="dxa"/>
            <w:tcBorders>
              <w:top w:val="single" w:sz="4" w:space="0" w:color="auto"/>
              <w:bottom w:val="single" w:sz="4" w:space="0" w:color="auto"/>
            </w:tcBorders>
            <w:vAlign w:val="center"/>
          </w:tcPr>
          <w:p w:rsidR="002C1E7B" w:rsidRPr="002C1E7B" w:rsidRDefault="002C1E7B" w:rsidP="008C67F5">
            <w:pPr>
              <w:spacing w:before="0" w:after="0"/>
              <w:jc w:val="center"/>
              <w:rPr>
                <w:rFonts w:cs="Arial"/>
                <w:bCs/>
                <w:color w:val="000000"/>
                <w:sz w:val="20"/>
                <w:szCs w:val="20"/>
              </w:rPr>
            </w:pPr>
            <w:r w:rsidRPr="002C1E7B">
              <w:rPr>
                <w:rFonts w:cs="Arial"/>
                <w:bCs/>
                <w:color w:val="000000"/>
                <w:sz w:val="20"/>
                <w:szCs w:val="20"/>
              </w:rPr>
              <w:t>216 615</w:t>
            </w:r>
          </w:p>
        </w:tc>
        <w:tc>
          <w:tcPr>
            <w:tcW w:w="1384" w:type="dxa"/>
            <w:vAlign w:val="center"/>
          </w:tcPr>
          <w:p w:rsidR="002C1E7B" w:rsidRPr="002C1E7B" w:rsidRDefault="002C1E7B" w:rsidP="008C67F5">
            <w:pPr>
              <w:spacing w:before="0" w:after="0"/>
              <w:jc w:val="center"/>
              <w:rPr>
                <w:rFonts w:cs="Arial"/>
                <w:bCs/>
                <w:color w:val="000000"/>
                <w:sz w:val="20"/>
                <w:szCs w:val="20"/>
              </w:rPr>
            </w:pPr>
            <w:r w:rsidRPr="002C1E7B">
              <w:rPr>
                <w:rFonts w:cs="Arial"/>
                <w:bCs/>
                <w:color w:val="000000"/>
                <w:sz w:val="20"/>
                <w:szCs w:val="20"/>
              </w:rPr>
              <w:t>87 229</w:t>
            </w:r>
          </w:p>
        </w:tc>
        <w:tc>
          <w:tcPr>
            <w:tcW w:w="1381" w:type="dxa"/>
            <w:vAlign w:val="center"/>
          </w:tcPr>
          <w:p w:rsidR="002C1E7B" w:rsidRPr="002C1E7B" w:rsidRDefault="002C1E7B" w:rsidP="008C67F5">
            <w:pPr>
              <w:spacing w:before="0" w:after="0"/>
              <w:jc w:val="center"/>
              <w:rPr>
                <w:rFonts w:cs="Arial"/>
                <w:bCs/>
                <w:color w:val="000000"/>
                <w:sz w:val="20"/>
                <w:szCs w:val="20"/>
              </w:rPr>
            </w:pPr>
            <w:r w:rsidRPr="002C1E7B">
              <w:rPr>
                <w:rFonts w:cs="Arial"/>
                <w:bCs/>
                <w:color w:val="000000"/>
                <w:sz w:val="20"/>
                <w:szCs w:val="20"/>
              </w:rPr>
              <w:t>35 876</w:t>
            </w:r>
          </w:p>
        </w:tc>
        <w:tc>
          <w:tcPr>
            <w:tcW w:w="1581" w:type="dxa"/>
            <w:vAlign w:val="center"/>
          </w:tcPr>
          <w:p w:rsidR="002C1E7B" w:rsidRPr="002C1E7B" w:rsidRDefault="002C1E7B" w:rsidP="008C67F5">
            <w:pPr>
              <w:spacing w:before="0" w:after="0"/>
              <w:jc w:val="center"/>
              <w:rPr>
                <w:rFonts w:cs="Arial"/>
                <w:bCs/>
                <w:color w:val="000000"/>
                <w:sz w:val="20"/>
                <w:szCs w:val="20"/>
              </w:rPr>
            </w:pPr>
            <w:r w:rsidRPr="002C1E7B">
              <w:rPr>
                <w:rFonts w:cs="Arial"/>
                <w:bCs/>
                <w:color w:val="000000"/>
                <w:sz w:val="20"/>
                <w:szCs w:val="20"/>
              </w:rPr>
              <w:t>45 295</w:t>
            </w:r>
          </w:p>
        </w:tc>
        <w:tc>
          <w:tcPr>
            <w:tcW w:w="1581" w:type="dxa"/>
            <w:vAlign w:val="center"/>
          </w:tcPr>
          <w:p w:rsidR="002C1E7B" w:rsidRPr="002C1E7B" w:rsidRDefault="002C1E7B" w:rsidP="008C67F5">
            <w:pPr>
              <w:spacing w:before="0" w:after="0"/>
              <w:jc w:val="center"/>
              <w:rPr>
                <w:rFonts w:cs="Arial"/>
                <w:bCs/>
                <w:color w:val="000000"/>
                <w:sz w:val="20"/>
                <w:szCs w:val="20"/>
              </w:rPr>
            </w:pPr>
            <w:r w:rsidRPr="002C1E7B">
              <w:rPr>
                <w:rFonts w:cs="Arial"/>
                <w:bCs/>
                <w:color w:val="000000"/>
                <w:sz w:val="20"/>
                <w:szCs w:val="20"/>
              </w:rPr>
              <w:t>48 215</w:t>
            </w:r>
          </w:p>
        </w:tc>
      </w:tr>
      <w:tr w:rsidR="002C1E7B" w:rsidRPr="008828D3" w:rsidTr="002C1E7B">
        <w:trPr>
          <w:trHeight w:val="347"/>
        </w:trPr>
        <w:tc>
          <w:tcPr>
            <w:tcW w:w="1622" w:type="dxa"/>
            <w:vAlign w:val="center"/>
          </w:tcPr>
          <w:p w:rsidR="002C1E7B" w:rsidRPr="008828D3" w:rsidRDefault="002C1E7B" w:rsidP="008C67F5">
            <w:pPr>
              <w:spacing w:before="0" w:after="0"/>
              <w:jc w:val="center"/>
              <w:rPr>
                <w:rFonts w:cs="Arial"/>
                <w:color w:val="000000"/>
                <w:sz w:val="20"/>
                <w:szCs w:val="20"/>
              </w:rPr>
            </w:pPr>
            <w:r w:rsidRPr="008828D3">
              <w:rPr>
                <w:rFonts w:cs="Arial"/>
                <w:color w:val="000000"/>
                <w:sz w:val="20"/>
                <w:szCs w:val="20"/>
              </w:rPr>
              <w:t>podíl</w:t>
            </w:r>
          </w:p>
        </w:tc>
        <w:tc>
          <w:tcPr>
            <w:tcW w:w="1581" w:type="dxa"/>
            <w:tcBorders>
              <w:top w:val="single" w:sz="4" w:space="0" w:color="auto"/>
            </w:tcBorders>
            <w:vAlign w:val="center"/>
          </w:tcPr>
          <w:p w:rsidR="002C1E7B" w:rsidRPr="002C1E7B" w:rsidRDefault="002C1E7B" w:rsidP="008C67F5">
            <w:pPr>
              <w:spacing w:before="0" w:after="0"/>
              <w:jc w:val="center"/>
              <w:rPr>
                <w:rFonts w:cs="Arial"/>
                <w:sz w:val="20"/>
                <w:szCs w:val="20"/>
              </w:rPr>
            </w:pPr>
            <w:r w:rsidRPr="002C1E7B">
              <w:rPr>
                <w:rFonts w:cs="Arial"/>
                <w:sz w:val="20"/>
                <w:szCs w:val="20"/>
              </w:rPr>
              <w:t>100 %</w:t>
            </w:r>
          </w:p>
        </w:tc>
        <w:tc>
          <w:tcPr>
            <w:tcW w:w="1384" w:type="dxa"/>
            <w:vAlign w:val="center"/>
          </w:tcPr>
          <w:p w:rsidR="002C1E7B" w:rsidRPr="002C1E7B" w:rsidRDefault="002C1E7B" w:rsidP="008C67F5">
            <w:pPr>
              <w:spacing w:before="0" w:after="0"/>
              <w:jc w:val="center"/>
              <w:rPr>
                <w:rFonts w:cs="Arial"/>
                <w:bCs/>
                <w:color w:val="000000"/>
                <w:sz w:val="20"/>
                <w:szCs w:val="20"/>
              </w:rPr>
            </w:pPr>
            <w:r w:rsidRPr="002C1E7B">
              <w:rPr>
                <w:rFonts w:cs="Arial"/>
                <w:bCs/>
                <w:color w:val="000000"/>
                <w:sz w:val="20"/>
                <w:szCs w:val="20"/>
              </w:rPr>
              <w:t>40,3 %</w:t>
            </w:r>
          </w:p>
        </w:tc>
        <w:tc>
          <w:tcPr>
            <w:tcW w:w="1381" w:type="dxa"/>
            <w:vAlign w:val="center"/>
          </w:tcPr>
          <w:p w:rsidR="002C1E7B" w:rsidRPr="002C1E7B" w:rsidRDefault="002C1E7B" w:rsidP="008C67F5">
            <w:pPr>
              <w:spacing w:before="0" w:after="0"/>
              <w:jc w:val="center"/>
              <w:rPr>
                <w:rFonts w:cs="Arial"/>
                <w:bCs/>
                <w:color w:val="000000"/>
                <w:sz w:val="20"/>
                <w:szCs w:val="20"/>
              </w:rPr>
            </w:pPr>
            <w:r w:rsidRPr="002C1E7B">
              <w:rPr>
                <w:rFonts w:cs="Arial"/>
                <w:bCs/>
                <w:color w:val="000000"/>
                <w:sz w:val="20"/>
                <w:szCs w:val="20"/>
              </w:rPr>
              <w:t>16,5 %</w:t>
            </w:r>
          </w:p>
        </w:tc>
        <w:tc>
          <w:tcPr>
            <w:tcW w:w="1581" w:type="dxa"/>
            <w:vAlign w:val="center"/>
          </w:tcPr>
          <w:p w:rsidR="002C1E7B" w:rsidRPr="002C1E7B" w:rsidRDefault="002C1E7B" w:rsidP="008C67F5">
            <w:pPr>
              <w:spacing w:before="0" w:after="0"/>
              <w:jc w:val="center"/>
              <w:rPr>
                <w:rFonts w:cs="Arial"/>
                <w:bCs/>
                <w:color w:val="000000"/>
                <w:sz w:val="20"/>
                <w:szCs w:val="20"/>
              </w:rPr>
            </w:pPr>
            <w:r w:rsidRPr="002C1E7B">
              <w:rPr>
                <w:rFonts w:cs="Arial"/>
                <w:bCs/>
                <w:color w:val="000000"/>
                <w:sz w:val="20"/>
                <w:szCs w:val="20"/>
              </w:rPr>
              <w:t>20,9 %</w:t>
            </w:r>
          </w:p>
        </w:tc>
        <w:tc>
          <w:tcPr>
            <w:tcW w:w="1581" w:type="dxa"/>
            <w:vAlign w:val="center"/>
          </w:tcPr>
          <w:p w:rsidR="002C1E7B" w:rsidRPr="002C1E7B" w:rsidRDefault="002C1E7B" w:rsidP="008C67F5">
            <w:pPr>
              <w:spacing w:before="0" w:after="0"/>
              <w:jc w:val="center"/>
              <w:rPr>
                <w:rFonts w:cs="Arial"/>
                <w:bCs/>
                <w:color w:val="000000"/>
                <w:sz w:val="20"/>
                <w:szCs w:val="20"/>
              </w:rPr>
            </w:pPr>
            <w:r w:rsidRPr="002C1E7B">
              <w:rPr>
                <w:rFonts w:cs="Arial"/>
                <w:bCs/>
                <w:color w:val="000000"/>
                <w:sz w:val="20"/>
                <w:szCs w:val="20"/>
              </w:rPr>
              <w:t>22,3 %</w:t>
            </w:r>
          </w:p>
        </w:tc>
      </w:tr>
      <w:tr w:rsidR="002C1E7B" w:rsidRPr="008828D3" w:rsidTr="00413C26">
        <w:trPr>
          <w:trHeight w:val="347"/>
        </w:trPr>
        <w:tc>
          <w:tcPr>
            <w:tcW w:w="9130" w:type="dxa"/>
            <w:gridSpan w:val="6"/>
            <w:vAlign w:val="bottom"/>
          </w:tcPr>
          <w:p w:rsidR="002C1E7B" w:rsidRPr="008828D3" w:rsidRDefault="002C1E7B" w:rsidP="008C67F5">
            <w:pPr>
              <w:spacing w:before="0" w:after="0"/>
              <w:jc w:val="center"/>
              <w:rPr>
                <w:rFonts w:cs="Arial"/>
                <w:sz w:val="20"/>
                <w:szCs w:val="20"/>
              </w:rPr>
            </w:pPr>
            <w:r w:rsidRPr="008828D3">
              <w:rPr>
                <w:rFonts w:cs="Arial"/>
                <w:b/>
                <w:sz w:val="20"/>
                <w:szCs w:val="20"/>
              </w:rPr>
              <w:t>Neobsazenost volných pracovních míst k 3</w:t>
            </w:r>
            <w:r>
              <w:rPr>
                <w:rFonts w:cs="Arial"/>
                <w:b/>
                <w:sz w:val="20"/>
                <w:szCs w:val="20"/>
              </w:rPr>
              <w:t>0</w:t>
            </w:r>
            <w:r w:rsidRPr="008828D3">
              <w:rPr>
                <w:rFonts w:cs="Arial"/>
                <w:b/>
                <w:sz w:val="20"/>
                <w:szCs w:val="20"/>
              </w:rPr>
              <w:t xml:space="preserve">. </w:t>
            </w:r>
            <w:r>
              <w:rPr>
                <w:rFonts w:cs="Arial"/>
                <w:b/>
                <w:sz w:val="20"/>
                <w:szCs w:val="20"/>
              </w:rPr>
              <w:t>6. 2017</w:t>
            </w:r>
          </w:p>
        </w:tc>
      </w:tr>
      <w:tr w:rsidR="002C1E7B" w:rsidRPr="008828D3" w:rsidTr="00413C26">
        <w:trPr>
          <w:trHeight w:val="347"/>
        </w:trPr>
        <w:tc>
          <w:tcPr>
            <w:tcW w:w="1622" w:type="dxa"/>
            <w:vMerge w:val="restart"/>
            <w:vAlign w:val="center"/>
          </w:tcPr>
          <w:p w:rsidR="002C1E7B" w:rsidRPr="008828D3" w:rsidRDefault="002C1E7B" w:rsidP="008C67F5">
            <w:pPr>
              <w:spacing w:before="0" w:after="0"/>
              <w:jc w:val="center"/>
              <w:rPr>
                <w:rFonts w:cs="Arial"/>
                <w:color w:val="000000"/>
                <w:sz w:val="20"/>
                <w:szCs w:val="20"/>
              </w:rPr>
            </w:pPr>
            <w:r w:rsidRPr="008828D3">
              <w:rPr>
                <w:rFonts w:cs="Arial"/>
                <w:color w:val="000000"/>
                <w:sz w:val="20"/>
                <w:szCs w:val="20"/>
              </w:rPr>
              <w:t>Počet pracovních míst</w:t>
            </w:r>
          </w:p>
        </w:tc>
        <w:tc>
          <w:tcPr>
            <w:tcW w:w="1581" w:type="dxa"/>
            <w:vMerge w:val="restart"/>
            <w:tcBorders>
              <w:right w:val="single" w:sz="4" w:space="0" w:color="auto"/>
            </w:tcBorders>
            <w:vAlign w:val="center"/>
          </w:tcPr>
          <w:p w:rsidR="002C1E7B" w:rsidRPr="008828D3" w:rsidRDefault="002C1E7B" w:rsidP="008C67F5">
            <w:pPr>
              <w:spacing w:before="0" w:after="0"/>
              <w:jc w:val="center"/>
              <w:rPr>
                <w:rFonts w:cs="Arial"/>
                <w:sz w:val="20"/>
                <w:szCs w:val="20"/>
              </w:rPr>
            </w:pPr>
            <w:r w:rsidRPr="008828D3">
              <w:rPr>
                <w:rFonts w:cs="Arial"/>
                <w:sz w:val="20"/>
                <w:szCs w:val="20"/>
              </w:rPr>
              <w:t>celkem</w:t>
            </w:r>
          </w:p>
        </w:tc>
        <w:tc>
          <w:tcPr>
            <w:tcW w:w="5927" w:type="dxa"/>
            <w:gridSpan w:val="4"/>
            <w:tcBorders>
              <w:left w:val="single" w:sz="4" w:space="0" w:color="auto"/>
            </w:tcBorders>
            <w:vAlign w:val="center"/>
          </w:tcPr>
          <w:p w:rsidR="002C1E7B" w:rsidRPr="008828D3" w:rsidRDefault="002C1E7B" w:rsidP="008C67F5">
            <w:pPr>
              <w:spacing w:before="0" w:after="0"/>
              <w:jc w:val="center"/>
              <w:rPr>
                <w:rFonts w:cs="Arial"/>
                <w:sz w:val="20"/>
                <w:szCs w:val="20"/>
              </w:rPr>
            </w:pPr>
            <w:r w:rsidRPr="008828D3">
              <w:rPr>
                <w:rFonts w:cs="Arial"/>
                <w:sz w:val="20"/>
                <w:szCs w:val="20"/>
              </w:rPr>
              <w:t>Neobsazeno (měsíců)</w:t>
            </w:r>
          </w:p>
        </w:tc>
      </w:tr>
      <w:tr w:rsidR="002C1E7B" w:rsidRPr="008828D3" w:rsidTr="00413C26">
        <w:trPr>
          <w:trHeight w:val="347"/>
        </w:trPr>
        <w:tc>
          <w:tcPr>
            <w:tcW w:w="1622" w:type="dxa"/>
            <w:vMerge/>
            <w:vAlign w:val="center"/>
          </w:tcPr>
          <w:p w:rsidR="002C1E7B" w:rsidRPr="008828D3" w:rsidRDefault="002C1E7B" w:rsidP="008C67F5">
            <w:pPr>
              <w:spacing w:before="0" w:after="0"/>
              <w:jc w:val="center"/>
              <w:rPr>
                <w:rFonts w:cs="Arial"/>
                <w:sz w:val="20"/>
                <w:szCs w:val="20"/>
              </w:rPr>
            </w:pPr>
          </w:p>
        </w:tc>
        <w:tc>
          <w:tcPr>
            <w:tcW w:w="1581" w:type="dxa"/>
            <w:vMerge/>
            <w:tcBorders>
              <w:bottom w:val="single" w:sz="4" w:space="0" w:color="auto"/>
              <w:right w:val="single" w:sz="4" w:space="0" w:color="auto"/>
            </w:tcBorders>
          </w:tcPr>
          <w:p w:rsidR="002C1E7B" w:rsidRPr="008828D3" w:rsidRDefault="002C1E7B" w:rsidP="008C67F5">
            <w:pPr>
              <w:spacing w:before="0" w:after="0"/>
              <w:jc w:val="center"/>
              <w:rPr>
                <w:rFonts w:cs="Arial"/>
                <w:sz w:val="20"/>
                <w:szCs w:val="20"/>
              </w:rPr>
            </w:pPr>
          </w:p>
        </w:tc>
        <w:tc>
          <w:tcPr>
            <w:tcW w:w="1384" w:type="dxa"/>
            <w:tcBorders>
              <w:left w:val="single" w:sz="4" w:space="0" w:color="auto"/>
              <w:bottom w:val="single" w:sz="4" w:space="0" w:color="auto"/>
            </w:tcBorders>
            <w:vAlign w:val="center"/>
          </w:tcPr>
          <w:p w:rsidR="002C1E7B" w:rsidRPr="008828D3" w:rsidRDefault="002C1E7B" w:rsidP="008C67F5">
            <w:pPr>
              <w:spacing w:before="0" w:after="0"/>
              <w:jc w:val="center"/>
              <w:rPr>
                <w:rFonts w:cs="Arial"/>
                <w:sz w:val="20"/>
                <w:szCs w:val="20"/>
              </w:rPr>
            </w:pPr>
            <w:r w:rsidRPr="008828D3">
              <w:rPr>
                <w:rFonts w:cs="Arial"/>
                <w:sz w:val="20"/>
                <w:szCs w:val="20"/>
              </w:rPr>
              <w:t xml:space="preserve">0-3 </w:t>
            </w:r>
          </w:p>
        </w:tc>
        <w:tc>
          <w:tcPr>
            <w:tcW w:w="1381" w:type="dxa"/>
            <w:tcBorders>
              <w:bottom w:val="single" w:sz="4" w:space="0" w:color="auto"/>
            </w:tcBorders>
            <w:vAlign w:val="center"/>
          </w:tcPr>
          <w:p w:rsidR="002C1E7B" w:rsidRPr="008828D3" w:rsidRDefault="002C1E7B" w:rsidP="008C67F5">
            <w:pPr>
              <w:spacing w:before="0" w:after="0"/>
              <w:jc w:val="center"/>
              <w:rPr>
                <w:rFonts w:cs="Arial"/>
                <w:sz w:val="20"/>
                <w:szCs w:val="20"/>
              </w:rPr>
            </w:pPr>
            <w:r w:rsidRPr="008828D3">
              <w:rPr>
                <w:rFonts w:cs="Arial"/>
                <w:sz w:val="20"/>
                <w:szCs w:val="20"/>
              </w:rPr>
              <w:t xml:space="preserve">3-6 </w:t>
            </w:r>
          </w:p>
        </w:tc>
        <w:tc>
          <w:tcPr>
            <w:tcW w:w="1581" w:type="dxa"/>
            <w:tcBorders>
              <w:bottom w:val="single" w:sz="4" w:space="0" w:color="auto"/>
            </w:tcBorders>
            <w:vAlign w:val="center"/>
          </w:tcPr>
          <w:p w:rsidR="002C1E7B" w:rsidRPr="008828D3" w:rsidRDefault="002C1E7B" w:rsidP="008C67F5">
            <w:pPr>
              <w:spacing w:before="0" w:after="0"/>
              <w:jc w:val="center"/>
              <w:rPr>
                <w:rFonts w:cs="Arial"/>
                <w:sz w:val="20"/>
                <w:szCs w:val="20"/>
              </w:rPr>
            </w:pPr>
            <w:r w:rsidRPr="008828D3">
              <w:rPr>
                <w:rFonts w:cs="Arial"/>
                <w:sz w:val="20"/>
                <w:szCs w:val="20"/>
              </w:rPr>
              <w:t xml:space="preserve">6-12 </w:t>
            </w:r>
          </w:p>
        </w:tc>
        <w:tc>
          <w:tcPr>
            <w:tcW w:w="1581" w:type="dxa"/>
            <w:tcBorders>
              <w:bottom w:val="single" w:sz="4" w:space="0" w:color="auto"/>
            </w:tcBorders>
            <w:vAlign w:val="center"/>
          </w:tcPr>
          <w:p w:rsidR="002C1E7B" w:rsidRPr="008828D3" w:rsidRDefault="002C1E7B" w:rsidP="008C67F5">
            <w:pPr>
              <w:spacing w:before="0" w:after="0"/>
              <w:jc w:val="center"/>
              <w:rPr>
                <w:rFonts w:cs="Arial"/>
                <w:sz w:val="20"/>
                <w:szCs w:val="20"/>
              </w:rPr>
            </w:pPr>
            <w:r w:rsidRPr="008828D3">
              <w:rPr>
                <w:rFonts w:cs="Arial"/>
                <w:sz w:val="20"/>
                <w:szCs w:val="20"/>
              </w:rPr>
              <w:t xml:space="preserve">Nad 12 </w:t>
            </w:r>
          </w:p>
        </w:tc>
      </w:tr>
      <w:tr w:rsidR="002C1E7B" w:rsidRPr="008828D3" w:rsidTr="00413C26">
        <w:trPr>
          <w:trHeight w:val="347"/>
        </w:trPr>
        <w:tc>
          <w:tcPr>
            <w:tcW w:w="1622" w:type="dxa"/>
            <w:vMerge/>
            <w:vAlign w:val="center"/>
          </w:tcPr>
          <w:p w:rsidR="002C1E7B" w:rsidRPr="008828D3" w:rsidRDefault="002C1E7B" w:rsidP="008C67F5">
            <w:pPr>
              <w:spacing w:before="0" w:after="0"/>
              <w:jc w:val="right"/>
              <w:rPr>
                <w:rFonts w:cs="Arial"/>
                <w:color w:val="000000"/>
                <w:sz w:val="20"/>
                <w:szCs w:val="20"/>
              </w:rPr>
            </w:pPr>
          </w:p>
        </w:tc>
        <w:tc>
          <w:tcPr>
            <w:tcW w:w="1581" w:type="dxa"/>
            <w:tcBorders>
              <w:top w:val="single" w:sz="4" w:space="0" w:color="auto"/>
              <w:bottom w:val="single" w:sz="4" w:space="0" w:color="auto"/>
            </w:tcBorders>
            <w:vAlign w:val="center"/>
          </w:tcPr>
          <w:p w:rsidR="002C1E7B" w:rsidRPr="008828D3" w:rsidRDefault="002C1E7B" w:rsidP="008C67F5">
            <w:pPr>
              <w:spacing w:before="0" w:after="0"/>
              <w:jc w:val="center"/>
              <w:rPr>
                <w:rFonts w:cs="Arial"/>
                <w:sz w:val="20"/>
                <w:szCs w:val="20"/>
              </w:rPr>
            </w:pPr>
            <w:r w:rsidRPr="004A6B55">
              <w:rPr>
                <w:rFonts w:cs="Arial"/>
                <w:bCs/>
                <w:color w:val="000000"/>
                <w:sz w:val="20"/>
                <w:szCs w:val="20"/>
              </w:rPr>
              <w:t>183 499</w:t>
            </w:r>
          </w:p>
        </w:tc>
        <w:tc>
          <w:tcPr>
            <w:tcW w:w="1384" w:type="dxa"/>
            <w:vAlign w:val="center"/>
          </w:tcPr>
          <w:p w:rsidR="002C1E7B" w:rsidRPr="008828D3" w:rsidRDefault="002C1E7B" w:rsidP="008C67F5">
            <w:pPr>
              <w:spacing w:before="0" w:after="0"/>
              <w:jc w:val="center"/>
              <w:rPr>
                <w:rFonts w:cs="Arial"/>
                <w:sz w:val="20"/>
                <w:szCs w:val="20"/>
              </w:rPr>
            </w:pPr>
            <w:r w:rsidRPr="004A6B55">
              <w:rPr>
                <w:rFonts w:cs="Arial"/>
                <w:bCs/>
                <w:color w:val="000000"/>
                <w:sz w:val="20"/>
                <w:szCs w:val="20"/>
              </w:rPr>
              <w:t>88 479</w:t>
            </w:r>
          </w:p>
        </w:tc>
        <w:tc>
          <w:tcPr>
            <w:tcW w:w="1381" w:type="dxa"/>
            <w:vAlign w:val="center"/>
          </w:tcPr>
          <w:p w:rsidR="002C1E7B" w:rsidRPr="008828D3" w:rsidRDefault="002C1E7B" w:rsidP="008C67F5">
            <w:pPr>
              <w:spacing w:before="0" w:after="0"/>
              <w:jc w:val="center"/>
              <w:rPr>
                <w:rFonts w:cs="Arial"/>
                <w:sz w:val="20"/>
                <w:szCs w:val="20"/>
              </w:rPr>
            </w:pPr>
            <w:r w:rsidRPr="004A6B55">
              <w:rPr>
                <w:rFonts w:cs="Arial"/>
                <w:bCs/>
                <w:color w:val="000000"/>
                <w:sz w:val="20"/>
                <w:szCs w:val="20"/>
              </w:rPr>
              <w:t>31 623</w:t>
            </w:r>
          </w:p>
        </w:tc>
        <w:tc>
          <w:tcPr>
            <w:tcW w:w="1581" w:type="dxa"/>
            <w:vAlign w:val="center"/>
          </w:tcPr>
          <w:p w:rsidR="002C1E7B" w:rsidRPr="008828D3" w:rsidRDefault="002C1E7B" w:rsidP="008C67F5">
            <w:pPr>
              <w:spacing w:before="0" w:after="0"/>
              <w:jc w:val="center"/>
              <w:rPr>
                <w:rFonts w:cs="Arial"/>
                <w:sz w:val="20"/>
                <w:szCs w:val="20"/>
              </w:rPr>
            </w:pPr>
            <w:r w:rsidRPr="004A6B55">
              <w:rPr>
                <w:rFonts w:cs="Arial"/>
                <w:bCs/>
                <w:color w:val="000000"/>
                <w:sz w:val="20"/>
                <w:szCs w:val="20"/>
              </w:rPr>
              <w:t>26 935</w:t>
            </w:r>
          </w:p>
        </w:tc>
        <w:tc>
          <w:tcPr>
            <w:tcW w:w="1581" w:type="dxa"/>
            <w:vAlign w:val="center"/>
          </w:tcPr>
          <w:p w:rsidR="002C1E7B" w:rsidRPr="008828D3" w:rsidRDefault="002C1E7B" w:rsidP="008C67F5">
            <w:pPr>
              <w:spacing w:before="0" w:after="0"/>
              <w:jc w:val="center"/>
              <w:rPr>
                <w:rFonts w:cs="Arial"/>
                <w:sz w:val="20"/>
                <w:szCs w:val="20"/>
              </w:rPr>
            </w:pPr>
            <w:r w:rsidRPr="004A6B55">
              <w:rPr>
                <w:rFonts w:cs="Arial"/>
                <w:bCs/>
                <w:color w:val="000000"/>
                <w:sz w:val="20"/>
                <w:szCs w:val="20"/>
              </w:rPr>
              <w:t>36 462</w:t>
            </w:r>
          </w:p>
        </w:tc>
      </w:tr>
      <w:tr w:rsidR="002C1E7B" w:rsidRPr="008828D3" w:rsidTr="00413C26">
        <w:trPr>
          <w:trHeight w:val="347"/>
        </w:trPr>
        <w:tc>
          <w:tcPr>
            <w:tcW w:w="1622" w:type="dxa"/>
            <w:vAlign w:val="center"/>
          </w:tcPr>
          <w:p w:rsidR="002C1E7B" w:rsidRPr="008828D3" w:rsidRDefault="002C1E7B" w:rsidP="008C67F5">
            <w:pPr>
              <w:spacing w:before="0" w:after="0"/>
              <w:jc w:val="center"/>
              <w:rPr>
                <w:rFonts w:cs="Arial"/>
                <w:color w:val="000000"/>
                <w:sz w:val="20"/>
                <w:szCs w:val="20"/>
              </w:rPr>
            </w:pPr>
            <w:r w:rsidRPr="008828D3">
              <w:rPr>
                <w:rFonts w:cs="Arial"/>
                <w:color w:val="000000"/>
                <w:sz w:val="20"/>
                <w:szCs w:val="20"/>
              </w:rPr>
              <w:t>podíl</w:t>
            </w:r>
          </w:p>
        </w:tc>
        <w:tc>
          <w:tcPr>
            <w:tcW w:w="1581" w:type="dxa"/>
            <w:tcBorders>
              <w:top w:val="single" w:sz="4" w:space="0" w:color="auto"/>
            </w:tcBorders>
            <w:vAlign w:val="center"/>
          </w:tcPr>
          <w:p w:rsidR="002C1E7B" w:rsidRPr="004A6B55" w:rsidRDefault="002C1E7B" w:rsidP="008C67F5">
            <w:pPr>
              <w:spacing w:before="0" w:after="0"/>
              <w:jc w:val="center"/>
              <w:rPr>
                <w:rFonts w:cs="Arial"/>
                <w:sz w:val="20"/>
                <w:szCs w:val="20"/>
              </w:rPr>
            </w:pPr>
            <w:r w:rsidRPr="004A6B55">
              <w:rPr>
                <w:rFonts w:cs="Arial"/>
                <w:sz w:val="20"/>
                <w:szCs w:val="20"/>
              </w:rPr>
              <w:t>100 %</w:t>
            </w:r>
          </w:p>
        </w:tc>
        <w:tc>
          <w:tcPr>
            <w:tcW w:w="1384" w:type="dxa"/>
            <w:vAlign w:val="center"/>
          </w:tcPr>
          <w:p w:rsidR="002C1E7B" w:rsidRPr="004A6B55" w:rsidRDefault="002C1E7B" w:rsidP="008C67F5">
            <w:pPr>
              <w:spacing w:before="0" w:after="0"/>
              <w:jc w:val="center"/>
              <w:rPr>
                <w:rFonts w:cs="Arial"/>
                <w:bCs/>
                <w:color w:val="000000"/>
                <w:sz w:val="20"/>
                <w:szCs w:val="20"/>
              </w:rPr>
            </w:pPr>
            <w:r w:rsidRPr="004A6B55">
              <w:rPr>
                <w:rFonts w:cs="Arial"/>
                <w:bCs/>
                <w:color w:val="000000"/>
                <w:sz w:val="20"/>
                <w:szCs w:val="20"/>
              </w:rPr>
              <w:t>48,2%</w:t>
            </w:r>
          </w:p>
        </w:tc>
        <w:tc>
          <w:tcPr>
            <w:tcW w:w="1381" w:type="dxa"/>
            <w:vAlign w:val="center"/>
          </w:tcPr>
          <w:p w:rsidR="002C1E7B" w:rsidRPr="004A6B55" w:rsidRDefault="002C1E7B" w:rsidP="008C67F5">
            <w:pPr>
              <w:spacing w:before="0" w:after="0"/>
              <w:jc w:val="center"/>
              <w:rPr>
                <w:rFonts w:cs="Arial"/>
                <w:bCs/>
                <w:color w:val="000000"/>
                <w:sz w:val="20"/>
                <w:szCs w:val="20"/>
              </w:rPr>
            </w:pPr>
            <w:r w:rsidRPr="004A6B55">
              <w:rPr>
                <w:rFonts w:cs="Arial"/>
                <w:bCs/>
                <w:color w:val="000000"/>
                <w:sz w:val="20"/>
                <w:szCs w:val="20"/>
              </w:rPr>
              <w:t>17,2%</w:t>
            </w:r>
          </w:p>
        </w:tc>
        <w:tc>
          <w:tcPr>
            <w:tcW w:w="1581" w:type="dxa"/>
            <w:vAlign w:val="center"/>
          </w:tcPr>
          <w:p w:rsidR="002C1E7B" w:rsidRPr="004A6B55" w:rsidRDefault="002C1E7B" w:rsidP="008C67F5">
            <w:pPr>
              <w:spacing w:before="0" w:after="0"/>
              <w:jc w:val="center"/>
              <w:rPr>
                <w:rFonts w:cs="Arial"/>
                <w:bCs/>
                <w:color w:val="000000"/>
                <w:sz w:val="20"/>
                <w:szCs w:val="20"/>
              </w:rPr>
            </w:pPr>
            <w:r>
              <w:rPr>
                <w:rFonts w:cs="Arial"/>
                <w:bCs/>
                <w:color w:val="000000"/>
                <w:sz w:val="20"/>
                <w:szCs w:val="20"/>
              </w:rPr>
              <w:t>14,7</w:t>
            </w:r>
            <w:r w:rsidRPr="004A6B55">
              <w:rPr>
                <w:rFonts w:cs="Arial"/>
                <w:bCs/>
                <w:color w:val="000000"/>
                <w:sz w:val="20"/>
                <w:szCs w:val="20"/>
              </w:rPr>
              <w:t>%</w:t>
            </w:r>
          </w:p>
        </w:tc>
        <w:tc>
          <w:tcPr>
            <w:tcW w:w="1581" w:type="dxa"/>
            <w:vAlign w:val="center"/>
          </w:tcPr>
          <w:p w:rsidR="002C1E7B" w:rsidRPr="004A6B55" w:rsidRDefault="002C1E7B" w:rsidP="008C67F5">
            <w:pPr>
              <w:spacing w:before="0" w:after="0"/>
              <w:jc w:val="center"/>
              <w:rPr>
                <w:rFonts w:cs="Arial"/>
                <w:bCs/>
                <w:color w:val="000000"/>
                <w:sz w:val="20"/>
                <w:szCs w:val="20"/>
              </w:rPr>
            </w:pPr>
            <w:r w:rsidRPr="004A6B55">
              <w:rPr>
                <w:rFonts w:cs="Arial"/>
                <w:bCs/>
                <w:color w:val="000000"/>
                <w:sz w:val="20"/>
                <w:szCs w:val="20"/>
              </w:rPr>
              <w:t>19,</w:t>
            </w:r>
            <w:r>
              <w:rPr>
                <w:rFonts w:cs="Arial"/>
                <w:bCs/>
                <w:color w:val="000000"/>
                <w:sz w:val="20"/>
                <w:szCs w:val="20"/>
              </w:rPr>
              <w:t xml:space="preserve">9 </w:t>
            </w:r>
            <w:r w:rsidRPr="004A6B55">
              <w:rPr>
                <w:rFonts w:cs="Arial"/>
                <w:bCs/>
                <w:color w:val="000000"/>
                <w:sz w:val="20"/>
                <w:szCs w:val="20"/>
              </w:rPr>
              <w:t>%</w:t>
            </w:r>
          </w:p>
        </w:tc>
      </w:tr>
      <w:tr w:rsidR="002C1E7B" w:rsidRPr="008828D3" w:rsidTr="00413C26">
        <w:trPr>
          <w:trHeight w:val="347"/>
        </w:trPr>
        <w:tc>
          <w:tcPr>
            <w:tcW w:w="9130" w:type="dxa"/>
            <w:gridSpan w:val="6"/>
            <w:vAlign w:val="bottom"/>
          </w:tcPr>
          <w:p w:rsidR="002C1E7B" w:rsidRPr="008828D3" w:rsidRDefault="002C1E7B" w:rsidP="008C67F5">
            <w:pPr>
              <w:spacing w:before="0" w:after="0"/>
              <w:jc w:val="center"/>
              <w:rPr>
                <w:rFonts w:cs="Arial"/>
                <w:sz w:val="20"/>
                <w:szCs w:val="20"/>
              </w:rPr>
            </w:pPr>
            <w:r w:rsidRPr="008828D3">
              <w:rPr>
                <w:rFonts w:cs="Arial"/>
                <w:b/>
                <w:sz w:val="20"/>
                <w:szCs w:val="20"/>
              </w:rPr>
              <w:t>Neobsazenost volných pracovních míst k 31. 12. 2016</w:t>
            </w:r>
          </w:p>
        </w:tc>
      </w:tr>
      <w:tr w:rsidR="002C1E7B" w:rsidRPr="008828D3" w:rsidTr="00413C26">
        <w:trPr>
          <w:trHeight w:val="347"/>
        </w:trPr>
        <w:tc>
          <w:tcPr>
            <w:tcW w:w="1622" w:type="dxa"/>
            <w:vMerge w:val="restart"/>
            <w:vAlign w:val="center"/>
          </w:tcPr>
          <w:p w:rsidR="002C1E7B" w:rsidRPr="008828D3" w:rsidRDefault="002C1E7B" w:rsidP="008C67F5">
            <w:pPr>
              <w:spacing w:before="0" w:after="0"/>
              <w:jc w:val="center"/>
              <w:rPr>
                <w:rFonts w:cs="Arial"/>
                <w:color w:val="000000"/>
                <w:sz w:val="20"/>
                <w:szCs w:val="20"/>
              </w:rPr>
            </w:pPr>
            <w:r w:rsidRPr="008828D3">
              <w:rPr>
                <w:rFonts w:cs="Arial"/>
                <w:color w:val="000000"/>
                <w:sz w:val="20"/>
                <w:szCs w:val="20"/>
              </w:rPr>
              <w:t>Počet pracovních míst</w:t>
            </w:r>
          </w:p>
        </w:tc>
        <w:tc>
          <w:tcPr>
            <w:tcW w:w="1581" w:type="dxa"/>
            <w:vMerge w:val="restart"/>
            <w:tcBorders>
              <w:right w:val="single" w:sz="4" w:space="0" w:color="auto"/>
            </w:tcBorders>
            <w:vAlign w:val="center"/>
          </w:tcPr>
          <w:p w:rsidR="002C1E7B" w:rsidRPr="008828D3" w:rsidRDefault="002C1E7B" w:rsidP="008C67F5">
            <w:pPr>
              <w:spacing w:before="0" w:after="0"/>
              <w:jc w:val="center"/>
              <w:rPr>
                <w:rFonts w:cs="Arial"/>
                <w:sz w:val="20"/>
                <w:szCs w:val="20"/>
              </w:rPr>
            </w:pPr>
            <w:r w:rsidRPr="008828D3">
              <w:rPr>
                <w:rFonts w:cs="Arial"/>
                <w:sz w:val="20"/>
                <w:szCs w:val="20"/>
              </w:rPr>
              <w:t>celkem</w:t>
            </w:r>
          </w:p>
        </w:tc>
        <w:tc>
          <w:tcPr>
            <w:tcW w:w="5927" w:type="dxa"/>
            <w:gridSpan w:val="4"/>
            <w:tcBorders>
              <w:left w:val="single" w:sz="4" w:space="0" w:color="auto"/>
            </w:tcBorders>
            <w:vAlign w:val="center"/>
          </w:tcPr>
          <w:p w:rsidR="002C1E7B" w:rsidRPr="008828D3" w:rsidRDefault="002C1E7B" w:rsidP="008C67F5">
            <w:pPr>
              <w:spacing w:before="0" w:after="0"/>
              <w:jc w:val="center"/>
              <w:rPr>
                <w:rFonts w:cs="Arial"/>
                <w:sz w:val="20"/>
                <w:szCs w:val="20"/>
              </w:rPr>
            </w:pPr>
            <w:r w:rsidRPr="008828D3">
              <w:rPr>
                <w:rFonts w:cs="Arial"/>
                <w:sz w:val="20"/>
                <w:szCs w:val="20"/>
              </w:rPr>
              <w:t>Neobsazeno (měsíců)</w:t>
            </w:r>
          </w:p>
        </w:tc>
      </w:tr>
      <w:tr w:rsidR="002C1E7B" w:rsidRPr="008828D3" w:rsidTr="00413C26">
        <w:trPr>
          <w:trHeight w:val="347"/>
        </w:trPr>
        <w:tc>
          <w:tcPr>
            <w:tcW w:w="1622" w:type="dxa"/>
            <w:vMerge/>
            <w:vAlign w:val="center"/>
          </w:tcPr>
          <w:p w:rsidR="002C1E7B" w:rsidRPr="008828D3" w:rsidRDefault="002C1E7B" w:rsidP="008C67F5">
            <w:pPr>
              <w:spacing w:before="0" w:after="0"/>
              <w:jc w:val="center"/>
              <w:rPr>
                <w:rFonts w:cs="Arial"/>
                <w:sz w:val="20"/>
                <w:szCs w:val="20"/>
              </w:rPr>
            </w:pPr>
          </w:p>
        </w:tc>
        <w:tc>
          <w:tcPr>
            <w:tcW w:w="1581" w:type="dxa"/>
            <w:vMerge/>
            <w:tcBorders>
              <w:bottom w:val="single" w:sz="4" w:space="0" w:color="auto"/>
              <w:right w:val="single" w:sz="4" w:space="0" w:color="auto"/>
            </w:tcBorders>
          </w:tcPr>
          <w:p w:rsidR="002C1E7B" w:rsidRPr="008828D3" w:rsidRDefault="002C1E7B" w:rsidP="008C67F5">
            <w:pPr>
              <w:spacing w:before="0" w:after="0"/>
              <w:jc w:val="center"/>
              <w:rPr>
                <w:rFonts w:cs="Arial"/>
                <w:sz w:val="20"/>
                <w:szCs w:val="20"/>
              </w:rPr>
            </w:pPr>
          </w:p>
        </w:tc>
        <w:tc>
          <w:tcPr>
            <w:tcW w:w="1384" w:type="dxa"/>
            <w:tcBorders>
              <w:left w:val="single" w:sz="4" w:space="0" w:color="auto"/>
              <w:bottom w:val="single" w:sz="4" w:space="0" w:color="auto"/>
            </w:tcBorders>
            <w:vAlign w:val="center"/>
          </w:tcPr>
          <w:p w:rsidR="002C1E7B" w:rsidRPr="008828D3" w:rsidRDefault="002C1E7B" w:rsidP="008C67F5">
            <w:pPr>
              <w:spacing w:before="0" w:after="0"/>
              <w:jc w:val="center"/>
              <w:rPr>
                <w:rFonts w:cs="Arial"/>
                <w:sz w:val="20"/>
                <w:szCs w:val="20"/>
              </w:rPr>
            </w:pPr>
            <w:r w:rsidRPr="008828D3">
              <w:rPr>
                <w:rFonts w:cs="Arial"/>
                <w:sz w:val="20"/>
                <w:szCs w:val="20"/>
              </w:rPr>
              <w:t xml:space="preserve">0-3 </w:t>
            </w:r>
          </w:p>
        </w:tc>
        <w:tc>
          <w:tcPr>
            <w:tcW w:w="1381" w:type="dxa"/>
            <w:tcBorders>
              <w:bottom w:val="single" w:sz="4" w:space="0" w:color="auto"/>
            </w:tcBorders>
            <w:vAlign w:val="center"/>
          </w:tcPr>
          <w:p w:rsidR="002C1E7B" w:rsidRPr="008828D3" w:rsidRDefault="002C1E7B" w:rsidP="008C67F5">
            <w:pPr>
              <w:spacing w:before="0" w:after="0"/>
              <w:jc w:val="center"/>
              <w:rPr>
                <w:rFonts w:cs="Arial"/>
                <w:sz w:val="20"/>
                <w:szCs w:val="20"/>
              </w:rPr>
            </w:pPr>
            <w:r w:rsidRPr="008828D3">
              <w:rPr>
                <w:rFonts w:cs="Arial"/>
                <w:sz w:val="20"/>
                <w:szCs w:val="20"/>
              </w:rPr>
              <w:t xml:space="preserve">3-6 </w:t>
            </w:r>
          </w:p>
        </w:tc>
        <w:tc>
          <w:tcPr>
            <w:tcW w:w="1581" w:type="dxa"/>
            <w:tcBorders>
              <w:bottom w:val="single" w:sz="4" w:space="0" w:color="auto"/>
            </w:tcBorders>
            <w:vAlign w:val="center"/>
          </w:tcPr>
          <w:p w:rsidR="002C1E7B" w:rsidRPr="008828D3" w:rsidRDefault="002C1E7B" w:rsidP="008C67F5">
            <w:pPr>
              <w:spacing w:before="0" w:after="0"/>
              <w:jc w:val="center"/>
              <w:rPr>
                <w:rFonts w:cs="Arial"/>
                <w:sz w:val="20"/>
                <w:szCs w:val="20"/>
              </w:rPr>
            </w:pPr>
            <w:r w:rsidRPr="008828D3">
              <w:rPr>
                <w:rFonts w:cs="Arial"/>
                <w:sz w:val="20"/>
                <w:szCs w:val="20"/>
              </w:rPr>
              <w:t xml:space="preserve">6-12 </w:t>
            </w:r>
          </w:p>
        </w:tc>
        <w:tc>
          <w:tcPr>
            <w:tcW w:w="1581" w:type="dxa"/>
            <w:tcBorders>
              <w:bottom w:val="single" w:sz="4" w:space="0" w:color="auto"/>
            </w:tcBorders>
            <w:vAlign w:val="center"/>
          </w:tcPr>
          <w:p w:rsidR="002C1E7B" w:rsidRPr="008828D3" w:rsidRDefault="002C1E7B" w:rsidP="008C67F5">
            <w:pPr>
              <w:spacing w:before="0" w:after="0"/>
              <w:jc w:val="center"/>
              <w:rPr>
                <w:rFonts w:cs="Arial"/>
                <w:sz w:val="20"/>
                <w:szCs w:val="20"/>
              </w:rPr>
            </w:pPr>
            <w:r w:rsidRPr="008828D3">
              <w:rPr>
                <w:rFonts w:cs="Arial"/>
                <w:sz w:val="20"/>
                <w:szCs w:val="20"/>
              </w:rPr>
              <w:t xml:space="preserve">Nad 12 </w:t>
            </w:r>
          </w:p>
        </w:tc>
      </w:tr>
      <w:tr w:rsidR="002C1E7B" w:rsidRPr="008828D3" w:rsidTr="00413C26">
        <w:trPr>
          <w:trHeight w:val="347"/>
        </w:trPr>
        <w:tc>
          <w:tcPr>
            <w:tcW w:w="1622" w:type="dxa"/>
            <w:vMerge/>
            <w:vAlign w:val="center"/>
          </w:tcPr>
          <w:p w:rsidR="002C1E7B" w:rsidRPr="008828D3" w:rsidRDefault="002C1E7B" w:rsidP="008C67F5">
            <w:pPr>
              <w:spacing w:before="0" w:after="0"/>
              <w:jc w:val="right"/>
              <w:rPr>
                <w:rFonts w:cs="Arial"/>
                <w:color w:val="000000"/>
                <w:sz w:val="20"/>
                <w:szCs w:val="20"/>
              </w:rPr>
            </w:pPr>
          </w:p>
        </w:tc>
        <w:tc>
          <w:tcPr>
            <w:tcW w:w="1581" w:type="dxa"/>
            <w:tcBorders>
              <w:top w:val="single" w:sz="4" w:space="0" w:color="auto"/>
              <w:bottom w:val="single" w:sz="4" w:space="0" w:color="auto"/>
            </w:tcBorders>
            <w:vAlign w:val="center"/>
          </w:tcPr>
          <w:p w:rsidR="002C1E7B" w:rsidRPr="00A44DFD" w:rsidRDefault="002C1E7B" w:rsidP="008C67F5">
            <w:pPr>
              <w:spacing w:before="0" w:after="0"/>
              <w:jc w:val="center"/>
              <w:rPr>
                <w:rFonts w:cs="Arial"/>
                <w:color w:val="000000"/>
                <w:sz w:val="20"/>
                <w:szCs w:val="20"/>
              </w:rPr>
            </w:pPr>
            <w:r w:rsidRPr="008828D3">
              <w:rPr>
                <w:rFonts w:cs="Arial"/>
                <w:sz w:val="20"/>
                <w:szCs w:val="20"/>
              </w:rPr>
              <w:t>132 495</w:t>
            </w:r>
          </w:p>
        </w:tc>
        <w:tc>
          <w:tcPr>
            <w:tcW w:w="1384" w:type="dxa"/>
            <w:vAlign w:val="center"/>
          </w:tcPr>
          <w:p w:rsidR="002C1E7B" w:rsidRPr="00A44DFD" w:rsidRDefault="002C1E7B" w:rsidP="008C67F5">
            <w:pPr>
              <w:spacing w:before="0" w:after="0"/>
              <w:jc w:val="center"/>
              <w:rPr>
                <w:rFonts w:cs="Arial"/>
                <w:color w:val="000000"/>
                <w:sz w:val="20"/>
                <w:szCs w:val="20"/>
              </w:rPr>
            </w:pPr>
            <w:r w:rsidRPr="008828D3">
              <w:rPr>
                <w:rFonts w:cs="Arial"/>
                <w:sz w:val="20"/>
                <w:szCs w:val="20"/>
              </w:rPr>
              <w:t>53 940</w:t>
            </w:r>
          </w:p>
        </w:tc>
        <w:tc>
          <w:tcPr>
            <w:tcW w:w="1381" w:type="dxa"/>
            <w:vAlign w:val="center"/>
          </w:tcPr>
          <w:p w:rsidR="002C1E7B" w:rsidRPr="00A44DFD" w:rsidRDefault="002C1E7B" w:rsidP="008C67F5">
            <w:pPr>
              <w:spacing w:before="0" w:after="0"/>
              <w:jc w:val="center"/>
              <w:rPr>
                <w:rFonts w:cs="Arial"/>
                <w:color w:val="000000"/>
                <w:sz w:val="20"/>
                <w:szCs w:val="20"/>
              </w:rPr>
            </w:pPr>
            <w:r w:rsidRPr="008828D3">
              <w:rPr>
                <w:rFonts w:cs="Arial"/>
                <w:sz w:val="20"/>
                <w:szCs w:val="20"/>
              </w:rPr>
              <w:t>23 093</w:t>
            </w:r>
          </w:p>
        </w:tc>
        <w:tc>
          <w:tcPr>
            <w:tcW w:w="1581" w:type="dxa"/>
            <w:vAlign w:val="center"/>
          </w:tcPr>
          <w:p w:rsidR="002C1E7B" w:rsidRPr="00A44DFD" w:rsidRDefault="002C1E7B" w:rsidP="008C67F5">
            <w:pPr>
              <w:spacing w:before="0" w:after="0"/>
              <w:jc w:val="center"/>
              <w:rPr>
                <w:rFonts w:cs="Arial"/>
                <w:color w:val="000000"/>
                <w:sz w:val="20"/>
                <w:szCs w:val="20"/>
              </w:rPr>
            </w:pPr>
            <w:r w:rsidRPr="008828D3">
              <w:rPr>
                <w:rFonts w:cs="Arial"/>
                <w:sz w:val="20"/>
                <w:szCs w:val="20"/>
              </w:rPr>
              <w:t>29 421</w:t>
            </w:r>
          </w:p>
        </w:tc>
        <w:tc>
          <w:tcPr>
            <w:tcW w:w="1581" w:type="dxa"/>
            <w:vAlign w:val="center"/>
          </w:tcPr>
          <w:p w:rsidR="002C1E7B" w:rsidRPr="00A44DFD" w:rsidRDefault="002C1E7B" w:rsidP="008C67F5">
            <w:pPr>
              <w:spacing w:before="0" w:after="0"/>
              <w:jc w:val="center"/>
              <w:rPr>
                <w:rFonts w:cs="Arial"/>
                <w:color w:val="000000"/>
                <w:sz w:val="20"/>
                <w:szCs w:val="20"/>
              </w:rPr>
            </w:pPr>
            <w:r w:rsidRPr="008828D3">
              <w:rPr>
                <w:rFonts w:cs="Arial"/>
                <w:sz w:val="20"/>
                <w:szCs w:val="20"/>
              </w:rPr>
              <w:t>26 041</w:t>
            </w:r>
          </w:p>
        </w:tc>
      </w:tr>
      <w:tr w:rsidR="002C1E7B" w:rsidRPr="008828D3" w:rsidTr="00413C26">
        <w:trPr>
          <w:trHeight w:val="347"/>
        </w:trPr>
        <w:tc>
          <w:tcPr>
            <w:tcW w:w="1622" w:type="dxa"/>
            <w:vAlign w:val="center"/>
          </w:tcPr>
          <w:p w:rsidR="002C1E7B" w:rsidRPr="008828D3" w:rsidRDefault="002C1E7B" w:rsidP="008C67F5">
            <w:pPr>
              <w:spacing w:before="0" w:after="0"/>
              <w:jc w:val="center"/>
              <w:rPr>
                <w:rFonts w:cs="Arial"/>
                <w:color w:val="000000"/>
                <w:sz w:val="20"/>
                <w:szCs w:val="20"/>
              </w:rPr>
            </w:pPr>
            <w:r w:rsidRPr="008828D3">
              <w:rPr>
                <w:rFonts w:cs="Arial"/>
                <w:color w:val="000000"/>
                <w:sz w:val="20"/>
                <w:szCs w:val="20"/>
              </w:rPr>
              <w:t>podíl</w:t>
            </w:r>
          </w:p>
        </w:tc>
        <w:tc>
          <w:tcPr>
            <w:tcW w:w="1581" w:type="dxa"/>
            <w:tcBorders>
              <w:top w:val="single" w:sz="4" w:space="0" w:color="auto"/>
            </w:tcBorders>
          </w:tcPr>
          <w:p w:rsidR="002C1E7B" w:rsidRPr="008828D3" w:rsidRDefault="002C1E7B" w:rsidP="008C67F5">
            <w:pPr>
              <w:spacing w:before="0" w:after="0"/>
              <w:jc w:val="center"/>
              <w:rPr>
                <w:rFonts w:cs="Arial"/>
                <w:sz w:val="20"/>
                <w:szCs w:val="20"/>
              </w:rPr>
            </w:pPr>
            <w:r w:rsidRPr="008828D3">
              <w:rPr>
                <w:rFonts w:cs="Arial"/>
                <w:sz w:val="20"/>
                <w:szCs w:val="20"/>
              </w:rPr>
              <w:t>100 %</w:t>
            </w:r>
          </w:p>
        </w:tc>
        <w:tc>
          <w:tcPr>
            <w:tcW w:w="1384" w:type="dxa"/>
            <w:vAlign w:val="center"/>
          </w:tcPr>
          <w:p w:rsidR="002C1E7B" w:rsidRPr="008828D3" w:rsidRDefault="002C1E7B" w:rsidP="008C67F5">
            <w:pPr>
              <w:spacing w:before="0" w:after="0"/>
              <w:jc w:val="center"/>
              <w:rPr>
                <w:rFonts w:cs="Arial"/>
                <w:sz w:val="20"/>
                <w:szCs w:val="20"/>
              </w:rPr>
            </w:pPr>
            <w:r w:rsidRPr="008828D3">
              <w:rPr>
                <w:rFonts w:cs="Arial"/>
                <w:sz w:val="20"/>
                <w:szCs w:val="20"/>
              </w:rPr>
              <w:t>40,7 %</w:t>
            </w:r>
          </w:p>
        </w:tc>
        <w:tc>
          <w:tcPr>
            <w:tcW w:w="1381" w:type="dxa"/>
            <w:vAlign w:val="center"/>
          </w:tcPr>
          <w:p w:rsidR="002C1E7B" w:rsidRPr="008828D3" w:rsidRDefault="002C1E7B" w:rsidP="008C67F5">
            <w:pPr>
              <w:spacing w:before="0" w:after="0"/>
              <w:jc w:val="center"/>
              <w:rPr>
                <w:rFonts w:cs="Arial"/>
                <w:sz w:val="20"/>
                <w:szCs w:val="20"/>
              </w:rPr>
            </w:pPr>
            <w:r w:rsidRPr="008828D3">
              <w:rPr>
                <w:rFonts w:cs="Arial"/>
                <w:sz w:val="20"/>
                <w:szCs w:val="20"/>
              </w:rPr>
              <w:t>17,4 %</w:t>
            </w:r>
          </w:p>
        </w:tc>
        <w:tc>
          <w:tcPr>
            <w:tcW w:w="1581" w:type="dxa"/>
            <w:vAlign w:val="center"/>
          </w:tcPr>
          <w:p w:rsidR="002C1E7B" w:rsidRPr="008828D3" w:rsidRDefault="002C1E7B" w:rsidP="008C67F5">
            <w:pPr>
              <w:spacing w:before="0" w:after="0"/>
              <w:jc w:val="center"/>
              <w:rPr>
                <w:rFonts w:cs="Arial"/>
                <w:sz w:val="20"/>
                <w:szCs w:val="20"/>
              </w:rPr>
            </w:pPr>
            <w:r w:rsidRPr="008828D3">
              <w:rPr>
                <w:rFonts w:cs="Arial"/>
                <w:sz w:val="20"/>
                <w:szCs w:val="20"/>
              </w:rPr>
              <w:t>22,2 %</w:t>
            </w:r>
          </w:p>
        </w:tc>
        <w:tc>
          <w:tcPr>
            <w:tcW w:w="1581" w:type="dxa"/>
            <w:vAlign w:val="center"/>
          </w:tcPr>
          <w:p w:rsidR="002C1E7B" w:rsidRPr="008828D3" w:rsidRDefault="002C1E7B" w:rsidP="008C67F5">
            <w:pPr>
              <w:spacing w:before="0" w:after="0"/>
              <w:jc w:val="center"/>
              <w:rPr>
                <w:rFonts w:cs="Arial"/>
                <w:sz w:val="20"/>
                <w:szCs w:val="20"/>
              </w:rPr>
            </w:pPr>
            <w:r w:rsidRPr="008828D3">
              <w:rPr>
                <w:rFonts w:cs="Arial"/>
                <w:sz w:val="20"/>
                <w:szCs w:val="20"/>
              </w:rPr>
              <w:t>19,7 %</w:t>
            </w:r>
          </w:p>
        </w:tc>
      </w:tr>
    </w:tbl>
    <w:p w:rsidR="0062671F" w:rsidRPr="000F0815" w:rsidRDefault="000F0815" w:rsidP="002A3A1A">
      <w:r>
        <w:t xml:space="preserve">Na velmi vysokou poptávku po pracovní síle a specifické postavení v tomto ohledu České republiky v rámci EU poukazuje rovněž indikátor </w:t>
      </w:r>
      <w:r>
        <w:rPr>
          <w:b/>
        </w:rPr>
        <w:t>míra volných pracovních míst</w:t>
      </w:r>
      <w:r>
        <w:rPr>
          <w:rStyle w:val="Znakapoznpodarou"/>
          <w:b/>
        </w:rPr>
        <w:footnoteReference w:id="2"/>
      </w:r>
      <w:r>
        <w:t xml:space="preserve"> </w:t>
      </w:r>
      <w:proofErr w:type="spellStart"/>
      <w:r w:rsidR="003D09FA">
        <w:t>EUROSTATem</w:t>
      </w:r>
      <w:proofErr w:type="spellEnd"/>
      <w:r w:rsidR="003D09FA">
        <w:t>. Ve 4. </w:t>
      </w:r>
      <w:r>
        <w:t>čtvrtletí dosáhla hodnoty 4,4 %</w:t>
      </w:r>
      <w:r>
        <w:rPr>
          <w:rStyle w:val="Znakapoznpodarou"/>
        </w:rPr>
        <w:footnoteReference w:id="3"/>
      </w:r>
      <w:r w:rsidR="00AE52BE">
        <w:t>. Ve 3. čtvrtletí, ve kterém je možné mezinárodní srovnání</w:t>
      </w:r>
      <w:r w:rsidR="0070390E">
        <w:t>,</w:t>
      </w:r>
      <w:r w:rsidR="00AE52BE">
        <w:t xml:space="preserve"> činila 4,2 %, přičemž průměr v rámci EU 28 byl 2,0 %. Druhá v pořadí byla Belgie s 3,6 % následovaná Německem s 2,7 %. Dlouhodobější čtvrtletní vývoj tohoto ukazatele zobrazuje </w:t>
      </w:r>
      <w:r w:rsidR="003D09FA">
        <w:fldChar w:fldCharType="begin"/>
      </w:r>
      <w:r w:rsidR="003D09FA">
        <w:instrText xml:space="preserve"> REF _Ref508354137 \h </w:instrText>
      </w:r>
      <w:r w:rsidR="003D09FA">
        <w:fldChar w:fldCharType="separate"/>
      </w:r>
      <w:r w:rsidR="00F41CBA">
        <w:t xml:space="preserve">Tabulka </w:t>
      </w:r>
      <w:r w:rsidR="00F41CBA">
        <w:rPr>
          <w:noProof/>
        </w:rPr>
        <w:t>3</w:t>
      </w:r>
      <w:r w:rsidR="003D09FA">
        <w:fldChar w:fldCharType="end"/>
      </w:r>
      <w:r w:rsidR="003D09FA">
        <w:t>.</w:t>
      </w:r>
    </w:p>
    <w:p w:rsidR="003D09FA" w:rsidRDefault="003D09FA" w:rsidP="003D09FA">
      <w:pPr>
        <w:pStyle w:val="Titulek"/>
        <w:keepNext/>
      </w:pPr>
      <w:bookmarkStart w:id="8" w:name="_Ref508354137"/>
      <w:bookmarkStart w:id="9" w:name="_Toc508704221"/>
      <w:r>
        <w:t xml:space="preserve">Tabulka </w:t>
      </w:r>
      <w:r w:rsidR="007B53ED">
        <w:fldChar w:fldCharType="begin"/>
      </w:r>
      <w:r w:rsidR="007B53ED">
        <w:instrText xml:space="preserve"> SEQ Tabulka \* ARABIC </w:instrText>
      </w:r>
      <w:r w:rsidR="007B53ED">
        <w:fldChar w:fldCharType="separate"/>
      </w:r>
      <w:r w:rsidR="00F41CBA">
        <w:rPr>
          <w:noProof/>
        </w:rPr>
        <w:t>3</w:t>
      </w:r>
      <w:r w:rsidR="007B53ED">
        <w:rPr>
          <w:noProof/>
        </w:rPr>
        <w:fldChar w:fldCharType="end"/>
      </w:r>
      <w:bookmarkEnd w:id="8"/>
      <w:r>
        <w:t xml:space="preserve"> Vývoj míry pracovních míst ČR, EU28 (v %)</w:t>
      </w:r>
      <w:r>
        <w:rPr>
          <w:rStyle w:val="Znakapoznpodarou"/>
        </w:rPr>
        <w:footnoteReference w:id="4"/>
      </w:r>
      <w:bookmarkEnd w:id="9"/>
    </w:p>
    <w:tbl>
      <w:tblPr>
        <w:tblStyle w:val="Mkatabulky"/>
        <w:tblW w:w="0" w:type="auto"/>
        <w:tblLook w:val="04A0" w:firstRow="1" w:lastRow="0" w:firstColumn="1" w:lastColumn="0" w:noHBand="0" w:noVBand="1"/>
      </w:tblPr>
      <w:tblGrid>
        <w:gridCol w:w="1146"/>
        <w:gridCol w:w="1146"/>
        <w:gridCol w:w="1146"/>
        <w:gridCol w:w="1146"/>
        <w:gridCol w:w="1147"/>
        <w:gridCol w:w="1146"/>
        <w:gridCol w:w="1146"/>
        <w:gridCol w:w="1147"/>
      </w:tblGrid>
      <w:tr w:rsidR="003D09FA" w:rsidTr="003D09FA">
        <w:trPr>
          <w:trHeight w:val="470"/>
        </w:trPr>
        <w:tc>
          <w:tcPr>
            <w:tcW w:w="1146" w:type="dxa"/>
            <w:tcBorders>
              <w:top w:val="nil"/>
              <w:left w:val="nil"/>
            </w:tcBorders>
          </w:tcPr>
          <w:p w:rsidR="003D09FA" w:rsidRDefault="003D09FA" w:rsidP="002A3A1A">
            <w:pPr>
              <w:rPr>
                <w:sz w:val="20"/>
              </w:rPr>
            </w:pPr>
          </w:p>
        </w:tc>
        <w:tc>
          <w:tcPr>
            <w:tcW w:w="4585" w:type="dxa"/>
            <w:gridSpan w:val="4"/>
          </w:tcPr>
          <w:p w:rsidR="003D09FA" w:rsidRPr="00AE52BE" w:rsidRDefault="003D09FA" w:rsidP="003D09FA">
            <w:pPr>
              <w:jc w:val="center"/>
              <w:rPr>
                <w:sz w:val="20"/>
              </w:rPr>
            </w:pPr>
            <w:r>
              <w:rPr>
                <w:sz w:val="20"/>
              </w:rPr>
              <w:t>2016</w:t>
            </w:r>
          </w:p>
        </w:tc>
        <w:tc>
          <w:tcPr>
            <w:tcW w:w="3439" w:type="dxa"/>
            <w:gridSpan w:val="3"/>
          </w:tcPr>
          <w:p w:rsidR="003D09FA" w:rsidRPr="00AE52BE" w:rsidRDefault="003D09FA" w:rsidP="003D09FA">
            <w:pPr>
              <w:jc w:val="center"/>
              <w:rPr>
                <w:sz w:val="20"/>
              </w:rPr>
            </w:pPr>
            <w:r>
              <w:rPr>
                <w:sz w:val="20"/>
              </w:rPr>
              <w:t>2017</w:t>
            </w:r>
          </w:p>
        </w:tc>
      </w:tr>
      <w:tr w:rsidR="00AE52BE" w:rsidTr="003D09FA">
        <w:trPr>
          <w:trHeight w:val="470"/>
        </w:trPr>
        <w:tc>
          <w:tcPr>
            <w:tcW w:w="1146" w:type="dxa"/>
            <w:vAlign w:val="center"/>
          </w:tcPr>
          <w:p w:rsidR="00AE52BE" w:rsidRPr="00AE52BE" w:rsidRDefault="00AE52BE" w:rsidP="003D09FA">
            <w:pPr>
              <w:spacing w:before="0" w:after="0"/>
              <w:jc w:val="left"/>
              <w:rPr>
                <w:sz w:val="20"/>
              </w:rPr>
            </w:pPr>
            <w:r>
              <w:rPr>
                <w:sz w:val="20"/>
              </w:rPr>
              <w:t>čtvrtletí</w:t>
            </w:r>
          </w:p>
        </w:tc>
        <w:tc>
          <w:tcPr>
            <w:tcW w:w="1146" w:type="dxa"/>
            <w:vAlign w:val="center"/>
          </w:tcPr>
          <w:p w:rsidR="00AE52BE" w:rsidRPr="00AE52BE" w:rsidRDefault="003D09FA" w:rsidP="003D09FA">
            <w:pPr>
              <w:spacing w:before="0" w:after="0"/>
              <w:jc w:val="center"/>
              <w:rPr>
                <w:sz w:val="20"/>
              </w:rPr>
            </w:pPr>
            <w:r>
              <w:rPr>
                <w:sz w:val="20"/>
              </w:rPr>
              <w:t>1Q</w:t>
            </w:r>
          </w:p>
        </w:tc>
        <w:tc>
          <w:tcPr>
            <w:tcW w:w="1146" w:type="dxa"/>
            <w:vAlign w:val="center"/>
          </w:tcPr>
          <w:p w:rsidR="00AE52BE" w:rsidRPr="00AE52BE" w:rsidRDefault="003D09FA" w:rsidP="003D09FA">
            <w:pPr>
              <w:spacing w:before="0" w:after="0"/>
              <w:jc w:val="center"/>
              <w:rPr>
                <w:sz w:val="20"/>
              </w:rPr>
            </w:pPr>
            <w:r>
              <w:rPr>
                <w:sz w:val="20"/>
              </w:rPr>
              <w:t>2Q</w:t>
            </w:r>
          </w:p>
        </w:tc>
        <w:tc>
          <w:tcPr>
            <w:tcW w:w="1146" w:type="dxa"/>
            <w:vAlign w:val="center"/>
          </w:tcPr>
          <w:p w:rsidR="00AE52BE" w:rsidRPr="00AE52BE" w:rsidRDefault="003D09FA" w:rsidP="003D09FA">
            <w:pPr>
              <w:spacing w:before="0" w:after="0"/>
              <w:jc w:val="center"/>
              <w:rPr>
                <w:sz w:val="20"/>
              </w:rPr>
            </w:pPr>
            <w:r>
              <w:rPr>
                <w:sz w:val="20"/>
              </w:rPr>
              <w:t>3Q</w:t>
            </w:r>
          </w:p>
        </w:tc>
        <w:tc>
          <w:tcPr>
            <w:tcW w:w="1147" w:type="dxa"/>
            <w:vAlign w:val="center"/>
          </w:tcPr>
          <w:p w:rsidR="00AE52BE" w:rsidRPr="00AE52BE" w:rsidRDefault="003D09FA" w:rsidP="003D09FA">
            <w:pPr>
              <w:spacing w:before="0" w:after="0"/>
              <w:jc w:val="center"/>
              <w:rPr>
                <w:sz w:val="20"/>
              </w:rPr>
            </w:pPr>
            <w:r>
              <w:rPr>
                <w:sz w:val="20"/>
              </w:rPr>
              <w:t>4Q</w:t>
            </w:r>
          </w:p>
        </w:tc>
        <w:tc>
          <w:tcPr>
            <w:tcW w:w="1146" w:type="dxa"/>
            <w:vAlign w:val="center"/>
          </w:tcPr>
          <w:p w:rsidR="00AE52BE" w:rsidRPr="00AE52BE" w:rsidRDefault="003D09FA" w:rsidP="003D09FA">
            <w:pPr>
              <w:spacing w:before="0" w:after="0"/>
              <w:jc w:val="center"/>
              <w:rPr>
                <w:sz w:val="20"/>
              </w:rPr>
            </w:pPr>
            <w:r>
              <w:rPr>
                <w:sz w:val="20"/>
              </w:rPr>
              <w:t>1Q</w:t>
            </w:r>
          </w:p>
        </w:tc>
        <w:tc>
          <w:tcPr>
            <w:tcW w:w="1146" w:type="dxa"/>
            <w:vAlign w:val="center"/>
          </w:tcPr>
          <w:p w:rsidR="00AE52BE" w:rsidRPr="00AE52BE" w:rsidRDefault="003D09FA" w:rsidP="003D09FA">
            <w:pPr>
              <w:spacing w:before="0" w:after="0"/>
              <w:jc w:val="center"/>
              <w:rPr>
                <w:sz w:val="20"/>
              </w:rPr>
            </w:pPr>
            <w:r>
              <w:rPr>
                <w:sz w:val="20"/>
              </w:rPr>
              <w:t>2Q</w:t>
            </w:r>
          </w:p>
        </w:tc>
        <w:tc>
          <w:tcPr>
            <w:tcW w:w="1147" w:type="dxa"/>
            <w:vAlign w:val="center"/>
          </w:tcPr>
          <w:p w:rsidR="00AE52BE" w:rsidRPr="00AE52BE" w:rsidRDefault="003D09FA" w:rsidP="003D09FA">
            <w:pPr>
              <w:spacing w:before="0" w:after="0"/>
              <w:jc w:val="center"/>
              <w:rPr>
                <w:sz w:val="20"/>
              </w:rPr>
            </w:pPr>
            <w:r>
              <w:rPr>
                <w:sz w:val="20"/>
              </w:rPr>
              <w:t>3Q</w:t>
            </w:r>
          </w:p>
        </w:tc>
      </w:tr>
      <w:tr w:rsidR="00AE52BE" w:rsidTr="003D09FA">
        <w:trPr>
          <w:trHeight w:val="470"/>
        </w:trPr>
        <w:tc>
          <w:tcPr>
            <w:tcW w:w="1146" w:type="dxa"/>
            <w:vAlign w:val="center"/>
          </w:tcPr>
          <w:p w:rsidR="00AE52BE" w:rsidRPr="00AE52BE" w:rsidRDefault="00AE52BE" w:rsidP="003D09FA">
            <w:pPr>
              <w:spacing w:before="0" w:after="0"/>
              <w:jc w:val="left"/>
              <w:rPr>
                <w:sz w:val="20"/>
              </w:rPr>
            </w:pPr>
            <w:r w:rsidRPr="00AE52BE">
              <w:rPr>
                <w:sz w:val="20"/>
              </w:rPr>
              <w:t>ČR</w:t>
            </w:r>
          </w:p>
        </w:tc>
        <w:tc>
          <w:tcPr>
            <w:tcW w:w="1146" w:type="dxa"/>
            <w:vAlign w:val="center"/>
          </w:tcPr>
          <w:p w:rsidR="00AE52BE" w:rsidRPr="00AE52BE" w:rsidRDefault="003D09FA" w:rsidP="003D09FA">
            <w:pPr>
              <w:spacing w:before="0" w:after="0"/>
              <w:jc w:val="center"/>
              <w:rPr>
                <w:sz w:val="20"/>
              </w:rPr>
            </w:pPr>
            <w:r>
              <w:rPr>
                <w:sz w:val="20"/>
              </w:rPr>
              <w:t>2,5</w:t>
            </w:r>
          </w:p>
        </w:tc>
        <w:tc>
          <w:tcPr>
            <w:tcW w:w="1146" w:type="dxa"/>
            <w:vAlign w:val="center"/>
          </w:tcPr>
          <w:p w:rsidR="00AE52BE" w:rsidRPr="00AE52BE" w:rsidRDefault="003D09FA" w:rsidP="003D09FA">
            <w:pPr>
              <w:spacing w:before="0" w:after="0"/>
              <w:jc w:val="center"/>
              <w:rPr>
                <w:sz w:val="20"/>
              </w:rPr>
            </w:pPr>
            <w:r>
              <w:rPr>
                <w:sz w:val="20"/>
              </w:rPr>
              <w:t>2,9</w:t>
            </w:r>
          </w:p>
        </w:tc>
        <w:tc>
          <w:tcPr>
            <w:tcW w:w="1146" w:type="dxa"/>
            <w:vAlign w:val="center"/>
          </w:tcPr>
          <w:p w:rsidR="00AE52BE" w:rsidRPr="00AE52BE" w:rsidRDefault="003D09FA" w:rsidP="003D09FA">
            <w:pPr>
              <w:spacing w:before="0" w:after="0"/>
              <w:jc w:val="center"/>
              <w:rPr>
                <w:sz w:val="20"/>
              </w:rPr>
            </w:pPr>
            <w:r>
              <w:rPr>
                <w:sz w:val="20"/>
              </w:rPr>
              <w:t>3,1</w:t>
            </w:r>
          </w:p>
        </w:tc>
        <w:tc>
          <w:tcPr>
            <w:tcW w:w="1147" w:type="dxa"/>
            <w:vAlign w:val="center"/>
          </w:tcPr>
          <w:p w:rsidR="00AE52BE" w:rsidRPr="00AE52BE" w:rsidRDefault="003D09FA" w:rsidP="003D09FA">
            <w:pPr>
              <w:spacing w:before="0" w:after="0"/>
              <w:jc w:val="center"/>
              <w:rPr>
                <w:sz w:val="20"/>
              </w:rPr>
            </w:pPr>
            <w:r>
              <w:rPr>
                <w:sz w:val="20"/>
              </w:rPr>
              <w:t>3,1</w:t>
            </w:r>
          </w:p>
        </w:tc>
        <w:tc>
          <w:tcPr>
            <w:tcW w:w="1146" w:type="dxa"/>
            <w:vAlign w:val="center"/>
          </w:tcPr>
          <w:p w:rsidR="00AE52BE" w:rsidRPr="00AE52BE" w:rsidRDefault="003D09FA" w:rsidP="003D09FA">
            <w:pPr>
              <w:spacing w:before="0" w:after="0"/>
              <w:jc w:val="center"/>
              <w:rPr>
                <w:sz w:val="20"/>
              </w:rPr>
            </w:pPr>
            <w:r>
              <w:rPr>
                <w:sz w:val="20"/>
              </w:rPr>
              <w:t>3,1</w:t>
            </w:r>
          </w:p>
        </w:tc>
        <w:tc>
          <w:tcPr>
            <w:tcW w:w="1146" w:type="dxa"/>
            <w:vAlign w:val="center"/>
          </w:tcPr>
          <w:p w:rsidR="00AE52BE" w:rsidRPr="00AE52BE" w:rsidRDefault="003D09FA" w:rsidP="003D09FA">
            <w:pPr>
              <w:spacing w:before="0" w:after="0"/>
              <w:jc w:val="center"/>
              <w:rPr>
                <w:sz w:val="20"/>
              </w:rPr>
            </w:pPr>
            <w:r>
              <w:rPr>
                <w:sz w:val="20"/>
              </w:rPr>
              <w:t>3,7</w:t>
            </w:r>
          </w:p>
        </w:tc>
        <w:tc>
          <w:tcPr>
            <w:tcW w:w="1147" w:type="dxa"/>
            <w:vAlign w:val="center"/>
          </w:tcPr>
          <w:p w:rsidR="00AE52BE" w:rsidRPr="00AE52BE" w:rsidRDefault="003D09FA" w:rsidP="003D09FA">
            <w:pPr>
              <w:spacing w:before="0" w:after="0"/>
              <w:jc w:val="center"/>
              <w:rPr>
                <w:sz w:val="20"/>
              </w:rPr>
            </w:pPr>
            <w:r>
              <w:rPr>
                <w:sz w:val="20"/>
              </w:rPr>
              <w:t>4,2</w:t>
            </w:r>
          </w:p>
        </w:tc>
      </w:tr>
      <w:tr w:rsidR="00AE52BE" w:rsidTr="003D09FA">
        <w:trPr>
          <w:trHeight w:val="470"/>
        </w:trPr>
        <w:tc>
          <w:tcPr>
            <w:tcW w:w="1146" w:type="dxa"/>
            <w:vAlign w:val="center"/>
          </w:tcPr>
          <w:p w:rsidR="00AE52BE" w:rsidRPr="00AE52BE" w:rsidRDefault="00AE52BE" w:rsidP="003D09FA">
            <w:pPr>
              <w:spacing w:before="0" w:after="0"/>
              <w:jc w:val="left"/>
              <w:rPr>
                <w:sz w:val="20"/>
              </w:rPr>
            </w:pPr>
            <w:r w:rsidRPr="00AE52BE">
              <w:rPr>
                <w:sz w:val="20"/>
              </w:rPr>
              <w:t>EU28</w:t>
            </w:r>
          </w:p>
        </w:tc>
        <w:tc>
          <w:tcPr>
            <w:tcW w:w="1146" w:type="dxa"/>
            <w:vAlign w:val="center"/>
          </w:tcPr>
          <w:p w:rsidR="00AE52BE" w:rsidRPr="00AE52BE" w:rsidRDefault="003D09FA" w:rsidP="003D09FA">
            <w:pPr>
              <w:spacing w:before="0" w:after="0"/>
              <w:jc w:val="center"/>
              <w:rPr>
                <w:sz w:val="20"/>
              </w:rPr>
            </w:pPr>
            <w:r>
              <w:rPr>
                <w:sz w:val="20"/>
              </w:rPr>
              <w:t>1,8</w:t>
            </w:r>
          </w:p>
        </w:tc>
        <w:tc>
          <w:tcPr>
            <w:tcW w:w="1146" w:type="dxa"/>
            <w:vAlign w:val="center"/>
          </w:tcPr>
          <w:p w:rsidR="00AE52BE" w:rsidRPr="00AE52BE" w:rsidRDefault="003D09FA" w:rsidP="003D09FA">
            <w:pPr>
              <w:spacing w:before="0" w:after="0"/>
              <w:jc w:val="center"/>
              <w:rPr>
                <w:sz w:val="20"/>
              </w:rPr>
            </w:pPr>
            <w:r>
              <w:rPr>
                <w:sz w:val="20"/>
              </w:rPr>
              <w:t>1,8</w:t>
            </w:r>
          </w:p>
        </w:tc>
        <w:tc>
          <w:tcPr>
            <w:tcW w:w="1146" w:type="dxa"/>
            <w:vAlign w:val="center"/>
          </w:tcPr>
          <w:p w:rsidR="00AE52BE" w:rsidRPr="00AE52BE" w:rsidRDefault="003D09FA" w:rsidP="003D09FA">
            <w:pPr>
              <w:spacing w:before="0" w:after="0"/>
              <w:jc w:val="center"/>
              <w:rPr>
                <w:sz w:val="20"/>
              </w:rPr>
            </w:pPr>
            <w:r>
              <w:rPr>
                <w:sz w:val="20"/>
              </w:rPr>
              <w:t>1,7</w:t>
            </w:r>
          </w:p>
        </w:tc>
        <w:tc>
          <w:tcPr>
            <w:tcW w:w="1147" w:type="dxa"/>
            <w:vAlign w:val="center"/>
          </w:tcPr>
          <w:p w:rsidR="00AE52BE" w:rsidRPr="00AE52BE" w:rsidRDefault="003D09FA" w:rsidP="003D09FA">
            <w:pPr>
              <w:spacing w:before="0" w:after="0"/>
              <w:jc w:val="center"/>
              <w:rPr>
                <w:sz w:val="20"/>
              </w:rPr>
            </w:pPr>
            <w:r>
              <w:rPr>
                <w:sz w:val="20"/>
              </w:rPr>
              <w:t>1,8</w:t>
            </w:r>
          </w:p>
        </w:tc>
        <w:tc>
          <w:tcPr>
            <w:tcW w:w="1146" w:type="dxa"/>
            <w:vAlign w:val="center"/>
          </w:tcPr>
          <w:p w:rsidR="00AE52BE" w:rsidRPr="00AE52BE" w:rsidRDefault="003D09FA" w:rsidP="003D09FA">
            <w:pPr>
              <w:spacing w:before="0" w:after="0"/>
              <w:jc w:val="center"/>
              <w:rPr>
                <w:sz w:val="20"/>
              </w:rPr>
            </w:pPr>
            <w:r>
              <w:rPr>
                <w:sz w:val="20"/>
              </w:rPr>
              <w:t>1,9</w:t>
            </w:r>
          </w:p>
        </w:tc>
        <w:tc>
          <w:tcPr>
            <w:tcW w:w="1146" w:type="dxa"/>
            <w:vAlign w:val="center"/>
          </w:tcPr>
          <w:p w:rsidR="00AE52BE" w:rsidRPr="00AE52BE" w:rsidRDefault="003D09FA" w:rsidP="003D09FA">
            <w:pPr>
              <w:spacing w:before="0" w:after="0"/>
              <w:jc w:val="center"/>
              <w:rPr>
                <w:sz w:val="20"/>
              </w:rPr>
            </w:pPr>
            <w:r>
              <w:rPr>
                <w:sz w:val="20"/>
              </w:rPr>
              <w:t>2,0</w:t>
            </w:r>
          </w:p>
        </w:tc>
        <w:tc>
          <w:tcPr>
            <w:tcW w:w="1147" w:type="dxa"/>
            <w:vAlign w:val="center"/>
          </w:tcPr>
          <w:p w:rsidR="00AE52BE" w:rsidRPr="00AE52BE" w:rsidRDefault="003D09FA" w:rsidP="003D09FA">
            <w:pPr>
              <w:spacing w:before="0" w:after="0"/>
              <w:jc w:val="center"/>
              <w:rPr>
                <w:sz w:val="20"/>
              </w:rPr>
            </w:pPr>
            <w:r>
              <w:rPr>
                <w:sz w:val="20"/>
              </w:rPr>
              <w:t>2,0</w:t>
            </w:r>
          </w:p>
        </w:tc>
      </w:tr>
    </w:tbl>
    <w:p w:rsidR="00503C4A" w:rsidRDefault="003D09FA" w:rsidP="002A3A1A">
      <w:r>
        <w:t xml:space="preserve">Je tedy patrné, že </w:t>
      </w:r>
      <w:r w:rsidRPr="003D09FA">
        <w:rPr>
          <w:b/>
        </w:rPr>
        <w:t>ve srovnání s EU je v ČR více jak dvojnásobně vyšší podíl neobsazených pracovních míst a rovněž dynamika jejich nárůstu byla v letech 2016 a 2017 výrazně vyšší než v rámci unie.</w:t>
      </w:r>
    </w:p>
    <w:p w:rsidR="00503C4A" w:rsidRDefault="00503C4A" w:rsidP="007B5796">
      <w:pPr>
        <w:pStyle w:val="Nadpis3"/>
      </w:pPr>
      <w:bookmarkStart w:id="10" w:name="_Ref508383509"/>
      <w:bookmarkStart w:id="11" w:name="_Toc509474122"/>
      <w:r>
        <w:t>Struktura VPM podle zaměstnání</w:t>
      </w:r>
      <w:bookmarkEnd w:id="10"/>
      <w:bookmarkEnd w:id="11"/>
    </w:p>
    <w:p w:rsidR="00503C4A" w:rsidRDefault="0092029D" w:rsidP="002A3A1A">
      <w:r w:rsidRPr="0092029D">
        <w:t>Následující graf zobrazuje počet hlášených VPM a jejich strukturu podle doby neobsazenosti podle hlavních tříd zaměstnání dle klasifikace CZ-ISCO.</w:t>
      </w:r>
    </w:p>
    <w:p w:rsidR="0092029D" w:rsidRDefault="0092029D" w:rsidP="002A3A1A">
      <w:pPr>
        <w:pStyle w:val="Titulek"/>
        <w:spacing w:before="240"/>
      </w:pPr>
      <w:bookmarkStart w:id="12" w:name="_Ref508209944"/>
      <w:bookmarkStart w:id="13" w:name="_Ref508384041"/>
      <w:bookmarkStart w:id="14" w:name="_Toc508704204"/>
      <w:r>
        <w:t xml:space="preserve">Graf č.: </w:t>
      </w:r>
      <w:r w:rsidR="007B53ED">
        <w:fldChar w:fldCharType="begin"/>
      </w:r>
      <w:r w:rsidR="007B53ED">
        <w:instrText xml:space="preserve"> SEQ Graf_č.: \* ARABIC </w:instrText>
      </w:r>
      <w:r w:rsidR="007B53ED">
        <w:fldChar w:fldCharType="separate"/>
      </w:r>
      <w:r w:rsidR="00F41CBA">
        <w:rPr>
          <w:noProof/>
        </w:rPr>
        <w:t>1</w:t>
      </w:r>
      <w:r w:rsidR="007B53ED">
        <w:rPr>
          <w:noProof/>
        </w:rPr>
        <w:fldChar w:fldCharType="end"/>
      </w:r>
      <w:bookmarkEnd w:id="12"/>
      <w:r>
        <w:t xml:space="preserve"> </w:t>
      </w:r>
      <w:r w:rsidRPr="005A6025">
        <w:t>Struktura neobsazenosti VPM podle hl. tříd zaměstnání (k 31. 12. 2017)</w:t>
      </w:r>
      <w:bookmarkEnd w:id="13"/>
      <w:bookmarkEnd w:id="14"/>
    </w:p>
    <w:p w:rsidR="0092029D" w:rsidRDefault="0092029D" w:rsidP="002A3A1A">
      <w:r>
        <w:rPr>
          <w:noProof/>
          <w:lang w:eastAsia="cs-CZ"/>
        </w:rPr>
        <w:drawing>
          <wp:inline distT="0" distB="0" distL="0" distR="0" wp14:anchorId="425842A2" wp14:editId="4F011EBC">
            <wp:extent cx="5972175" cy="2905125"/>
            <wp:effectExtent l="0" t="0" r="9525" b="9525"/>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2029D" w:rsidRDefault="0092029D" w:rsidP="002A3A1A"/>
    <w:p w:rsidR="00503C4A" w:rsidRDefault="0092029D" w:rsidP="002A3A1A">
      <w:r>
        <w:fldChar w:fldCharType="begin"/>
      </w:r>
      <w:r>
        <w:instrText xml:space="preserve"> REF _Ref508209944 \h </w:instrText>
      </w:r>
      <w:r w:rsidR="00FD7C43">
        <w:instrText xml:space="preserve"> \* MERGEFORMAT </w:instrText>
      </w:r>
      <w:r>
        <w:fldChar w:fldCharType="separate"/>
      </w:r>
      <w:r w:rsidR="00F41CBA">
        <w:t xml:space="preserve">Graf č.: </w:t>
      </w:r>
      <w:r w:rsidR="00F41CBA">
        <w:rPr>
          <w:noProof/>
        </w:rPr>
        <w:t>1</w:t>
      </w:r>
      <w:r>
        <w:fldChar w:fldCharType="end"/>
      </w:r>
      <w:r>
        <w:t xml:space="preserve"> (výše) zobrazuje jak počty hlášených VPM podle hl. tříd zaměstnání dle klasifikace CZ-ISCO k 31. 12. 2017, tak rovněž strukturu VPM v těchto hl. třídách dle doby neobsazenosti. V průběhu 2. pololetí 2017 se nejčastěji poptávané staly profese v hl. třídě </w:t>
      </w:r>
      <w:r>
        <w:rPr>
          <w:i/>
        </w:rPr>
        <w:t>Obsluha strojů a zařízení, montéři</w:t>
      </w:r>
      <w:r>
        <w:t>, když tyto profese zaznamenaly mezi sledovanými pololetími nárůst o zhruba 43 %</w:t>
      </w:r>
      <w:r w:rsidR="0002267B">
        <w:t>, a to na 58 911 VPM (27,2 % z celkového počtu hlášených VPM)</w:t>
      </w:r>
      <w:r>
        <w:t xml:space="preserve"> a vystřídaly v pomyslném žebříčku nejpo</w:t>
      </w:r>
      <w:r w:rsidR="0070390E">
        <w:t>žadovan</w:t>
      </w:r>
      <w:r>
        <w:t xml:space="preserve">ějších </w:t>
      </w:r>
      <w:r>
        <w:rPr>
          <w:i/>
        </w:rPr>
        <w:t>Pomocné a nekvalifikované pracovníky</w:t>
      </w:r>
      <w:r w:rsidR="0070390E">
        <w:t>, které</w:t>
      </w:r>
      <w:r w:rsidR="0002267B">
        <w:t xml:space="preserve"> při 51 319 VPM tvoří 23,7 % hlášených VPM. Třetí </w:t>
      </w:r>
      <w:r w:rsidR="00522B75">
        <w:t>nejčastěji</w:t>
      </w:r>
      <w:r w:rsidR="0002267B">
        <w:t xml:space="preserve"> poptávanou skupinou zaměstnání jsou profese z hl. třídy </w:t>
      </w:r>
      <w:r w:rsidR="0002267B">
        <w:rPr>
          <w:i/>
        </w:rPr>
        <w:t>Řemeslníci a opraváři</w:t>
      </w:r>
      <w:r w:rsidR="0002267B">
        <w:t xml:space="preserve">, a to s počtem 43 568 VPM. U této skupiny se ale již ve struktuře podle doby neobsazenosti začíná projevovat vyšší počet dlouhodobě neobsazených VPM, když podíl pracovních míst neobsazených v této skupině po dobu více jak 6 měsíců činí 51,4 %. </w:t>
      </w:r>
    </w:p>
    <w:p w:rsidR="000D14E1" w:rsidRDefault="000D14E1" w:rsidP="002A3A1A">
      <w:r>
        <w:t xml:space="preserve">V průběhu 2. pololetí 2017 se </w:t>
      </w:r>
      <w:r>
        <w:rPr>
          <w:b/>
        </w:rPr>
        <w:t xml:space="preserve">nadále prohloubil problém s hledáním vhodné pracovní síly do profesí </w:t>
      </w:r>
      <w:r>
        <w:rPr>
          <w:b/>
          <w:i/>
        </w:rPr>
        <w:t>Specialistů</w:t>
      </w:r>
      <w:r>
        <w:rPr>
          <w:b/>
        </w:rPr>
        <w:t xml:space="preserve">, když podíl VPM neobsazených v této hl. třídě </w:t>
      </w:r>
      <w:r w:rsidR="0070390E">
        <w:rPr>
          <w:b/>
        </w:rPr>
        <w:t xml:space="preserve">déle </w:t>
      </w:r>
      <w:r>
        <w:rPr>
          <w:b/>
        </w:rPr>
        <w:t>než 6 měsíců dosáhl hodnoty</w:t>
      </w:r>
      <w:r>
        <w:t xml:space="preserve"> </w:t>
      </w:r>
      <w:r>
        <w:rPr>
          <w:b/>
        </w:rPr>
        <w:t>55 %</w:t>
      </w:r>
      <w:r>
        <w:t>, přičemž více jak 12 měsíců bylo neobsazeno téměř 31 % hlášených VPM v této hl. třídě. Jedná se však o profese, které mají v objemu volných pracovních míst nižší zastoupení</w:t>
      </w:r>
      <w:r w:rsidR="0070390E">
        <w:t>,</w:t>
      </w:r>
      <w:r>
        <w:t xml:space="preserve"> a to se zhruba 6,6 %.</w:t>
      </w:r>
    </w:p>
    <w:p w:rsidR="000D14E1" w:rsidRDefault="000D14E1" w:rsidP="002A3A1A">
      <w:r>
        <w:t xml:space="preserve">Na obtížnější obsazování pozic specialistů a řemeslníků ukazuje i následující </w:t>
      </w:r>
      <w:r>
        <w:fldChar w:fldCharType="begin"/>
      </w:r>
      <w:r>
        <w:instrText xml:space="preserve"> REF _Ref508211404 \h </w:instrText>
      </w:r>
      <w:r w:rsidR="00FD7C43">
        <w:instrText xml:space="preserve"> \* MERGEFORMAT </w:instrText>
      </w:r>
      <w:r>
        <w:fldChar w:fldCharType="separate"/>
      </w:r>
      <w:r w:rsidR="00F41CBA">
        <w:t xml:space="preserve">Graf č.: </w:t>
      </w:r>
      <w:r w:rsidR="00F41CBA">
        <w:rPr>
          <w:noProof/>
        </w:rPr>
        <w:t>2</w:t>
      </w:r>
      <w:r>
        <w:fldChar w:fldCharType="end"/>
      </w:r>
      <w:r>
        <w:t xml:space="preserve"> porovnávající změnu struktury hlášených VPM v závislosti na době jejich neobsazenosti.</w:t>
      </w:r>
      <w:r w:rsidR="00522B75">
        <w:t xml:space="preserve"> S rostoucí dobou neobsazenosti se totiž snižuje podíl profesí s požadavky na nižší kvalifikaci (pomocní pracovníci, obsluha zařízení, montéři) a naopak narůstá podíl řemeslníků a specialistů.</w:t>
      </w:r>
    </w:p>
    <w:p w:rsidR="000D14E1" w:rsidRDefault="000D14E1" w:rsidP="002A3A1A">
      <w:pPr>
        <w:pStyle w:val="Titulek"/>
        <w:keepNext/>
      </w:pPr>
      <w:bookmarkStart w:id="15" w:name="_Ref508211404"/>
      <w:bookmarkStart w:id="16" w:name="_Toc508704205"/>
      <w:r>
        <w:t xml:space="preserve">Graf č.: </w:t>
      </w:r>
      <w:r w:rsidR="007B53ED">
        <w:fldChar w:fldCharType="begin"/>
      </w:r>
      <w:r w:rsidR="007B53ED">
        <w:instrText xml:space="preserve"> SEQ Graf_č.: \* ARABIC </w:instrText>
      </w:r>
      <w:r w:rsidR="007B53ED">
        <w:fldChar w:fldCharType="separate"/>
      </w:r>
      <w:r w:rsidR="00F41CBA">
        <w:rPr>
          <w:noProof/>
        </w:rPr>
        <w:t>2</w:t>
      </w:r>
      <w:r w:rsidR="007B53ED">
        <w:rPr>
          <w:noProof/>
        </w:rPr>
        <w:fldChar w:fldCharType="end"/>
      </w:r>
      <w:bookmarkEnd w:id="15"/>
      <w:r>
        <w:t xml:space="preserve"> </w:t>
      </w:r>
      <w:r w:rsidRPr="005A47B3">
        <w:t>Struktura VPM podle hl. tříd zaměstnání a doby neobsazenosti</w:t>
      </w:r>
      <w:bookmarkEnd w:id="16"/>
    </w:p>
    <w:p w:rsidR="000D14E1" w:rsidRDefault="000D14E1" w:rsidP="002A3A1A">
      <w:r>
        <w:rPr>
          <w:noProof/>
          <w:lang w:eastAsia="cs-CZ"/>
        </w:rPr>
        <w:drawing>
          <wp:inline distT="0" distB="0" distL="0" distR="0" wp14:anchorId="790502FC" wp14:editId="505084F1">
            <wp:extent cx="5762625" cy="1895475"/>
            <wp:effectExtent l="0" t="0" r="9525" b="9525"/>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13C26" w:rsidRDefault="000D14E1" w:rsidP="002A3A1A">
      <w:r>
        <w:t>Výše uvedený graf rovněž ukazuje, že nadále tvoří nejvýznamnější část mezi nově hlášenými VPM pracovní místa s nižšími požadavky na kvalifikaci, což je obdobné jako v 1. pololetí 2017</w:t>
      </w:r>
      <w:r w:rsidR="00522B75">
        <w:t>. Při srovnání se stavem k 30. 6. 2017 byl v závěru roku tento trend mírně dokonce posílen, když podíl pomocných profesí a obsluhy</w:t>
      </w:r>
      <w:r w:rsidR="00C626FA">
        <w:t xml:space="preserve"> zařízení a </w:t>
      </w:r>
      <w:r w:rsidR="00522B75">
        <w:t xml:space="preserve">montérů na nově hlášených VPM vzrostl z 52 % na zhruba </w:t>
      </w:r>
      <w:r w:rsidR="00C626FA">
        <w:t>57,5 %.</w:t>
      </w:r>
    </w:p>
    <w:p w:rsidR="00413C26" w:rsidRDefault="00413C26" w:rsidP="007B5796">
      <w:pPr>
        <w:pStyle w:val="Nadpis3"/>
      </w:pPr>
      <w:bookmarkStart w:id="17" w:name="_Toc509474123"/>
      <w:r>
        <w:t>Struktura VPM podle vzdělání</w:t>
      </w:r>
      <w:bookmarkEnd w:id="17"/>
    </w:p>
    <w:p w:rsidR="00774F94" w:rsidRDefault="00413C26" w:rsidP="002A3A1A">
      <w:r>
        <w:t>V průběhu 2. pololetí roku 2017 pokračoval trend zvyšování podílu VPM s požadavkem na nízké, tj. základní, vzdělán</w:t>
      </w:r>
      <w:r w:rsidR="0070390E">
        <w:t>í. Zatímco k 30. 6. 2017 tvořil</w:t>
      </w:r>
      <w:r>
        <w:t xml:space="preserve"> 47,8 %, </w:t>
      </w:r>
      <w:r>
        <w:rPr>
          <w:b/>
        </w:rPr>
        <w:t>k 31. 12. 2017</w:t>
      </w:r>
      <w:r>
        <w:t xml:space="preserve"> </w:t>
      </w:r>
      <w:r w:rsidRPr="00413C26">
        <w:rPr>
          <w:b/>
        </w:rPr>
        <w:t>činil podíl VPM s požadavkem na základní vzdělání</w:t>
      </w:r>
      <w:r>
        <w:rPr>
          <w:b/>
        </w:rPr>
        <w:t xml:space="preserve"> 53,7 %</w:t>
      </w:r>
      <w:r w:rsidR="00FD7C43">
        <w:t xml:space="preserve"> a </w:t>
      </w:r>
      <w:r>
        <w:t xml:space="preserve">absolutně </w:t>
      </w:r>
      <w:r w:rsidR="00FD7C43">
        <w:t>s</w:t>
      </w:r>
      <w:r>
        <w:t>e tak jednalo o 116 273 pracovních m</w:t>
      </w:r>
      <w:r w:rsidR="00FD7C43">
        <w:t>íst. Meziročně, tj. oproti stavu ke konci roku 2016</w:t>
      </w:r>
      <w:r w:rsidR="0070390E">
        <w:t>,</w:t>
      </w:r>
      <w:r w:rsidR="00FD7C43">
        <w:t xml:space="preserve"> vzrostl podíl této skupiny na hlášených VPM o 10 p. b. Přitom se zároveň jedná o </w:t>
      </w:r>
      <w:r>
        <w:t xml:space="preserve">pracovní místa, která mají výrazně dominantní zastoupení mezi nově hlášenými VPM, když </w:t>
      </w:r>
      <w:r w:rsidR="00774F94">
        <w:t xml:space="preserve">64,5 % VPM neobsazených méně jak 3 měsíce tvoří VPM bez požadavku na vzdělání či s požadavkem na alespoň základní vzdělání. </w:t>
      </w:r>
      <w:r w:rsidR="00774F94" w:rsidRPr="007F0BB5">
        <w:rPr>
          <w:b/>
        </w:rPr>
        <w:t>Naopak s dobou neobsazenosti vzrůstá zastoupení pracovních pozic s požadavkem na vysokou kvalifikaci (vysokoškolské vzdělání)</w:t>
      </w:r>
      <w:r w:rsidR="00774F94">
        <w:t>, kdy 1/3 hlášených VPM pro vysokoškoláky je neobsazena dále než 12 měsíců, nicméně jedná se o méně poptávanou skupinu pracovních míst (v celkovém počtu VPM zhruba 3 %).</w:t>
      </w:r>
      <w:r w:rsidR="00FD7C43">
        <w:t xml:space="preserve"> Strukturu VPM podle požadavku na vzdělání zobrazuje </w:t>
      </w:r>
      <w:r w:rsidR="005F195F">
        <w:fldChar w:fldCharType="begin"/>
      </w:r>
      <w:r w:rsidR="005F195F">
        <w:instrText xml:space="preserve"> REF _Ref508274622 \h </w:instrText>
      </w:r>
      <w:r w:rsidR="002A3A1A">
        <w:instrText xml:space="preserve"> \* MERGEFORMAT </w:instrText>
      </w:r>
      <w:r w:rsidR="005F195F">
        <w:fldChar w:fldCharType="separate"/>
      </w:r>
      <w:r w:rsidR="00F41CBA">
        <w:t xml:space="preserve">Graf č.: </w:t>
      </w:r>
      <w:r w:rsidR="00F41CBA">
        <w:rPr>
          <w:noProof/>
        </w:rPr>
        <w:t>3</w:t>
      </w:r>
      <w:r w:rsidR="005F195F">
        <w:fldChar w:fldCharType="end"/>
      </w:r>
      <w:r w:rsidR="005F195F">
        <w:t>.</w:t>
      </w:r>
    </w:p>
    <w:p w:rsidR="00CB1FB4" w:rsidRDefault="00CB1FB4" w:rsidP="002A3A1A">
      <w:r w:rsidRPr="00774F94">
        <w:t>S problémem nedostatku kvalifikované pracovní síly, zejména v řemeslných zaměstnáních, pak koreluje nárůst podílu VPM s požadavkem na vyučení s dobou neobsazení VPM</w:t>
      </w:r>
      <w:r>
        <w:t xml:space="preserve">. </w:t>
      </w:r>
      <w:r>
        <w:rPr>
          <w:b/>
        </w:rPr>
        <w:t>Oproti 1. pololetí 2017 se tak prohloubil problém s obsazováním VPM s požadavkem na střední odborné vzdělání v učňovských oborech</w:t>
      </w:r>
      <w:r>
        <w:t xml:space="preserve">, když podíl VPM neobsazených déle jak 12 měsíců v této skupině vzrostl o 6 </w:t>
      </w:r>
      <w:proofErr w:type="gramStart"/>
      <w:r>
        <w:t>p. b. z hodnoty</w:t>
      </w:r>
      <w:proofErr w:type="gramEnd"/>
      <w:r>
        <w:t xml:space="preserve"> 20,9 % na 26,9 %. </w:t>
      </w:r>
      <w:r w:rsidR="005F195F">
        <w:t xml:space="preserve">Přitom </w:t>
      </w:r>
      <w:r w:rsidR="005F195F">
        <w:rPr>
          <w:b/>
        </w:rPr>
        <w:t xml:space="preserve"> VPM s požadavkem na střední odborné vzdělání s vyučením jsou druhou nejpočetnější skupinou mezi poptávanými VPM. </w:t>
      </w:r>
      <w:r>
        <w:t xml:space="preserve">Proměnu struktury VPM podle požadavku na vzdělání v závislosti na době neobsazenosti zobrazuje </w:t>
      </w:r>
      <w:r w:rsidR="005F195F">
        <w:fldChar w:fldCharType="begin"/>
      </w:r>
      <w:r w:rsidR="005F195F">
        <w:instrText xml:space="preserve"> REF _Ref508274717 \h </w:instrText>
      </w:r>
      <w:r w:rsidR="002A3A1A">
        <w:instrText xml:space="preserve"> \* MERGEFORMAT </w:instrText>
      </w:r>
      <w:r w:rsidR="005F195F">
        <w:fldChar w:fldCharType="separate"/>
      </w:r>
      <w:r w:rsidR="00F41CBA">
        <w:t xml:space="preserve">Graf č.: </w:t>
      </w:r>
      <w:r w:rsidR="00F41CBA">
        <w:rPr>
          <w:noProof/>
        </w:rPr>
        <w:t>4</w:t>
      </w:r>
      <w:r w:rsidR="005F195F">
        <w:fldChar w:fldCharType="end"/>
      </w:r>
      <w:r w:rsidR="005F195F">
        <w:t>.</w:t>
      </w:r>
    </w:p>
    <w:p w:rsidR="007F0BB5" w:rsidRPr="000D449A" w:rsidRDefault="003D09FA" w:rsidP="002A3A1A">
      <w:pPr>
        <w:spacing w:after="200"/>
      </w:pPr>
      <w:r>
        <w:rPr>
          <w:noProof/>
          <w:lang w:eastAsia="cs-CZ"/>
        </w:rPr>
        <mc:AlternateContent>
          <mc:Choice Requires="wps">
            <w:drawing>
              <wp:anchor distT="0" distB="0" distL="114300" distR="114300" simplePos="0" relativeHeight="251666432" behindDoc="0" locked="0" layoutInCell="1" allowOverlap="1" wp14:anchorId="3C08F415" wp14:editId="3E889E00">
                <wp:simplePos x="0" y="0"/>
                <wp:positionH relativeFrom="column">
                  <wp:posOffset>-109220</wp:posOffset>
                </wp:positionH>
                <wp:positionV relativeFrom="paragraph">
                  <wp:posOffset>1148715</wp:posOffset>
                </wp:positionV>
                <wp:extent cx="5981065" cy="247650"/>
                <wp:effectExtent l="0" t="0" r="635" b="0"/>
                <wp:wrapNone/>
                <wp:docPr id="1" name="Textové pole 1"/>
                <wp:cNvGraphicFramePr/>
                <a:graphic xmlns:a="http://schemas.openxmlformats.org/drawingml/2006/main">
                  <a:graphicData uri="http://schemas.microsoft.com/office/word/2010/wordprocessingShape">
                    <wps:wsp>
                      <wps:cNvSpPr txBox="1"/>
                      <wps:spPr>
                        <a:xfrm>
                          <a:off x="0" y="0"/>
                          <a:ext cx="5981065" cy="247650"/>
                        </a:xfrm>
                        <a:prstGeom prst="rect">
                          <a:avLst/>
                        </a:prstGeom>
                        <a:solidFill>
                          <a:prstClr val="white"/>
                        </a:solidFill>
                        <a:ln>
                          <a:noFill/>
                        </a:ln>
                        <a:effectLst/>
                      </wps:spPr>
                      <wps:txbx>
                        <w:txbxContent>
                          <w:p w:rsidR="00F41CBA" w:rsidRPr="006B257C" w:rsidRDefault="00F41CBA" w:rsidP="005F195F">
                            <w:pPr>
                              <w:pStyle w:val="Titulek"/>
                              <w:rPr>
                                <w:noProof/>
                                <w:sz w:val="24"/>
                              </w:rPr>
                            </w:pPr>
                            <w:bookmarkStart w:id="18" w:name="_Ref508274622"/>
                            <w:bookmarkStart w:id="19" w:name="_Toc508704206"/>
                            <w:r>
                              <w:t xml:space="preserve">Graf č.: </w:t>
                            </w:r>
                            <w:r w:rsidR="007B53ED">
                              <w:fldChar w:fldCharType="begin"/>
                            </w:r>
                            <w:r w:rsidR="007B53ED">
                              <w:instrText xml:space="preserve"> SEQ Graf_č.: \* ARABIC </w:instrText>
                            </w:r>
                            <w:r w:rsidR="007B53ED">
                              <w:fldChar w:fldCharType="separate"/>
                            </w:r>
                            <w:r>
                              <w:rPr>
                                <w:noProof/>
                              </w:rPr>
                              <w:t>3</w:t>
                            </w:r>
                            <w:r w:rsidR="007B53ED">
                              <w:rPr>
                                <w:noProof/>
                              </w:rPr>
                              <w:fldChar w:fldCharType="end"/>
                            </w:r>
                            <w:bookmarkEnd w:id="18"/>
                            <w:r>
                              <w:t xml:space="preserve"> Struktura VPM podle vzdělání</w:t>
                            </w:r>
                            <w:bookmarkEnd w:id="19"/>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8.6pt;margin-top:90.45pt;width:470.95pt;height:19.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" stroked="f">
                <v:textbox inset="0,0,0,0">
                  <w:txbxContent>
                    <w:p w:rsidR="00F41CBA" w:rsidRPr="006B257C" w:rsidRDefault="00F41CBA" w:rsidP="005F195F">
                      <w:pPr>
                        <w:pStyle w:val="Titulek"/>
                        <w:rPr>
                          <w:noProof/>
                          <w:sz w:val="24"/>
                        </w:rPr>
                      </w:pPr>
                      <w:bookmarkStart w:id="20" w:name="_Ref508274622"/>
                      <w:bookmarkStart w:id="21" w:name="_Toc508704206"/>
                      <w:r>
                        <w:t xml:space="preserve">Graf č.: </w:t>
                      </w:r>
                      <w:fldSimple w:instr=" SEQ Graf_č.: \* ARABIC ">
                        <w:r>
                          <w:rPr>
                            <w:noProof/>
                          </w:rPr>
                          <w:t>3</w:t>
                        </w:r>
                      </w:fldSimple>
                      <w:bookmarkEnd w:id="20"/>
                      <w:r>
                        <w:t xml:space="preserve"> Struktura VPM podle vzdělání</w:t>
                      </w:r>
                      <w:bookmarkEnd w:id="21"/>
                    </w:p>
                  </w:txbxContent>
                </v:textbox>
              </v:shape>
            </w:pict>
          </mc:Fallback>
        </mc:AlternateContent>
      </w:r>
      <w:r w:rsidR="009524F7">
        <w:t>Při</w:t>
      </w:r>
      <w:r w:rsidR="007F0BB5">
        <w:t xml:space="preserve">tom jak v případě vysokoškoláků, tak v případě vyučených, je v obou skupinách evidován relativní </w:t>
      </w:r>
      <w:r w:rsidR="009F33E5">
        <w:t>dostatek</w:t>
      </w:r>
      <w:r w:rsidR="007F0BB5">
        <w:t xml:space="preserve"> uchazečů o zaměstnání. V obou případech se ukazatel </w:t>
      </w:r>
      <w:proofErr w:type="spellStart"/>
      <w:r w:rsidR="007F0BB5">
        <w:t>UoZ</w:t>
      </w:r>
      <w:proofErr w:type="spellEnd"/>
      <w:r w:rsidR="007F0BB5">
        <w:t xml:space="preserve">/VPM blíží hodnotě 2,3, přičemž celorepublikový průměr činí 1,3. </w:t>
      </w:r>
      <w:r w:rsidR="007F0BB5" w:rsidRPr="007F0BB5">
        <w:t xml:space="preserve">Tento trend byl patrný i v 1. pololetí </w:t>
      </w:r>
      <w:r w:rsidR="009F33E5" w:rsidRPr="007F0BB5">
        <w:t>2017</w:t>
      </w:r>
      <w:r w:rsidR="009F33E5">
        <w:t xml:space="preserve"> a poukazuje</w:t>
      </w:r>
      <w:r w:rsidR="007F0BB5" w:rsidRPr="000D449A">
        <w:t xml:space="preserve"> na fakt, že v</w:t>
      </w:r>
      <w:r w:rsidR="007F0BB5">
        <w:t> těchto případech se</w:t>
      </w:r>
      <w:r w:rsidR="007F0BB5" w:rsidRPr="000D449A">
        <w:t xml:space="preserve"> </w:t>
      </w:r>
      <w:r w:rsidR="007F0BB5" w:rsidRPr="009F33E5">
        <w:rPr>
          <w:b/>
        </w:rPr>
        <w:t>ne zcela shodují požadavky zaměstnavatelů s kvalifikací uchazečů o zaměstnání, popřípadě jejich požadavky na zaměstnání.</w:t>
      </w:r>
      <w:r w:rsidR="007F0BB5" w:rsidRPr="000D449A">
        <w:t xml:space="preserve"> </w:t>
      </w:r>
    </w:p>
    <w:p w:rsidR="00CB1FB4" w:rsidRDefault="00CB1FB4" w:rsidP="002A3A1A"/>
    <w:p w:rsidR="005F195F" w:rsidRDefault="003D09FA" w:rsidP="002A3A1A">
      <w:r>
        <w:rPr>
          <w:noProof/>
          <w:lang w:eastAsia="cs-CZ"/>
        </w:rPr>
        <mc:AlternateContent>
          <mc:Choice Requires="wpg">
            <w:drawing>
              <wp:anchor distT="0" distB="0" distL="114300" distR="114300" simplePos="0" relativeHeight="251664384" behindDoc="0" locked="0" layoutInCell="1" allowOverlap="1" wp14:anchorId="1A222DB6" wp14:editId="2C404C13">
                <wp:simplePos x="0" y="0"/>
                <wp:positionH relativeFrom="column">
                  <wp:align>center</wp:align>
                </wp:positionH>
                <wp:positionV relativeFrom="paragraph">
                  <wp:posOffset>-33020</wp:posOffset>
                </wp:positionV>
                <wp:extent cx="5981065" cy="4324350"/>
                <wp:effectExtent l="0" t="0" r="0" b="0"/>
                <wp:wrapNone/>
                <wp:docPr id="8" name="Skupina 12"/>
                <wp:cNvGraphicFramePr/>
                <a:graphic xmlns:a="http://schemas.openxmlformats.org/drawingml/2006/main">
                  <a:graphicData uri="http://schemas.microsoft.com/office/word/2010/wordprocessingGroup">
                    <wpg:wgp>
                      <wpg:cNvGrpSpPr/>
                      <wpg:grpSpPr>
                        <a:xfrm>
                          <a:off x="0" y="0"/>
                          <a:ext cx="5981065" cy="4324350"/>
                          <a:chOff x="-56553" y="1"/>
                          <a:chExt cx="5177034" cy="5974631"/>
                        </a:xfrm>
                      </wpg:grpSpPr>
                      <wpg:graphicFrame>
                        <wpg:cNvPr id="15" name="Graf 15"/>
                        <wpg:cNvFrPr/>
                        <wpg:xfrm>
                          <a:off x="-56553" y="1"/>
                          <a:ext cx="5177034" cy="2891307"/>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16" name="Graf 16"/>
                        <wpg:cNvFrPr>
                          <a:graphicFrameLocks/>
                        </wpg:cNvFrPr>
                        <wpg:xfrm>
                          <a:off x="9396" y="3002832"/>
                          <a:ext cx="2385673" cy="2971800"/>
                        </wpg:xfrm>
                        <a:graphic>
                          <a:graphicData uri="http://schemas.openxmlformats.org/drawingml/2006/chart">
                            <c:chart xmlns:c="http://schemas.openxmlformats.org/drawingml/2006/chart" xmlns:r="http://schemas.openxmlformats.org/officeDocument/2006/relationships" r:id="rId20"/>
                          </a:graphicData>
                        </a:graphic>
                      </wpg:graphicFrame>
                      <wpg:graphicFrame>
                        <wpg:cNvPr id="18" name="Graf 18"/>
                        <wpg:cNvFrPr>
                          <a:graphicFrameLocks/>
                        </wpg:cNvFrPr>
                        <wpg:xfrm>
                          <a:off x="2395068" y="3002244"/>
                          <a:ext cx="2552700" cy="2971800"/>
                        </wpg:xfrm>
                        <a:graphic>
                          <a:graphicData uri="http://schemas.openxmlformats.org/drawingml/2006/chart">
                            <c:chart xmlns:c="http://schemas.openxmlformats.org/drawingml/2006/chart" xmlns:r="http://schemas.openxmlformats.org/officeDocument/2006/relationships" r:id="rId21"/>
                          </a:graphicData>
                        </a:graphic>
                      </wpg:graphicFrame>
                    </wpg:wgp>
                  </a:graphicData>
                </a:graphic>
                <wp14:sizeRelH relativeFrom="margin">
                  <wp14:pctWidth>0</wp14:pctWidth>
                </wp14:sizeRelH>
                <wp14:sizeRelV relativeFrom="margin">
                  <wp14:pctHeight>0</wp14:pctHeight>
                </wp14:sizeRelV>
              </wp:anchor>
            </w:drawing>
          </mc:Choice>
          <mc:Fallback>
            <w:pict>
              <v:group id="Skupina 12" o:spid="_x0000_s1026" style="position:absolute;margin-left:0;margin-top:-2.6pt;width:470.95pt;height:340.5pt;z-index:251664384;mso-position-horizontal:center;mso-width-relative:margin;mso-height-relative:margin" coordorigin="-565" coordsize="51770,59746" o:gfxdata="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15" o:spid="_x0000_s1027" type="#_x0000_t75" style="position:absolute;left:4447;width:40998;height:2703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">
                  <v:imagedata r:id="rId23" o:title=""/>
                  <o:lock v:ext="edit" aspectratio="f"/>
                </v:shape>
                <v:shape id="Graf 16" o:spid="_x0000_s1028" type="#_x0000_t75" style="position:absolute;left:67;top:30067;width:23903;height:2964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">
                  <v:imagedata r:id="rId24" o:title=""/>
                  <o:lock v:ext="edit" aspectratio="f"/>
                </v:shape>
                <v:shape id="Graf 18" o:spid="_x0000_s1029" type="#_x0000_t75" style="position:absolute;left:23970;top:29983;width:25485;height:2973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">
                  <v:imagedata r:id="rId25" o:title=""/>
                  <o:lock v:ext="edit" aspectratio="f"/>
                </v:shape>
              </v:group>
            </w:pict>
          </mc:Fallback>
        </mc:AlternateContent>
      </w:r>
    </w:p>
    <w:p w:rsidR="005F195F" w:rsidRDefault="005F195F" w:rsidP="002A3A1A"/>
    <w:p w:rsidR="00FD7C43" w:rsidRDefault="00FD7C43" w:rsidP="002A3A1A"/>
    <w:p w:rsidR="00FD7C43" w:rsidRDefault="00FD7C43" w:rsidP="002A3A1A"/>
    <w:p w:rsidR="00FD7C43" w:rsidRDefault="00FD7C43" w:rsidP="002A3A1A"/>
    <w:p w:rsidR="00FD7C43" w:rsidRDefault="00FD7C43" w:rsidP="002A3A1A"/>
    <w:p w:rsidR="00FD7C43" w:rsidRDefault="00FD7C43" w:rsidP="002A3A1A"/>
    <w:p w:rsidR="00FD7C43" w:rsidRDefault="00FD7C43" w:rsidP="002A3A1A"/>
    <w:p w:rsidR="00CB1FB4" w:rsidRDefault="00CB1FB4" w:rsidP="002A3A1A"/>
    <w:p w:rsidR="00CB1FB4" w:rsidRDefault="00CB1FB4" w:rsidP="002A3A1A"/>
    <w:p w:rsidR="00CB1FB4" w:rsidRDefault="00CB1FB4" w:rsidP="002A3A1A"/>
    <w:p w:rsidR="00413C26" w:rsidRPr="00774F94" w:rsidRDefault="00774F94" w:rsidP="002A3A1A">
      <w:r w:rsidRPr="00774F94">
        <w:t xml:space="preserve"> </w:t>
      </w:r>
    </w:p>
    <w:p w:rsidR="00413C26" w:rsidRDefault="00413C26" w:rsidP="002A3A1A"/>
    <w:p w:rsidR="005F195F" w:rsidRDefault="005F195F" w:rsidP="002A3A1A">
      <w:pPr>
        <w:spacing w:after="200"/>
        <w:jc w:val="left"/>
      </w:pPr>
    </w:p>
    <w:p w:rsidR="005F195F" w:rsidRDefault="005F195F" w:rsidP="002A3A1A">
      <w:pPr>
        <w:spacing w:after="200"/>
        <w:jc w:val="left"/>
      </w:pPr>
    </w:p>
    <w:p w:rsidR="005F195F" w:rsidRDefault="005F195F" w:rsidP="002A3A1A">
      <w:pPr>
        <w:spacing w:after="200"/>
        <w:jc w:val="left"/>
      </w:pPr>
    </w:p>
    <w:p w:rsidR="005F195F" w:rsidRDefault="005F195F" w:rsidP="002A3A1A">
      <w:pPr>
        <w:spacing w:after="200"/>
        <w:jc w:val="left"/>
      </w:pPr>
    </w:p>
    <w:p w:rsidR="005F195F" w:rsidRDefault="005F195F" w:rsidP="002A3A1A">
      <w:pPr>
        <w:pStyle w:val="Titulek"/>
        <w:keepNext/>
        <w:jc w:val="left"/>
      </w:pPr>
      <w:bookmarkStart w:id="20" w:name="_Ref508274717"/>
      <w:bookmarkStart w:id="21" w:name="_Toc508704207"/>
      <w:r>
        <w:t xml:space="preserve">Graf č.: </w:t>
      </w:r>
      <w:r w:rsidR="007B53ED">
        <w:fldChar w:fldCharType="begin"/>
      </w:r>
      <w:r w:rsidR="007B53ED">
        <w:instrText xml:space="preserve"> SEQ Graf_č.: \* ARABIC </w:instrText>
      </w:r>
      <w:r w:rsidR="007B53ED">
        <w:fldChar w:fldCharType="separate"/>
      </w:r>
      <w:r w:rsidR="00F41CBA">
        <w:rPr>
          <w:noProof/>
        </w:rPr>
        <w:t>4</w:t>
      </w:r>
      <w:r w:rsidR="007B53ED">
        <w:rPr>
          <w:noProof/>
        </w:rPr>
        <w:fldChar w:fldCharType="end"/>
      </w:r>
      <w:bookmarkEnd w:id="20"/>
      <w:r>
        <w:t xml:space="preserve"> </w:t>
      </w:r>
      <w:r w:rsidRPr="00DB55D5">
        <w:t>Podíly VPM podle vzdělání a podle doby neobsazenosti (31. 12. 2017)</w:t>
      </w:r>
      <w:bookmarkEnd w:id="21"/>
    </w:p>
    <w:p w:rsidR="00413C26" w:rsidRDefault="005F195F" w:rsidP="002A3A1A">
      <w:pPr>
        <w:spacing w:after="200"/>
        <w:jc w:val="left"/>
      </w:pPr>
      <w:r>
        <w:rPr>
          <w:noProof/>
          <w:lang w:eastAsia="cs-CZ"/>
        </w:rPr>
        <w:drawing>
          <wp:inline distT="0" distB="0" distL="0" distR="0" wp14:anchorId="39B34E25" wp14:editId="2EC9A1BB">
            <wp:extent cx="5762625" cy="2447925"/>
            <wp:effectExtent l="0" t="0" r="9525" b="9525"/>
            <wp:docPr id="19" name="Graf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2671F" w:rsidRDefault="0064644C" w:rsidP="002A3A1A">
      <w:r>
        <w:t>Z pohledu VPM určených pro specifické skupiny uchazečů o zaměstnání je situace dlouhodobě velmi příznivá v případě pracovních míst vhodných pro absolventy či mladistvé. Těch k 31. 12. 2017 UP ČR evidoval 55 953,</w:t>
      </w:r>
      <w:r w:rsidR="008C67F5">
        <w:t xml:space="preserve"> přičemž uchazečů o </w:t>
      </w:r>
      <w:r>
        <w:t xml:space="preserve">zaměstnání v této skupině bylo evidováno 11 440 (z toho absolventů 8 151), na jednoho absolventa či mladistvého v evidenci UP ČR tak připadalo téměř 5 volných pracovních míst (tj. 0,2 </w:t>
      </w:r>
      <w:proofErr w:type="spellStart"/>
      <w:r>
        <w:t>UoZ</w:t>
      </w:r>
      <w:proofErr w:type="spellEnd"/>
      <w:r>
        <w:t>/VPM, v předchozím období to bylo 0,25).</w:t>
      </w:r>
      <w:r w:rsidR="0070390E">
        <w:t xml:space="preserve"> Jako vhodných</w:t>
      </w:r>
      <w:r w:rsidR="00C77F29">
        <w:t xml:space="preserve"> pro osoby se zdravotním postižením (OZP) bylo hlášeno celkem 13 022 VPM, což při evidování 46 009 </w:t>
      </w:r>
      <w:proofErr w:type="spellStart"/>
      <w:r w:rsidR="00C77F29">
        <w:t>UoZ</w:t>
      </w:r>
      <w:proofErr w:type="spellEnd"/>
      <w:r w:rsidR="00C77F29">
        <w:t xml:space="preserve"> se zdravotním postižením znamenalo, že o jedno pracovní místo vhodné pro tyto osoby se ucházelo 3,5 OZP. I v případě této skupiny tedy v průběhu 2. pololetí 2017 došlo ke zlepšení situace.</w:t>
      </w:r>
    </w:p>
    <w:p w:rsidR="00C77F29" w:rsidRDefault="00C77F29" w:rsidP="007B5796">
      <w:pPr>
        <w:pStyle w:val="Nadpis3"/>
      </w:pPr>
      <w:bookmarkStart w:id="22" w:name="_Toc509474124"/>
      <w:r>
        <w:t>Výdělky</w:t>
      </w:r>
      <w:bookmarkEnd w:id="22"/>
    </w:p>
    <w:p w:rsidR="00C77F29" w:rsidRDefault="00C77F29" w:rsidP="002A3A1A">
      <w:r w:rsidRPr="008C67F5">
        <w:rPr>
          <w:b/>
        </w:rPr>
        <w:t>Zvyšující se konkurence mezi zaměstnavateli při zajišťování pracovní síly se pozitivně odráží na růstu průměrných výdělků.</w:t>
      </w:r>
      <w:r>
        <w:t xml:space="preserve"> Podle MPSV</w:t>
      </w:r>
      <w:r>
        <w:rPr>
          <w:rStyle w:val="Znakapoznpodarou"/>
        </w:rPr>
        <w:footnoteReference w:id="5"/>
      </w:r>
      <w:r w:rsidR="002A3A1A">
        <w:t xml:space="preserve"> činila </w:t>
      </w:r>
      <w:r w:rsidR="008C67F5">
        <w:t>za 1. až 3. </w:t>
      </w:r>
      <w:r w:rsidR="002A3A1A">
        <w:t>čtvrtletí 2017 průměrná mzda 28 761 Kč, což je o 1 761 Kč více než v předešlém roce.</w:t>
      </w:r>
    </w:p>
    <w:p w:rsidR="000C3E0A" w:rsidRPr="000C3E0A" w:rsidRDefault="002A3A1A" w:rsidP="002A3A1A">
      <w:r w:rsidRPr="000C3E0A">
        <w:rPr>
          <w:b/>
        </w:rPr>
        <w:t xml:space="preserve">Podle Informačního systému o průměrném výdělku </w:t>
      </w:r>
      <w:r w:rsidR="000C3E0A" w:rsidRPr="000C3E0A">
        <w:rPr>
          <w:b/>
        </w:rPr>
        <w:t>(</w:t>
      </w:r>
      <w:r w:rsidRPr="000C3E0A">
        <w:rPr>
          <w:b/>
        </w:rPr>
        <w:t>ISPV</w:t>
      </w:r>
      <w:r w:rsidR="000C3E0A" w:rsidRPr="000C3E0A">
        <w:rPr>
          <w:b/>
        </w:rPr>
        <w:t>)</w:t>
      </w:r>
      <w:r w:rsidRPr="000C3E0A">
        <w:rPr>
          <w:b/>
        </w:rPr>
        <w:t xml:space="preserve"> činila v 1. pololetí 2017 průměrná mzda </w:t>
      </w:r>
      <w:r w:rsidR="008C67F5" w:rsidRPr="000C3E0A">
        <w:rPr>
          <w:b/>
        </w:rPr>
        <w:t>30 317 Kč, průměrný plat pak 30 246 Kč.</w:t>
      </w:r>
      <w:r w:rsidR="008C67F5">
        <w:t xml:space="preserve"> V případě mzdové sféry tak meziročně (oproti 1. pol. 2016) došlo k nárůstu v průměru o 6,7 %, v případě sféry platové pak průměrný výdělek meziročně vzrostl o 7,2 %. Obdobně rostly i mediánové výdělky, ve mzdové sféře meziročně o 7,6 % na hodnotu </w:t>
      </w:r>
      <w:r w:rsidR="00930B53">
        <w:t>25 151 Kč, v platové sféře pak o 6,8 % na hodnotu 28 262 Kč. Ve mzdové sféře tak dochází k mírné nivelizaci mezi výdělky a poklesl podíl zaměstnanců pobírajících menší mzdu než je průměr, nicméně pouze mírně</w:t>
      </w:r>
      <w:r w:rsidR="000C3E0A">
        <w:t>,</w:t>
      </w:r>
      <w:r w:rsidR="00930B53">
        <w:t xml:space="preserve"> o 0,4 p. b. V 1. pololetí 2017 pobíralo nižší než průměrnou mzdu 66,6 % zaměstnanců. </w:t>
      </w:r>
      <w:r w:rsidR="000C3E0A">
        <w:rPr>
          <w:b/>
        </w:rPr>
        <w:t>Relativně rychleji tak rostou zejména nižší výdělky, což je důsledkem jak zvyšování minimální mzdy, tak rovněž skutečností, že mezi nově vznikajícími pracovními pozicemi dominují spíše pracovní místa s požadavkem na nižší vzdělání a tedy s nižším výdělkem</w:t>
      </w:r>
      <w:r w:rsidR="000C3E0A">
        <w:t xml:space="preserve"> (viz předcházející kapitola).</w:t>
      </w:r>
    </w:p>
    <w:p w:rsidR="002A3A1A" w:rsidRDefault="00930B53" w:rsidP="002A3A1A">
      <w:r>
        <w:t xml:space="preserve">Naopak v platové sféře došlo k mírnému rozevření nůžek mezi vyššími a nižšími platy, když podíl zaměstnanců pobírajících nižší než průměrný plat stoupl o 0,5 </w:t>
      </w:r>
      <w:proofErr w:type="gramStart"/>
      <w:r>
        <w:t>p. b. z hodnoty</w:t>
      </w:r>
      <w:proofErr w:type="gramEnd"/>
      <w:r>
        <w:t xml:space="preserve"> 59,9 % na hodnotu 60,4 %</w:t>
      </w:r>
      <w:r w:rsidR="008C67F5">
        <w:t xml:space="preserve"> </w:t>
      </w:r>
      <w:r>
        <w:t>.</w:t>
      </w:r>
    </w:p>
    <w:p w:rsidR="006E7CAB" w:rsidRDefault="006E7CAB" w:rsidP="002A3A1A">
      <w:r w:rsidRPr="006E7CAB">
        <w:t xml:space="preserve">Pozitivně lze hodnotit, že </w:t>
      </w:r>
      <w:r>
        <w:rPr>
          <w:b/>
        </w:rPr>
        <w:t xml:space="preserve">meziročně relativně rychleji rostlo ohodnocení žen oproti mužům, nicméně tento mírný rozdíl není dostatečný k vyrovnání úrovně odměňování mužů a žen </w:t>
      </w:r>
      <w:r w:rsidRPr="006E7CAB">
        <w:t xml:space="preserve">a tedy k výraznějšímu snižování tzv. gender </w:t>
      </w:r>
      <w:proofErr w:type="spellStart"/>
      <w:r w:rsidRPr="006E7CAB">
        <w:t>pay</w:t>
      </w:r>
      <w:proofErr w:type="spellEnd"/>
      <w:r w:rsidRPr="006E7CAB">
        <w:t xml:space="preserve"> gap</w:t>
      </w:r>
      <w:r>
        <w:t xml:space="preserve"> (GPG). Ten v 1. pololetí 2017 činil ve mzdové sféře v případě mediánu 20,2 %, v případě průměru 23,1 %. V platové sféře bylo tempo růstu výdělků prakticky </w:t>
      </w:r>
      <w:proofErr w:type="spellStart"/>
      <w:r>
        <w:t>genderově</w:t>
      </w:r>
      <w:proofErr w:type="spellEnd"/>
      <w:r>
        <w:t xml:space="preserve"> vyrovnané, GPG </w:t>
      </w:r>
      <w:r w:rsidR="00C2603A">
        <w:t>u mediánového platu</w:t>
      </w:r>
      <w:r>
        <w:t xml:space="preserve"> činil 13,5 %, </w:t>
      </w:r>
      <w:r w:rsidR="00C2603A">
        <w:t>u</w:t>
      </w:r>
      <w:r>
        <w:t> průměrn</w:t>
      </w:r>
      <w:r w:rsidR="00C2603A">
        <w:t>ého</w:t>
      </w:r>
      <w:r>
        <w:t xml:space="preserve"> pak 17,4</w:t>
      </w:r>
      <w:r w:rsidR="00C2603A">
        <w:t xml:space="preserve"> %.</w:t>
      </w:r>
    </w:p>
    <w:p w:rsidR="003D09FA" w:rsidRDefault="003D09FA" w:rsidP="002A3A1A">
      <w:r>
        <w:t>Aktuálně (počátek března 2018) byla zveřejněna data ČSÚ k průměrným výdělkům</w:t>
      </w:r>
      <w:r w:rsidR="00DD2CEA">
        <w:t xml:space="preserve"> za 4. čtvrtletí 2017. Metodika sběru a výpočtu dat je však odlišná a proto nejsou tyto údaje zcela porovnatelné s daty ISPV. Nicméně rovněž tato data ukazují na výraznou meziroční dynamiku růstu mezd. Dle ČSÚ tak ve 4. čtvrtletí 2017 vzrostla průměrná mzda meziročně nominálně o 8 %</w:t>
      </w:r>
      <w:r w:rsidR="005D7066">
        <w:t xml:space="preserve"> na 31 646 Kč</w:t>
      </w:r>
      <w:r w:rsidR="00DD2CEA">
        <w:t>, reáln</w:t>
      </w:r>
      <w:r w:rsidR="005D7066">
        <w:t>á</w:t>
      </w:r>
      <w:r w:rsidR="00B85166">
        <w:t xml:space="preserve"> mzda</w:t>
      </w:r>
      <w:r w:rsidR="00DD2CEA">
        <w:t xml:space="preserve"> </w:t>
      </w:r>
      <w:r w:rsidR="00B85166">
        <w:t>(</w:t>
      </w:r>
      <w:r w:rsidR="00DD2CEA">
        <w:t>ponížená o inflaci</w:t>
      </w:r>
      <w:r w:rsidR="00B85166">
        <w:t>)</w:t>
      </w:r>
      <w:r w:rsidR="00DD2CEA">
        <w:t xml:space="preserve"> pak o 5,3 %.</w:t>
      </w:r>
    </w:p>
    <w:p w:rsidR="0045648F" w:rsidRDefault="0045648F" w:rsidP="0045648F">
      <w:pPr>
        <w:pStyle w:val="Nadpis2"/>
      </w:pPr>
      <w:bookmarkStart w:id="23" w:name="_Toc509474125"/>
      <w:r>
        <w:t>Struktura uchazečů o zaměstnání</w:t>
      </w:r>
      <w:bookmarkEnd w:id="23"/>
    </w:p>
    <w:p w:rsidR="0045648F" w:rsidRDefault="0045648F" w:rsidP="0045648F">
      <w:pPr>
        <w:spacing w:before="0" w:after="200"/>
      </w:pPr>
      <w:r>
        <w:t xml:space="preserve">Stejně jako v 1. pololetí i ve 2. pololetí 2017 pokračoval pozitivní vývoj trhu práce ve smyslu snižování nezaměstnanosti jak v relativních ukazatelích, tak v celkově klesajícím počtu uchazečů o zaměstnání. Mírný nárůst počtu uchazečů o zaměstnání v prosinci 2017 je přirozeným jevem způsobeným ukončováním sezónních prací, popřípadě termínovaných pracovních poměrů ke konci kalendářního roku (projevuje se nicméně až v průběhu ledna). </w:t>
      </w:r>
      <w:r w:rsidRPr="0045648F">
        <w:rPr>
          <w:b/>
        </w:rPr>
        <w:t>Celkový počet uchazečů o zaměstnání k 31. 12. 2017 činil 280 620 osob</w:t>
      </w:r>
      <w:r>
        <w:rPr>
          <w:b/>
        </w:rPr>
        <w:t>, z čehož dosažitelných</w:t>
      </w:r>
      <w:bookmarkStart w:id="24" w:name="_Ref508380172"/>
      <w:r>
        <w:rPr>
          <w:rStyle w:val="Znakapoznpodarou"/>
          <w:b/>
        </w:rPr>
        <w:footnoteReference w:id="6"/>
      </w:r>
      <w:bookmarkEnd w:id="24"/>
      <w:r>
        <w:rPr>
          <w:b/>
        </w:rPr>
        <w:t xml:space="preserve"> bylo 259 929.</w:t>
      </w:r>
      <w:r>
        <w:t xml:space="preserve"> </w:t>
      </w:r>
    </w:p>
    <w:p w:rsidR="0045648F" w:rsidRDefault="0045648F" w:rsidP="007B5796">
      <w:pPr>
        <w:pStyle w:val="Nadpis3"/>
      </w:pPr>
      <w:bookmarkStart w:id="25" w:name="_Toc509474126"/>
      <w:r>
        <w:t>Zastoupení rizikových skupin</w:t>
      </w:r>
      <w:bookmarkEnd w:id="25"/>
    </w:p>
    <w:p w:rsidR="005D7066" w:rsidRDefault="0045648F" w:rsidP="0045648F">
      <w:pPr>
        <w:spacing w:before="0" w:after="200"/>
      </w:pPr>
      <w:r>
        <w:t>Úspěšnost uchazečů o zaměstnání na trhu práce je kromě ekonomických faktorů, tj. aktuální poptávce po pracovní síle, určována rovněž jejich individuálními charakteristikami. Mezi rizikové faktory bránící osobám ve vstupu na trh práce patří zdravotní omezení, věk (a to na obou stranách věkového spektra), péče o dítě, nízké vzdělání, dlouhodobá nezaměstnanost spojená se ztrátou pracovních návyků a další sociální znevýhodnění, která bývají však obtížně prokazatelná a měřitelná (</w:t>
      </w:r>
      <w:r w:rsidR="00CC64C7">
        <w:t xml:space="preserve">příslušnost k menšinám, ztráta sociálních kompetencí, sociální vyloučení, bezdomovectví, užívání návykových látek apod.). V poslední době vyvstává do popředí jako velmi rizikový faktor při vstupu na trh práce problematika exekucí. </w:t>
      </w:r>
      <w:r w:rsidR="00CC64C7">
        <w:rPr>
          <w:b/>
        </w:rPr>
        <w:t>Nicméně stávající situace trhu práce charakterizovaná rekordně vysokou poptávkou po pracovnících je velmi přízniv</w:t>
      </w:r>
      <w:r w:rsidR="0070390E">
        <w:rPr>
          <w:b/>
        </w:rPr>
        <w:t>á</w:t>
      </w:r>
      <w:r w:rsidR="00CC64C7">
        <w:rPr>
          <w:b/>
        </w:rPr>
        <w:t xml:space="preserve"> pro integraci znevýhodněných osob na trh práce, </w:t>
      </w:r>
      <w:r w:rsidR="00CC64C7">
        <w:t xml:space="preserve">zejména je-li podpořena vhodnou kompenzací znevýhodnění prostřednictvím nástrojů aktivní politiky zaměstnanosti. Zastoupení znevýhodněných osob mezi </w:t>
      </w:r>
      <w:proofErr w:type="spellStart"/>
      <w:r w:rsidR="0070390E">
        <w:t>UoZ</w:t>
      </w:r>
      <w:proofErr w:type="spellEnd"/>
      <w:r w:rsidR="00CC64C7">
        <w:t xml:space="preserve"> vykresluje</w:t>
      </w:r>
      <w:r w:rsidR="00044F8A">
        <w:t xml:space="preserve"> </w:t>
      </w:r>
      <w:r w:rsidR="00F07EED">
        <w:fldChar w:fldCharType="begin"/>
      </w:r>
      <w:r w:rsidR="00F07EED">
        <w:instrText xml:space="preserve"> REF _Ref508358395 \h </w:instrText>
      </w:r>
      <w:r w:rsidR="00F07EED">
        <w:fldChar w:fldCharType="separate"/>
      </w:r>
      <w:r w:rsidR="00F41CBA">
        <w:t xml:space="preserve">Tabulka </w:t>
      </w:r>
      <w:r w:rsidR="00F41CBA">
        <w:rPr>
          <w:noProof/>
        </w:rPr>
        <w:t>4</w:t>
      </w:r>
      <w:r w:rsidR="00F07EED">
        <w:fldChar w:fldCharType="end"/>
      </w:r>
      <w:r w:rsidR="00F07EED">
        <w:t xml:space="preserve"> </w:t>
      </w:r>
      <w:r w:rsidR="00044F8A">
        <w:t xml:space="preserve">(absolutní počty) a </w:t>
      </w:r>
      <w:r w:rsidR="00F07EED">
        <w:fldChar w:fldCharType="begin"/>
      </w:r>
      <w:r w:rsidR="00F07EED">
        <w:instrText xml:space="preserve"> REF _Ref508358358 \h </w:instrText>
      </w:r>
      <w:r w:rsidR="00F07EED">
        <w:fldChar w:fldCharType="separate"/>
      </w:r>
      <w:r w:rsidR="00F41CBA">
        <w:t xml:space="preserve">Tabulka </w:t>
      </w:r>
      <w:r w:rsidR="00F41CBA">
        <w:rPr>
          <w:noProof/>
        </w:rPr>
        <w:t>5</w:t>
      </w:r>
      <w:r w:rsidR="00F07EED">
        <w:fldChar w:fldCharType="end"/>
      </w:r>
      <w:r w:rsidR="00CC64C7">
        <w:t xml:space="preserve"> </w:t>
      </w:r>
      <w:r w:rsidR="00F07EED">
        <w:t>(podíly)</w:t>
      </w:r>
      <w:r w:rsidR="001D717B">
        <w:t>.</w:t>
      </w:r>
    </w:p>
    <w:p w:rsidR="00044F8A" w:rsidRDefault="00044F8A" w:rsidP="001D717B">
      <w:pPr>
        <w:pStyle w:val="Titulek"/>
        <w:keepNext/>
        <w:spacing w:before="0" w:after="0"/>
      </w:pPr>
      <w:bookmarkStart w:id="26" w:name="_Ref508358395"/>
      <w:bookmarkStart w:id="27" w:name="_Toc508704222"/>
      <w:r>
        <w:t xml:space="preserve">Tabulka </w:t>
      </w:r>
      <w:r w:rsidR="007B53ED">
        <w:fldChar w:fldCharType="begin"/>
      </w:r>
      <w:r w:rsidR="007B53ED">
        <w:instrText xml:space="preserve"> SEQ Tabulka \* ARABIC </w:instrText>
      </w:r>
      <w:r w:rsidR="007B53ED">
        <w:fldChar w:fldCharType="separate"/>
      </w:r>
      <w:r w:rsidR="00F41CBA">
        <w:rPr>
          <w:noProof/>
        </w:rPr>
        <w:t>4</w:t>
      </w:r>
      <w:r w:rsidR="007B53ED">
        <w:rPr>
          <w:noProof/>
        </w:rPr>
        <w:fldChar w:fldCharType="end"/>
      </w:r>
      <w:bookmarkEnd w:id="26"/>
      <w:r>
        <w:t xml:space="preserve"> Po</w:t>
      </w:r>
      <w:r w:rsidR="00F07EED">
        <w:t>č</w:t>
      </w:r>
      <w:r>
        <w:t xml:space="preserve">ty znevýhodněných </w:t>
      </w:r>
      <w:proofErr w:type="spellStart"/>
      <w:r>
        <w:t>UoZ</w:t>
      </w:r>
      <w:proofErr w:type="spellEnd"/>
      <w:r>
        <w:t xml:space="preserve"> v krajích (31. 12. 2017)</w:t>
      </w:r>
      <w:bookmarkEnd w:id="27"/>
    </w:p>
    <w:tbl>
      <w:tblPr>
        <w:tblW w:w="10287" w:type="dxa"/>
        <w:tblInd w:w="-609" w:type="dxa"/>
        <w:tblCellMar>
          <w:left w:w="70" w:type="dxa"/>
          <w:right w:w="70" w:type="dxa"/>
        </w:tblCellMar>
        <w:tblLook w:val="04A0" w:firstRow="1" w:lastRow="0" w:firstColumn="1" w:lastColumn="0" w:noHBand="0" w:noVBand="1"/>
      </w:tblPr>
      <w:tblGrid>
        <w:gridCol w:w="1279"/>
        <w:gridCol w:w="931"/>
        <w:gridCol w:w="858"/>
        <w:gridCol w:w="863"/>
        <w:gridCol w:w="931"/>
        <w:gridCol w:w="904"/>
        <w:gridCol w:w="904"/>
        <w:gridCol w:w="904"/>
        <w:gridCol w:w="904"/>
        <w:gridCol w:w="904"/>
        <w:gridCol w:w="905"/>
      </w:tblGrid>
      <w:tr w:rsidR="00044F8A" w:rsidRPr="00044F8A" w:rsidTr="00F07EED">
        <w:trPr>
          <w:trHeight w:val="286"/>
        </w:trPr>
        <w:tc>
          <w:tcPr>
            <w:tcW w:w="127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044F8A" w:rsidRPr="00044F8A" w:rsidRDefault="00044F8A" w:rsidP="00044F8A">
            <w:pPr>
              <w:spacing w:before="0" w:after="0"/>
              <w:jc w:val="center"/>
              <w:rPr>
                <w:rFonts w:eastAsia="Times New Roman" w:cs="Arial"/>
                <w:b/>
                <w:bCs/>
                <w:color w:val="000000"/>
                <w:sz w:val="20"/>
                <w:szCs w:val="20"/>
                <w:lang w:eastAsia="cs-CZ"/>
              </w:rPr>
            </w:pPr>
            <w:r w:rsidRPr="00044F8A">
              <w:rPr>
                <w:rFonts w:eastAsia="Times New Roman" w:cs="Arial"/>
                <w:b/>
                <w:bCs/>
                <w:color w:val="000000"/>
                <w:sz w:val="20"/>
                <w:szCs w:val="20"/>
                <w:lang w:eastAsia="cs-CZ"/>
              </w:rPr>
              <w:t>kraj</w:t>
            </w:r>
          </w:p>
        </w:tc>
        <w:tc>
          <w:tcPr>
            <w:tcW w:w="931"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044F8A" w:rsidRPr="00044F8A" w:rsidRDefault="00044F8A" w:rsidP="00044F8A">
            <w:pPr>
              <w:spacing w:before="0" w:after="0"/>
              <w:jc w:val="center"/>
              <w:rPr>
                <w:rFonts w:eastAsia="Times New Roman" w:cs="Arial"/>
                <w:b/>
                <w:bCs/>
                <w:color w:val="000000"/>
                <w:sz w:val="20"/>
                <w:szCs w:val="20"/>
                <w:lang w:eastAsia="cs-CZ"/>
              </w:rPr>
            </w:pPr>
            <w:r w:rsidRPr="00044F8A">
              <w:rPr>
                <w:rFonts w:eastAsia="Times New Roman" w:cs="Arial"/>
                <w:b/>
                <w:bCs/>
                <w:color w:val="000000"/>
                <w:sz w:val="20"/>
                <w:szCs w:val="20"/>
                <w:lang w:eastAsia="cs-CZ"/>
              </w:rPr>
              <w:t xml:space="preserve">celkem </w:t>
            </w:r>
            <w:proofErr w:type="spellStart"/>
            <w:r w:rsidRPr="00044F8A">
              <w:rPr>
                <w:rFonts w:eastAsia="Times New Roman" w:cs="Arial"/>
                <w:b/>
                <w:bCs/>
                <w:color w:val="000000"/>
                <w:sz w:val="20"/>
                <w:szCs w:val="20"/>
                <w:lang w:eastAsia="cs-CZ"/>
              </w:rPr>
              <w:t>UoZ</w:t>
            </w:r>
            <w:proofErr w:type="spellEnd"/>
          </w:p>
        </w:tc>
        <w:tc>
          <w:tcPr>
            <w:tcW w:w="858" w:type="dxa"/>
            <w:vMerge w:val="restart"/>
            <w:tcBorders>
              <w:top w:val="single" w:sz="8" w:space="0" w:color="auto"/>
              <w:left w:val="nil"/>
              <w:bottom w:val="single" w:sz="4" w:space="0" w:color="auto"/>
              <w:right w:val="single" w:sz="4" w:space="0" w:color="auto"/>
            </w:tcBorders>
            <w:shd w:val="clear" w:color="auto" w:fill="auto"/>
            <w:vAlign w:val="center"/>
            <w:hideMark/>
          </w:tcPr>
          <w:p w:rsidR="00044F8A" w:rsidRPr="00044F8A" w:rsidRDefault="00044F8A" w:rsidP="00044F8A">
            <w:pPr>
              <w:spacing w:before="0" w:after="0"/>
              <w:jc w:val="center"/>
              <w:rPr>
                <w:rFonts w:eastAsia="Times New Roman" w:cs="Arial"/>
                <w:color w:val="000000"/>
                <w:sz w:val="20"/>
                <w:szCs w:val="20"/>
                <w:lang w:eastAsia="cs-CZ"/>
              </w:rPr>
            </w:pPr>
            <w:r w:rsidRPr="00044F8A">
              <w:rPr>
                <w:rFonts w:eastAsia="Times New Roman" w:cs="Arial"/>
                <w:color w:val="000000"/>
                <w:sz w:val="20"/>
                <w:szCs w:val="20"/>
                <w:lang w:eastAsia="cs-CZ"/>
              </w:rPr>
              <w:t>OZP</w:t>
            </w:r>
          </w:p>
        </w:tc>
        <w:tc>
          <w:tcPr>
            <w:tcW w:w="86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044F8A" w:rsidRPr="00044F8A" w:rsidRDefault="00044F8A" w:rsidP="00044F8A">
            <w:pPr>
              <w:spacing w:before="0" w:after="0"/>
              <w:jc w:val="center"/>
              <w:rPr>
                <w:rFonts w:eastAsia="Times New Roman" w:cs="Arial"/>
                <w:color w:val="000000"/>
                <w:sz w:val="20"/>
                <w:szCs w:val="20"/>
                <w:lang w:eastAsia="cs-CZ"/>
              </w:rPr>
            </w:pPr>
            <w:r w:rsidRPr="00044F8A">
              <w:rPr>
                <w:rFonts w:eastAsia="Times New Roman" w:cs="Arial"/>
                <w:color w:val="000000"/>
                <w:sz w:val="16"/>
                <w:szCs w:val="20"/>
                <w:lang w:eastAsia="cs-CZ"/>
              </w:rPr>
              <w:t>pečující o děti do 15 let</w:t>
            </w:r>
          </w:p>
        </w:tc>
        <w:tc>
          <w:tcPr>
            <w:tcW w:w="93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044F8A" w:rsidRPr="00044F8A" w:rsidRDefault="00044F8A" w:rsidP="00044F8A">
            <w:pPr>
              <w:spacing w:before="0" w:after="0"/>
              <w:jc w:val="center"/>
              <w:rPr>
                <w:rFonts w:eastAsia="Times New Roman" w:cs="Arial"/>
                <w:color w:val="000000"/>
                <w:sz w:val="20"/>
                <w:szCs w:val="20"/>
                <w:lang w:eastAsia="cs-CZ"/>
              </w:rPr>
            </w:pPr>
            <w:r w:rsidRPr="00044F8A">
              <w:rPr>
                <w:rFonts w:eastAsia="Times New Roman" w:cs="Arial"/>
                <w:color w:val="000000"/>
                <w:sz w:val="16"/>
                <w:szCs w:val="20"/>
                <w:lang w:eastAsia="cs-CZ"/>
              </w:rPr>
              <w:t>těhotné kojící, do 9m po porodu</w:t>
            </w:r>
          </w:p>
        </w:tc>
        <w:tc>
          <w:tcPr>
            <w:tcW w:w="90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044F8A" w:rsidRPr="00044F8A" w:rsidRDefault="00044F8A" w:rsidP="00044F8A">
            <w:pPr>
              <w:spacing w:before="0" w:after="0"/>
              <w:jc w:val="center"/>
              <w:rPr>
                <w:rFonts w:eastAsia="Times New Roman" w:cs="Arial"/>
                <w:color w:val="000000"/>
                <w:sz w:val="20"/>
                <w:szCs w:val="20"/>
                <w:lang w:eastAsia="cs-CZ"/>
              </w:rPr>
            </w:pPr>
            <w:r w:rsidRPr="00044F8A">
              <w:rPr>
                <w:rFonts w:eastAsia="Times New Roman" w:cs="Arial"/>
                <w:color w:val="000000"/>
                <w:sz w:val="20"/>
                <w:szCs w:val="20"/>
                <w:lang w:eastAsia="cs-CZ"/>
              </w:rPr>
              <w:t>do 25 let</w:t>
            </w:r>
          </w:p>
        </w:tc>
        <w:tc>
          <w:tcPr>
            <w:tcW w:w="90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044F8A" w:rsidRPr="00044F8A" w:rsidRDefault="00044F8A" w:rsidP="00044F8A">
            <w:pPr>
              <w:spacing w:before="0" w:after="0"/>
              <w:jc w:val="center"/>
              <w:rPr>
                <w:rFonts w:eastAsia="Times New Roman" w:cs="Arial"/>
                <w:color w:val="000000"/>
                <w:sz w:val="20"/>
                <w:szCs w:val="20"/>
                <w:lang w:eastAsia="cs-CZ"/>
              </w:rPr>
            </w:pPr>
            <w:r w:rsidRPr="00044F8A">
              <w:rPr>
                <w:rFonts w:eastAsia="Times New Roman" w:cs="Arial"/>
                <w:color w:val="000000"/>
                <w:sz w:val="20"/>
                <w:szCs w:val="20"/>
                <w:lang w:eastAsia="cs-CZ"/>
              </w:rPr>
              <w:t>nad 50 let</w:t>
            </w:r>
          </w:p>
        </w:tc>
        <w:tc>
          <w:tcPr>
            <w:tcW w:w="90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044F8A" w:rsidRPr="00044F8A" w:rsidRDefault="00044F8A" w:rsidP="00044F8A">
            <w:pPr>
              <w:spacing w:before="0" w:after="0"/>
              <w:jc w:val="center"/>
              <w:rPr>
                <w:rFonts w:eastAsia="Times New Roman" w:cs="Arial"/>
                <w:color w:val="000000"/>
                <w:sz w:val="20"/>
                <w:szCs w:val="20"/>
                <w:lang w:eastAsia="cs-CZ"/>
              </w:rPr>
            </w:pPr>
            <w:proofErr w:type="gramStart"/>
            <w:r>
              <w:rPr>
                <w:rFonts w:eastAsia="Times New Roman" w:cs="Arial"/>
                <w:color w:val="000000"/>
                <w:sz w:val="20"/>
                <w:szCs w:val="20"/>
                <w:lang w:eastAsia="cs-CZ"/>
              </w:rPr>
              <w:t xml:space="preserve">max. </w:t>
            </w:r>
            <w:r w:rsidRPr="00044F8A">
              <w:rPr>
                <w:rFonts w:eastAsia="Times New Roman" w:cs="Arial"/>
                <w:color w:val="000000"/>
                <w:sz w:val="20"/>
                <w:szCs w:val="20"/>
                <w:lang w:eastAsia="cs-CZ"/>
              </w:rPr>
              <w:t xml:space="preserve"> ZŠ</w:t>
            </w:r>
            <w:proofErr w:type="gramEnd"/>
          </w:p>
        </w:tc>
        <w:tc>
          <w:tcPr>
            <w:tcW w:w="2713" w:type="dxa"/>
            <w:gridSpan w:val="3"/>
            <w:tcBorders>
              <w:top w:val="single" w:sz="8" w:space="0" w:color="auto"/>
              <w:left w:val="nil"/>
              <w:bottom w:val="nil"/>
              <w:right w:val="single" w:sz="8" w:space="0" w:color="000000"/>
            </w:tcBorders>
            <w:shd w:val="clear" w:color="auto" w:fill="auto"/>
            <w:vAlign w:val="center"/>
            <w:hideMark/>
          </w:tcPr>
          <w:p w:rsidR="00044F8A" w:rsidRPr="00044F8A" w:rsidRDefault="00044F8A" w:rsidP="00044F8A">
            <w:pPr>
              <w:spacing w:before="0" w:after="0"/>
              <w:jc w:val="center"/>
              <w:rPr>
                <w:rFonts w:eastAsia="Times New Roman" w:cs="Arial"/>
                <w:color w:val="000000"/>
                <w:sz w:val="20"/>
                <w:szCs w:val="20"/>
                <w:lang w:eastAsia="cs-CZ"/>
              </w:rPr>
            </w:pPr>
            <w:r w:rsidRPr="00044F8A">
              <w:rPr>
                <w:rFonts w:eastAsia="Times New Roman" w:cs="Arial"/>
                <w:color w:val="000000"/>
                <w:sz w:val="20"/>
                <w:szCs w:val="20"/>
                <w:lang w:eastAsia="cs-CZ"/>
              </w:rPr>
              <w:t>evidence nad 12 M</w:t>
            </w:r>
          </w:p>
        </w:tc>
      </w:tr>
      <w:tr w:rsidR="00044F8A" w:rsidRPr="00044F8A" w:rsidTr="00F07EED">
        <w:trPr>
          <w:trHeight w:val="229"/>
        </w:trPr>
        <w:tc>
          <w:tcPr>
            <w:tcW w:w="1279" w:type="dxa"/>
            <w:vMerge/>
            <w:tcBorders>
              <w:top w:val="nil"/>
              <w:left w:val="single" w:sz="8" w:space="0" w:color="auto"/>
              <w:bottom w:val="double" w:sz="6" w:space="0" w:color="auto"/>
              <w:right w:val="single" w:sz="4" w:space="0" w:color="auto"/>
            </w:tcBorders>
            <w:vAlign w:val="center"/>
            <w:hideMark/>
          </w:tcPr>
          <w:p w:rsidR="00044F8A" w:rsidRPr="00044F8A" w:rsidRDefault="00044F8A" w:rsidP="00044F8A">
            <w:pPr>
              <w:spacing w:before="0" w:after="0"/>
              <w:jc w:val="left"/>
              <w:rPr>
                <w:rFonts w:eastAsia="Times New Roman" w:cs="Arial"/>
                <w:b/>
                <w:bCs/>
                <w:color w:val="000000"/>
                <w:sz w:val="20"/>
                <w:szCs w:val="20"/>
                <w:lang w:eastAsia="cs-CZ"/>
              </w:rPr>
            </w:pPr>
          </w:p>
        </w:tc>
        <w:tc>
          <w:tcPr>
            <w:tcW w:w="931" w:type="dxa"/>
            <w:vMerge/>
            <w:tcBorders>
              <w:top w:val="single" w:sz="8" w:space="0" w:color="auto"/>
              <w:left w:val="single" w:sz="4" w:space="0" w:color="auto"/>
              <w:bottom w:val="double" w:sz="6" w:space="0" w:color="auto"/>
              <w:right w:val="single" w:sz="8" w:space="0" w:color="auto"/>
            </w:tcBorders>
            <w:vAlign w:val="center"/>
            <w:hideMark/>
          </w:tcPr>
          <w:p w:rsidR="00044F8A" w:rsidRPr="00044F8A" w:rsidRDefault="00044F8A" w:rsidP="00044F8A">
            <w:pPr>
              <w:spacing w:before="0" w:after="0"/>
              <w:jc w:val="left"/>
              <w:rPr>
                <w:rFonts w:eastAsia="Times New Roman" w:cs="Arial"/>
                <w:b/>
                <w:bCs/>
                <w:color w:val="000000"/>
                <w:sz w:val="20"/>
                <w:szCs w:val="20"/>
                <w:lang w:eastAsia="cs-CZ"/>
              </w:rPr>
            </w:pPr>
          </w:p>
        </w:tc>
        <w:tc>
          <w:tcPr>
            <w:tcW w:w="858" w:type="dxa"/>
            <w:vMerge/>
            <w:tcBorders>
              <w:top w:val="nil"/>
              <w:left w:val="nil"/>
              <w:bottom w:val="double" w:sz="6" w:space="0" w:color="auto"/>
              <w:right w:val="single" w:sz="4" w:space="0" w:color="auto"/>
            </w:tcBorders>
            <w:vAlign w:val="center"/>
            <w:hideMark/>
          </w:tcPr>
          <w:p w:rsidR="00044F8A" w:rsidRPr="00044F8A" w:rsidRDefault="00044F8A" w:rsidP="00044F8A">
            <w:pPr>
              <w:spacing w:before="0" w:after="0"/>
              <w:jc w:val="left"/>
              <w:rPr>
                <w:rFonts w:eastAsia="Times New Roman" w:cs="Arial"/>
                <w:color w:val="000000"/>
                <w:sz w:val="20"/>
                <w:szCs w:val="20"/>
                <w:lang w:eastAsia="cs-CZ"/>
              </w:rPr>
            </w:pPr>
          </w:p>
        </w:tc>
        <w:tc>
          <w:tcPr>
            <w:tcW w:w="863" w:type="dxa"/>
            <w:vMerge/>
            <w:tcBorders>
              <w:top w:val="nil"/>
              <w:left w:val="single" w:sz="4" w:space="0" w:color="auto"/>
              <w:bottom w:val="double" w:sz="6" w:space="0" w:color="auto"/>
              <w:right w:val="single" w:sz="4" w:space="0" w:color="auto"/>
            </w:tcBorders>
            <w:vAlign w:val="center"/>
            <w:hideMark/>
          </w:tcPr>
          <w:p w:rsidR="00044F8A" w:rsidRPr="00044F8A" w:rsidRDefault="00044F8A" w:rsidP="00044F8A">
            <w:pPr>
              <w:spacing w:before="0" w:after="0"/>
              <w:jc w:val="left"/>
              <w:rPr>
                <w:rFonts w:eastAsia="Times New Roman" w:cs="Arial"/>
                <w:color w:val="000000"/>
                <w:sz w:val="20"/>
                <w:szCs w:val="20"/>
                <w:lang w:eastAsia="cs-CZ"/>
              </w:rPr>
            </w:pPr>
          </w:p>
        </w:tc>
        <w:tc>
          <w:tcPr>
            <w:tcW w:w="931" w:type="dxa"/>
            <w:vMerge/>
            <w:tcBorders>
              <w:top w:val="nil"/>
              <w:left w:val="single" w:sz="4" w:space="0" w:color="auto"/>
              <w:bottom w:val="double" w:sz="6" w:space="0" w:color="auto"/>
              <w:right w:val="single" w:sz="4" w:space="0" w:color="auto"/>
            </w:tcBorders>
            <w:vAlign w:val="center"/>
            <w:hideMark/>
          </w:tcPr>
          <w:p w:rsidR="00044F8A" w:rsidRPr="00044F8A" w:rsidRDefault="00044F8A" w:rsidP="00044F8A">
            <w:pPr>
              <w:spacing w:before="0" w:after="0"/>
              <w:jc w:val="left"/>
              <w:rPr>
                <w:rFonts w:eastAsia="Times New Roman" w:cs="Arial"/>
                <w:color w:val="000000"/>
                <w:sz w:val="20"/>
                <w:szCs w:val="20"/>
                <w:lang w:eastAsia="cs-CZ"/>
              </w:rPr>
            </w:pPr>
          </w:p>
        </w:tc>
        <w:tc>
          <w:tcPr>
            <w:tcW w:w="904" w:type="dxa"/>
            <w:vMerge/>
            <w:tcBorders>
              <w:top w:val="nil"/>
              <w:left w:val="single" w:sz="4" w:space="0" w:color="auto"/>
              <w:bottom w:val="double" w:sz="6" w:space="0" w:color="auto"/>
              <w:right w:val="single" w:sz="4" w:space="0" w:color="auto"/>
            </w:tcBorders>
            <w:vAlign w:val="center"/>
            <w:hideMark/>
          </w:tcPr>
          <w:p w:rsidR="00044F8A" w:rsidRPr="00044F8A" w:rsidRDefault="00044F8A" w:rsidP="00044F8A">
            <w:pPr>
              <w:spacing w:before="0" w:after="0"/>
              <w:jc w:val="left"/>
              <w:rPr>
                <w:rFonts w:eastAsia="Times New Roman" w:cs="Arial"/>
                <w:color w:val="000000"/>
                <w:sz w:val="20"/>
                <w:szCs w:val="20"/>
                <w:lang w:eastAsia="cs-CZ"/>
              </w:rPr>
            </w:pPr>
          </w:p>
        </w:tc>
        <w:tc>
          <w:tcPr>
            <w:tcW w:w="904" w:type="dxa"/>
            <w:vMerge/>
            <w:tcBorders>
              <w:top w:val="nil"/>
              <w:left w:val="single" w:sz="4" w:space="0" w:color="auto"/>
              <w:bottom w:val="double" w:sz="6" w:space="0" w:color="auto"/>
              <w:right w:val="single" w:sz="4" w:space="0" w:color="auto"/>
            </w:tcBorders>
            <w:vAlign w:val="center"/>
            <w:hideMark/>
          </w:tcPr>
          <w:p w:rsidR="00044F8A" w:rsidRPr="00044F8A" w:rsidRDefault="00044F8A" w:rsidP="00044F8A">
            <w:pPr>
              <w:spacing w:before="0" w:after="0"/>
              <w:jc w:val="left"/>
              <w:rPr>
                <w:rFonts w:eastAsia="Times New Roman" w:cs="Arial"/>
                <w:color w:val="000000"/>
                <w:sz w:val="20"/>
                <w:szCs w:val="20"/>
                <w:lang w:eastAsia="cs-CZ"/>
              </w:rPr>
            </w:pPr>
          </w:p>
        </w:tc>
        <w:tc>
          <w:tcPr>
            <w:tcW w:w="904" w:type="dxa"/>
            <w:vMerge/>
            <w:tcBorders>
              <w:top w:val="nil"/>
              <w:left w:val="single" w:sz="4" w:space="0" w:color="auto"/>
              <w:bottom w:val="double" w:sz="6" w:space="0" w:color="auto"/>
              <w:right w:val="single" w:sz="4" w:space="0" w:color="auto"/>
            </w:tcBorders>
            <w:vAlign w:val="center"/>
            <w:hideMark/>
          </w:tcPr>
          <w:p w:rsidR="00044F8A" w:rsidRPr="00044F8A" w:rsidRDefault="00044F8A" w:rsidP="00044F8A">
            <w:pPr>
              <w:spacing w:before="0" w:after="0"/>
              <w:jc w:val="left"/>
              <w:rPr>
                <w:rFonts w:eastAsia="Times New Roman" w:cs="Arial"/>
                <w:color w:val="000000"/>
                <w:sz w:val="20"/>
                <w:szCs w:val="20"/>
                <w:lang w:eastAsia="cs-CZ"/>
              </w:rPr>
            </w:pPr>
          </w:p>
        </w:tc>
        <w:tc>
          <w:tcPr>
            <w:tcW w:w="904" w:type="dxa"/>
            <w:tcBorders>
              <w:top w:val="nil"/>
              <w:left w:val="nil"/>
              <w:bottom w:val="double" w:sz="6" w:space="0" w:color="auto"/>
              <w:right w:val="single" w:sz="4" w:space="0" w:color="auto"/>
            </w:tcBorders>
            <w:shd w:val="clear" w:color="auto" w:fill="auto"/>
            <w:vAlign w:val="center"/>
            <w:hideMark/>
          </w:tcPr>
          <w:p w:rsidR="00044F8A" w:rsidRPr="00044F8A" w:rsidRDefault="00044F8A" w:rsidP="00044F8A">
            <w:pPr>
              <w:spacing w:before="0" w:after="0"/>
              <w:jc w:val="center"/>
              <w:rPr>
                <w:rFonts w:eastAsia="Times New Roman" w:cs="Arial"/>
                <w:color w:val="000000"/>
                <w:sz w:val="20"/>
                <w:szCs w:val="20"/>
                <w:lang w:eastAsia="cs-CZ"/>
              </w:rPr>
            </w:pPr>
            <w:r w:rsidRPr="00044F8A">
              <w:rPr>
                <w:rFonts w:eastAsia="Times New Roman" w:cs="Arial"/>
                <w:color w:val="000000"/>
                <w:sz w:val="20"/>
                <w:szCs w:val="20"/>
                <w:lang w:eastAsia="cs-CZ"/>
              </w:rPr>
              <w:t> </w:t>
            </w:r>
          </w:p>
        </w:tc>
        <w:tc>
          <w:tcPr>
            <w:tcW w:w="904" w:type="dxa"/>
            <w:tcBorders>
              <w:top w:val="single" w:sz="4" w:space="0" w:color="auto"/>
              <w:left w:val="nil"/>
              <w:bottom w:val="double" w:sz="6" w:space="0" w:color="auto"/>
              <w:right w:val="single" w:sz="4" w:space="0" w:color="auto"/>
            </w:tcBorders>
            <w:shd w:val="clear" w:color="auto" w:fill="auto"/>
            <w:vAlign w:val="center"/>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12M-24M</w:t>
            </w:r>
          </w:p>
        </w:tc>
        <w:tc>
          <w:tcPr>
            <w:tcW w:w="905" w:type="dxa"/>
            <w:tcBorders>
              <w:top w:val="single" w:sz="4" w:space="0" w:color="auto"/>
              <w:left w:val="nil"/>
              <w:bottom w:val="double" w:sz="6" w:space="0" w:color="auto"/>
              <w:right w:val="single" w:sz="8" w:space="0" w:color="auto"/>
            </w:tcBorders>
            <w:shd w:val="clear" w:color="auto" w:fill="auto"/>
            <w:vAlign w:val="center"/>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nad 24M</w:t>
            </w:r>
          </w:p>
        </w:tc>
      </w:tr>
      <w:tr w:rsidR="00044F8A" w:rsidRPr="00044F8A" w:rsidTr="00F07EED">
        <w:trPr>
          <w:trHeight w:val="314"/>
        </w:trPr>
        <w:tc>
          <w:tcPr>
            <w:tcW w:w="1279"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044F8A" w:rsidRPr="00044F8A" w:rsidRDefault="00044F8A" w:rsidP="00044F8A">
            <w:pPr>
              <w:spacing w:before="0" w:after="0"/>
              <w:jc w:val="left"/>
              <w:rPr>
                <w:rFonts w:eastAsia="Times New Roman" w:cs="Arial"/>
                <w:b/>
                <w:bCs/>
                <w:color w:val="000000"/>
                <w:sz w:val="20"/>
                <w:szCs w:val="20"/>
                <w:lang w:eastAsia="cs-CZ"/>
              </w:rPr>
            </w:pPr>
            <w:r w:rsidRPr="00044F8A">
              <w:rPr>
                <w:rFonts w:eastAsia="Times New Roman" w:cs="Arial"/>
                <w:b/>
                <w:bCs/>
                <w:color w:val="000000"/>
                <w:sz w:val="20"/>
                <w:szCs w:val="20"/>
                <w:lang w:eastAsia="cs-CZ"/>
              </w:rPr>
              <w:t xml:space="preserve"> ČR</w:t>
            </w:r>
          </w:p>
        </w:tc>
        <w:tc>
          <w:tcPr>
            <w:tcW w:w="931"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044F8A" w:rsidRPr="00044F8A" w:rsidRDefault="00044F8A" w:rsidP="00044F8A">
            <w:pPr>
              <w:spacing w:before="0" w:after="0"/>
              <w:jc w:val="right"/>
              <w:rPr>
                <w:rFonts w:eastAsia="Times New Roman" w:cs="Arial"/>
                <w:b/>
                <w:bCs/>
                <w:color w:val="000000"/>
                <w:sz w:val="20"/>
                <w:szCs w:val="20"/>
                <w:lang w:eastAsia="cs-CZ"/>
              </w:rPr>
            </w:pPr>
            <w:r w:rsidRPr="00044F8A">
              <w:rPr>
                <w:rFonts w:eastAsia="Times New Roman" w:cs="Arial"/>
                <w:b/>
                <w:bCs/>
                <w:color w:val="000000"/>
                <w:sz w:val="20"/>
                <w:szCs w:val="20"/>
                <w:lang w:eastAsia="cs-CZ"/>
              </w:rPr>
              <w:t>280 620</w:t>
            </w:r>
          </w:p>
        </w:tc>
        <w:tc>
          <w:tcPr>
            <w:tcW w:w="858"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044F8A" w:rsidRPr="00044F8A" w:rsidRDefault="00044F8A" w:rsidP="00044F8A">
            <w:pPr>
              <w:spacing w:before="0" w:after="0"/>
              <w:jc w:val="right"/>
              <w:rPr>
                <w:rFonts w:eastAsia="Times New Roman" w:cs="Arial"/>
                <w:b/>
                <w:bCs/>
                <w:color w:val="000000"/>
                <w:sz w:val="20"/>
                <w:szCs w:val="20"/>
                <w:lang w:eastAsia="cs-CZ"/>
              </w:rPr>
            </w:pPr>
            <w:r w:rsidRPr="00044F8A">
              <w:rPr>
                <w:rFonts w:eastAsia="Times New Roman" w:cs="Arial"/>
                <w:b/>
                <w:bCs/>
                <w:color w:val="000000"/>
                <w:sz w:val="20"/>
                <w:szCs w:val="20"/>
                <w:lang w:eastAsia="cs-CZ"/>
              </w:rPr>
              <w:t>46 009</w:t>
            </w:r>
          </w:p>
        </w:tc>
        <w:tc>
          <w:tcPr>
            <w:tcW w:w="863"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044F8A" w:rsidRPr="00044F8A" w:rsidRDefault="00044F8A" w:rsidP="00044F8A">
            <w:pPr>
              <w:spacing w:before="0" w:after="0"/>
              <w:jc w:val="right"/>
              <w:rPr>
                <w:rFonts w:eastAsia="Times New Roman" w:cs="Arial"/>
                <w:b/>
                <w:bCs/>
                <w:color w:val="000000"/>
                <w:sz w:val="20"/>
                <w:szCs w:val="20"/>
                <w:lang w:eastAsia="cs-CZ"/>
              </w:rPr>
            </w:pPr>
            <w:r w:rsidRPr="00044F8A">
              <w:rPr>
                <w:rFonts w:eastAsia="Times New Roman" w:cs="Arial"/>
                <w:b/>
                <w:bCs/>
                <w:color w:val="000000"/>
                <w:sz w:val="20"/>
                <w:szCs w:val="20"/>
                <w:lang w:eastAsia="cs-CZ"/>
              </w:rPr>
              <w:t>46 596</w:t>
            </w:r>
          </w:p>
        </w:tc>
        <w:tc>
          <w:tcPr>
            <w:tcW w:w="931"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044F8A" w:rsidRPr="00044F8A" w:rsidRDefault="00044F8A" w:rsidP="00044F8A">
            <w:pPr>
              <w:spacing w:before="0" w:after="0"/>
              <w:jc w:val="right"/>
              <w:rPr>
                <w:rFonts w:eastAsia="Times New Roman" w:cs="Arial"/>
                <w:b/>
                <w:bCs/>
                <w:color w:val="000000"/>
                <w:sz w:val="20"/>
                <w:szCs w:val="20"/>
                <w:lang w:eastAsia="cs-CZ"/>
              </w:rPr>
            </w:pPr>
            <w:r w:rsidRPr="00044F8A">
              <w:rPr>
                <w:rFonts w:eastAsia="Times New Roman" w:cs="Arial"/>
                <w:b/>
                <w:bCs/>
                <w:color w:val="000000"/>
                <w:sz w:val="20"/>
                <w:szCs w:val="20"/>
                <w:lang w:eastAsia="cs-CZ"/>
              </w:rPr>
              <w:t>4 148</w:t>
            </w:r>
          </w:p>
        </w:tc>
        <w:tc>
          <w:tcPr>
            <w:tcW w:w="904"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044F8A" w:rsidRPr="00044F8A" w:rsidRDefault="00044F8A" w:rsidP="00044F8A">
            <w:pPr>
              <w:spacing w:before="0" w:after="0"/>
              <w:jc w:val="right"/>
              <w:rPr>
                <w:rFonts w:eastAsia="Times New Roman" w:cs="Arial"/>
                <w:b/>
                <w:bCs/>
                <w:color w:val="000000"/>
                <w:sz w:val="20"/>
                <w:szCs w:val="20"/>
                <w:lang w:eastAsia="cs-CZ"/>
              </w:rPr>
            </w:pPr>
            <w:r w:rsidRPr="00044F8A">
              <w:rPr>
                <w:rFonts w:eastAsia="Times New Roman" w:cs="Arial"/>
                <w:b/>
                <w:bCs/>
                <w:color w:val="000000"/>
                <w:sz w:val="20"/>
                <w:szCs w:val="20"/>
                <w:lang w:eastAsia="cs-CZ"/>
              </w:rPr>
              <w:t>31 296</w:t>
            </w:r>
          </w:p>
        </w:tc>
        <w:tc>
          <w:tcPr>
            <w:tcW w:w="904"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044F8A" w:rsidRPr="00044F8A" w:rsidRDefault="00044F8A" w:rsidP="00044F8A">
            <w:pPr>
              <w:spacing w:before="0" w:after="0"/>
              <w:jc w:val="right"/>
              <w:rPr>
                <w:rFonts w:eastAsia="Times New Roman" w:cs="Arial"/>
                <w:b/>
                <w:bCs/>
                <w:color w:val="000000"/>
                <w:sz w:val="20"/>
                <w:szCs w:val="20"/>
                <w:lang w:eastAsia="cs-CZ"/>
              </w:rPr>
            </w:pPr>
            <w:r w:rsidRPr="00044F8A">
              <w:rPr>
                <w:rFonts w:eastAsia="Times New Roman" w:cs="Arial"/>
                <w:b/>
                <w:bCs/>
                <w:color w:val="000000"/>
                <w:sz w:val="20"/>
                <w:szCs w:val="20"/>
                <w:lang w:eastAsia="cs-CZ"/>
              </w:rPr>
              <w:t>102 255</w:t>
            </w:r>
          </w:p>
        </w:tc>
        <w:tc>
          <w:tcPr>
            <w:tcW w:w="904"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044F8A" w:rsidRPr="00044F8A" w:rsidRDefault="00044F8A" w:rsidP="00044F8A">
            <w:pPr>
              <w:spacing w:before="0" w:after="0"/>
              <w:jc w:val="right"/>
              <w:rPr>
                <w:rFonts w:eastAsia="Times New Roman" w:cs="Arial"/>
                <w:b/>
                <w:bCs/>
                <w:color w:val="000000"/>
                <w:sz w:val="20"/>
                <w:szCs w:val="20"/>
                <w:lang w:eastAsia="cs-CZ"/>
              </w:rPr>
            </w:pPr>
            <w:r w:rsidRPr="00044F8A">
              <w:rPr>
                <w:rFonts w:eastAsia="Times New Roman" w:cs="Arial"/>
                <w:b/>
                <w:bCs/>
                <w:color w:val="000000"/>
                <w:sz w:val="20"/>
                <w:szCs w:val="20"/>
                <w:lang w:eastAsia="cs-CZ"/>
              </w:rPr>
              <w:t>85 953</w:t>
            </w:r>
          </w:p>
        </w:tc>
        <w:tc>
          <w:tcPr>
            <w:tcW w:w="904" w:type="dxa"/>
            <w:tcBorders>
              <w:top w:val="double" w:sz="6" w:space="0" w:color="auto"/>
              <w:left w:val="single" w:sz="4" w:space="0" w:color="auto"/>
              <w:bottom w:val="double" w:sz="6" w:space="0" w:color="auto"/>
              <w:right w:val="nil"/>
            </w:tcBorders>
            <w:shd w:val="clear" w:color="auto" w:fill="auto"/>
            <w:noWrap/>
            <w:vAlign w:val="bottom"/>
            <w:hideMark/>
          </w:tcPr>
          <w:p w:rsidR="00044F8A" w:rsidRPr="00044F8A" w:rsidRDefault="00044F8A" w:rsidP="00044F8A">
            <w:pPr>
              <w:spacing w:before="0" w:after="0"/>
              <w:jc w:val="right"/>
              <w:rPr>
                <w:rFonts w:eastAsia="Times New Roman" w:cs="Arial"/>
                <w:b/>
                <w:bCs/>
                <w:color w:val="000000"/>
                <w:sz w:val="20"/>
                <w:szCs w:val="20"/>
                <w:lang w:eastAsia="cs-CZ"/>
              </w:rPr>
            </w:pPr>
            <w:r w:rsidRPr="00044F8A">
              <w:rPr>
                <w:rFonts w:eastAsia="Times New Roman" w:cs="Arial"/>
                <w:b/>
                <w:bCs/>
                <w:color w:val="000000"/>
                <w:sz w:val="20"/>
                <w:szCs w:val="20"/>
                <w:lang w:eastAsia="cs-CZ"/>
              </w:rPr>
              <w:t>94 512</w:t>
            </w:r>
          </w:p>
        </w:tc>
        <w:tc>
          <w:tcPr>
            <w:tcW w:w="904" w:type="dxa"/>
            <w:tcBorders>
              <w:top w:val="double" w:sz="6" w:space="0" w:color="auto"/>
              <w:left w:val="single" w:sz="4" w:space="0" w:color="auto"/>
              <w:bottom w:val="double" w:sz="6" w:space="0" w:color="auto"/>
              <w:right w:val="single" w:sz="4" w:space="0" w:color="auto"/>
            </w:tcBorders>
            <w:shd w:val="clear" w:color="auto" w:fill="auto"/>
            <w:noWrap/>
            <w:vAlign w:val="bottom"/>
            <w:hideMark/>
          </w:tcPr>
          <w:p w:rsidR="00044F8A" w:rsidRPr="00044F8A" w:rsidRDefault="00044F8A" w:rsidP="00044F8A">
            <w:pPr>
              <w:spacing w:before="0" w:after="0"/>
              <w:jc w:val="center"/>
              <w:rPr>
                <w:rFonts w:eastAsia="Times New Roman" w:cs="Arial"/>
                <w:b/>
                <w:bCs/>
                <w:i/>
                <w:iCs/>
                <w:color w:val="000000"/>
                <w:sz w:val="16"/>
                <w:szCs w:val="16"/>
                <w:lang w:eastAsia="cs-CZ"/>
              </w:rPr>
            </w:pPr>
            <w:r w:rsidRPr="00044F8A">
              <w:rPr>
                <w:rFonts w:eastAsia="Times New Roman" w:cs="Arial"/>
                <w:b/>
                <w:bCs/>
                <w:i/>
                <w:iCs/>
                <w:color w:val="000000"/>
                <w:sz w:val="16"/>
                <w:szCs w:val="16"/>
                <w:lang w:eastAsia="cs-CZ"/>
              </w:rPr>
              <w:t>29 101</w:t>
            </w:r>
          </w:p>
        </w:tc>
        <w:tc>
          <w:tcPr>
            <w:tcW w:w="905"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044F8A" w:rsidRPr="00044F8A" w:rsidRDefault="00044F8A" w:rsidP="00044F8A">
            <w:pPr>
              <w:spacing w:before="0" w:after="0"/>
              <w:jc w:val="center"/>
              <w:rPr>
                <w:rFonts w:eastAsia="Times New Roman" w:cs="Arial"/>
                <w:b/>
                <w:bCs/>
                <w:i/>
                <w:iCs/>
                <w:color w:val="000000"/>
                <w:sz w:val="16"/>
                <w:szCs w:val="16"/>
                <w:lang w:eastAsia="cs-CZ"/>
              </w:rPr>
            </w:pPr>
            <w:r w:rsidRPr="00044F8A">
              <w:rPr>
                <w:rFonts w:eastAsia="Times New Roman" w:cs="Arial"/>
                <w:b/>
                <w:bCs/>
                <w:i/>
                <w:iCs/>
                <w:color w:val="000000"/>
                <w:sz w:val="16"/>
                <w:szCs w:val="16"/>
                <w:lang w:eastAsia="cs-CZ"/>
              </w:rPr>
              <w:t>65 411</w:t>
            </w:r>
          </w:p>
        </w:tc>
      </w:tr>
      <w:tr w:rsidR="00F07EED" w:rsidRPr="00044F8A" w:rsidTr="00F07EED">
        <w:trPr>
          <w:trHeight w:val="301"/>
        </w:trPr>
        <w:tc>
          <w:tcPr>
            <w:tcW w:w="1279" w:type="dxa"/>
            <w:tcBorders>
              <w:top w:val="nil"/>
              <w:left w:val="single" w:sz="8"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Praha</w:t>
            </w:r>
          </w:p>
        </w:tc>
        <w:tc>
          <w:tcPr>
            <w:tcW w:w="931"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21 787</w:t>
            </w:r>
          </w:p>
        </w:tc>
        <w:tc>
          <w:tcPr>
            <w:tcW w:w="858"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2 169</w:t>
            </w:r>
          </w:p>
        </w:tc>
        <w:tc>
          <w:tcPr>
            <w:tcW w:w="863"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2 464</w:t>
            </w:r>
          </w:p>
        </w:tc>
        <w:tc>
          <w:tcPr>
            <w:tcW w:w="931"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208</w:t>
            </w:r>
          </w:p>
        </w:tc>
        <w:tc>
          <w:tcPr>
            <w:tcW w:w="904"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1 873</w:t>
            </w:r>
          </w:p>
        </w:tc>
        <w:tc>
          <w:tcPr>
            <w:tcW w:w="904" w:type="dxa"/>
            <w:tcBorders>
              <w:top w:val="single" w:sz="4" w:space="0" w:color="000000"/>
              <w:left w:val="nil"/>
              <w:bottom w:val="single" w:sz="4" w:space="0" w:color="000000"/>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7 085</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4 583</w:t>
            </w:r>
          </w:p>
        </w:tc>
        <w:tc>
          <w:tcPr>
            <w:tcW w:w="904" w:type="dxa"/>
            <w:tcBorders>
              <w:top w:val="nil"/>
              <w:left w:val="nil"/>
              <w:bottom w:val="single" w:sz="4" w:space="0" w:color="auto"/>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6 574</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2 559</w:t>
            </w:r>
          </w:p>
        </w:tc>
        <w:tc>
          <w:tcPr>
            <w:tcW w:w="905"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4 015</w:t>
            </w:r>
          </w:p>
        </w:tc>
      </w:tr>
      <w:tr w:rsidR="00F07EED" w:rsidRPr="00044F8A" w:rsidTr="00F07EED">
        <w:trPr>
          <w:trHeight w:val="286"/>
        </w:trPr>
        <w:tc>
          <w:tcPr>
            <w:tcW w:w="1279" w:type="dxa"/>
            <w:tcBorders>
              <w:top w:val="nil"/>
              <w:left w:val="single" w:sz="8"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SČK</w:t>
            </w:r>
          </w:p>
        </w:tc>
        <w:tc>
          <w:tcPr>
            <w:tcW w:w="931"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29 370</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4 365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5 516</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451</w:t>
            </w:r>
          </w:p>
        </w:tc>
        <w:tc>
          <w:tcPr>
            <w:tcW w:w="904" w:type="dxa"/>
            <w:tcBorders>
              <w:top w:val="single" w:sz="4" w:space="0" w:color="auto"/>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3 522</w:t>
            </w:r>
          </w:p>
        </w:tc>
        <w:tc>
          <w:tcPr>
            <w:tcW w:w="904" w:type="dxa"/>
            <w:tcBorders>
              <w:top w:val="nil"/>
              <w:left w:val="nil"/>
              <w:bottom w:val="single" w:sz="4" w:space="0" w:color="000000"/>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10 378</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8 686</w:t>
            </w:r>
          </w:p>
        </w:tc>
        <w:tc>
          <w:tcPr>
            <w:tcW w:w="904" w:type="dxa"/>
            <w:tcBorders>
              <w:top w:val="nil"/>
              <w:left w:val="single" w:sz="4" w:space="0" w:color="auto"/>
              <w:bottom w:val="single" w:sz="4" w:space="0" w:color="auto"/>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9 214</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3 011</w:t>
            </w:r>
          </w:p>
        </w:tc>
        <w:tc>
          <w:tcPr>
            <w:tcW w:w="905" w:type="dxa"/>
            <w:tcBorders>
              <w:top w:val="single" w:sz="4" w:space="0" w:color="auto"/>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6 203</w:t>
            </w:r>
          </w:p>
        </w:tc>
      </w:tr>
      <w:tr w:rsidR="00F07EED" w:rsidRPr="00044F8A" w:rsidTr="00F07EED">
        <w:trPr>
          <w:trHeight w:val="286"/>
        </w:trPr>
        <w:tc>
          <w:tcPr>
            <w:tcW w:w="1279" w:type="dxa"/>
            <w:tcBorders>
              <w:top w:val="nil"/>
              <w:left w:val="single" w:sz="8"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JČK</w:t>
            </w:r>
          </w:p>
        </w:tc>
        <w:tc>
          <w:tcPr>
            <w:tcW w:w="931"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14 112</w:t>
            </w:r>
          </w:p>
        </w:tc>
        <w:tc>
          <w:tcPr>
            <w:tcW w:w="858"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2 564</w:t>
            </w:r>
          </w:p>
        </w:tc>
        <w:tc>
          <w:tcPr>
            <w:tcW w:w="863"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2 217</w:t>
            </w:r>
          </w:p>
        </w:tc>
        <w:tc>
          <w:tcPr>
            <w:tcW w:w="931"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225</w:t>
            </w:r>
          </w:p>
        </w:tc>
        <w:tc>
          <w:tcPr>
            <w:tcW w:w="904"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1 609</w:t>
            </w:r>
          </w:p>
        </w:tc>
        <w:tc>
          <w:tcPr>
            <w:tcW w:w="904" w:type="dxa"/>
            <w:tcBorders>
              <w:top w:val="nil"/>
              <w:left w:val="nil"/>
              <w:bottom w:val="single" w:sz="4" w:space="0" w:color="000000"/>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5 231</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3 696</w:t>
            </w:r>
          </w:p>
        </w:tc>
        <w:tc>
          <w:tcPr>
            <w:tcW w:w="904" w:type="dxa"/>
            <w:tcBorders>
              <w:top w:val="nil"/>
              <w:left w:val="single" w:sz="4" w:space="0" w:color="auto"/>
              <w:bottom w:val="single" w:sz="4" w:space="0" w:color="auto"/>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3 121</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1 187</w:t>
            </w:r>
          </w:p>
        </w:tc>
        <w:tc>
          <w:tcPr>
            <w:tcW w:w="905"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1 934</w:t>
            </w:r>
          </w:p>
        </w:tc>
      </w:tr>
      <w:tr w:rsidR="00F07EED" w:rsidRPr="00044F8A" w:rsidTr="00F07EED">
        <w:trPr>
          <w:trHeight w:val="286"/>
        </w:trPr>
        <w:tc>
          <w:tcPr>
            <w:tcW w:w="1279" w:type="dxa"/>
            <w:tcBorders>
              <w:top w:val="nil"/>
              <w:left w:val="single" w:sz="8"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PLK</w:t>
            </w:r>
          </w:p>
        </w:tc>
        <w:tc>
          <w:tcPr>
            <w:tcW w:w="931"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10 517</w:t>
            </w:r>
          </w:p>
        </w:tc>
        <w:tc>
          <w:tcPr>
            <w:tcW w:w="858"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2 195</w:t>
            </w:r>
          </w:p>
        </w:tc>
        <w:tc>
          <w:tcPr>
            <w:tcW w:w="863"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1 817</w:t>
            </w:r>
          </w:p>
        </w:tc>
        <w:tc>
          <w:tcPr>
            <w:tcW w:w="931"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182</w:t>
            </w:r>
          </w:p>
        </w:tc>
        <w:tc>
          <w:tcPr>
            <w:tcW w:w="904"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1 128</w:t>
            </w:r>
          </w:p>
        </w:tc>
        <w:tc>
          <w:tcPr>
            <w:tcW w:w="904" w:type="dxa"/>
            <w:tcBorders>
              <w:top w:val="nil"/>
              <w:left w:val="nil"/>
              <w:bottom w:val="single" w:sz="4" w:space="0" w:color="000000"/>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4 056</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3 159</w:t>
            </w:r>
          </w:p>
        </w:tc>
        <w:tc>
          <w:tcPr>
            <w:tcW w:w="904" w:type="dxa"/>
            <w:tcBorders>
              <w:top w:val="nil"/>
              <w:left w:val="single" w:sz="4" w:space="0" w:color="auto"/>
              <w:bottom w:val="single" w:sz="4" w:space="0" w:color="auto"/>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2 692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816</w:t>
            </w:r>
          </w:p>
        </w:tc>
        <w:tc>
          <w:tcPr>
            <w:tcW w:w="905"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1 876</w:t>
            </w:r>
          </w:p>
        </w:tc>
      </w:tr>
      <w:tr w:rsidR="00F07EED" w:rsidRPr="00044F8A" w:rsidTr="00F07EED">
        <w:trPr>
          <w:trHeight w:val="286"/>
        </w:trPr>
        <w:tc>
          <w:tcPr>
            <w:tcW w:w="1279" w:type="dxa"/>
            <w:tcBorders>
              <w:top w:val="nil"/>
              <w:left w:val="single" w:sz="8"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KVK</w:t>
            </w:r>
          </w:p>
        </w:tc>
        <w:tc>
          <w:tcPr>
            <w:tcW w:w="931"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7 488</w:t>
            </w:r>
          </w:p>
        </w:tc>
        <w:tc>
          <w:tcPr>
            <w:tcW w:w="858"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899</w:t>
            </w:r>
          </w:p>
        </w:tc>
        <w:tc>
          <w:tcPr>
            <w:tcW w:w="863"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1 518</w:t>
            </w:r>
          </w:p>
        </w:tc>
        <w:tc>
          <w:tcPr>
            <w:tcW w:w="931"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142</w:t>
            </w:r>
          </w:p>
        </w:tc>
        <w:tc>
          <w:tcPr>
            <w:tcW w:w="904"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838</w:t>
            </w:r>
          </w:p>
        </w:tc>
        <w:tc>
          <w:tcPr>
            <w:tcW w:w="904" w:type="dxa"/>
            <w:tcBorders>
              <w:top w:val="nil"/>
              <w:left w:val="nil"/>
              <w:bottom w:val="single" w:sz="4" w:space="0" w:color="000000"/>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2 797</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3 976</w:t>
            </w:r>
          </w:p>
        </w:tc>
        <w:tc>
          <w:tcPr>
            <w:tcW w:w="904" w:type="dxa"/>
            <w:tcBorders>
              <w:top w:val="nil"/>
              <w:left w:val="single" w:sz="4" w:space="0" w:color="auto"/>
              <w:bottom w:val="single" w:sz="4" w:space="0" w:color="auto"/>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2 746</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689</w:t>
            </w:r>
          </w:p>
        </w:tc>
        <w:tc>
          <w:tcPr>
            <w:tcW w:w="905"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2 057</w:t>
            </w:r>
          </w:p>
        </w:tc>
      </w:tr>
      <w:tr w:rsidR="00F07EED" w:rsidRPr="00044F8A" w:rsidTr="00F07EED">
        <w:trPr>
          <w:trHeight w:val="286"/>
        </w:trPr>
        <w:tc>
          <w:tcPr>
            <w:tcW w:w="1279" w:type="dxa"/>
            <w:tcBorders>
              <w:top w:val="nil"/>
              <w:left w:val="single" w:sz="8"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ULK</w:t>
            </w:r>
          </w:p>
        </w:tc>
        <w:tc>
          <w:tcPr>
            <w:tcW w:w="931"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31 522</w:t>
            </w:r>
          </w:p>
        </w:tc>
        <w:tc>
          <w:tcPr>
            <w:tcW w:w="858"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5 447</w:t>
            </w:r>
          </w:p>
        </w:tc>
        <w:tc>
          <w:tcPr>
            <w:tcW w:w="863"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5 929</w:t>
            </w:r>
          </w:p>
        </w:tc>
        <w:tc>
          <w:tcPr>
            <w:tcW w:w="931"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534</w:t>
            </w:r>
          </w:p>
        </w:tc>
        <w:tc>
          <w:tcPr>
            <w:tcW w:w="904"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4 015</w:t>
            </w:r>
          </w:p>
        </w:tc>
        <w:tc>
          <w:tcPr>
            <w:tcW w:w="904" w:type="dxa"/>
            <w:tcBorders>
              <w:top w:val="nil"/>
              <w:left w:val="nil"/>
              <w:bottom w:val="single" w:sz="4" w:space="0" w:color="000000"/>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10 766</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15 065</w:t>
            </w:r>
          </w:p>
        </w:tc>
        <w:tc>
          <w:tcPr>
            <w:tcW w:w="904" w:type="dxa"/>
            <w:tcBorders>
              <w:top w:val="nil"/>
              <w:left w:val="single" w:sz="4" w:space="0" w:color="auto"/>
              <w:bottom w:val="single" w:sz="4" w:space="0" w:color="auto"/>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12 838</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3 718</w:t>
            </w:r>
          </w:p>
        </w:tc>
        <w:tc>
          <w:tcPr>
            <w:tcW w:w="905"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9 120</w:t>
            </w:r>
          </w:p>
        </w:tc>
      </w:tr>
      <w:tr w:rsidR="00F07EED" w:rsidRPr="00044F8A" w:rsidTr="00F07EED">
        <w:trPr>
          <w:trHeight w:val="286"/>
        </w:trPr>
        <w:tc>
          <w:tcPr>
            <w:tcW w:w="1279" w:type="dxa"/>
            <w:tcBorders>
              <w:top w:val="nil"/>
              <w:left w:val="single" w:sz="8"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LBK</w:t>
            </w:r>
          </w:p>
        </w:tc>
        <w:tc>
          <w:tcPr>
            <w:tcW w:w="931"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11 861</w:t>
            </w:r>
          </w:p>
        </w:tc>
        <w:tc>
          <w:tcPr>
            <w:tcW w:w="858"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1 898</w:t>
            </w:r>
          </w:p>
        </w:tc>
        <w:tc>
          <w:tcPr>
            <w:tcW w:w="863"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2 280</w:t>
            </w:r>
          </w:p>
        </w:tc>
        <w:tc>
          <w:tcPr>
            <w:tcW w:w="931"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185</w:t>
            </w:r>
          </w:p>
        </w:tc>
        <w:tc>
          <w:tcPr>
            <w:tcW w:w="904"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1 515</w:t>
            </w:r>
          </w:p>
        </w:tc>
        <w:tc>
          <w:tcPr>
            <w:tcW w:w="904" w:type="dxa"/>
            <w:tcBorders>
              <w:top w:val="nil"/>
              <w:left w:val="nil"/>
              <w:bottom w:val="single" w:sz="4" w:space="0" w:color="000000"/>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3 962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3 986</w:t>
            </w:r>
          </w:p>
        </w:tc>
        <w:tc>
          <w:tcPr>
            <w:tcW w:w="904" w:type="dxa"/>
            <w:tcBorders>
              <w:top w:val="nil"/>
              <w:left w:val="single" w:sz="4" w:space="0" w:color="auto"/>
              <w:bottom w:val="single" w:sz="4" w:space="0" w:color="auto"/>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3 729</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1 257</w:t>
            </w:r>
          </w:p>
        </w:tc>
        <w:tc>
          <w:tcPr>
            <w:tcW w:w="905"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2 472</w:t>
            </w:r>
          </w:p>
        </w:tc>
      </w:tr>
      <w:tr w:rsidR="00F07EED" w:rsidRPr="00044F8A" w:rsidTr="00F07EED">
        <w:trPr>
          <w:trHeight w:val="286"/>
        </w:trPr>
        <w:tc>
          <w:tcPr>
            <w:tcW w:w="1279" w:type="dxa"/>
            <w:tcBorders>
              <w:top w:val="nil"/>
              <w:left w:val="single" w:sz="8"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KHK</w:t>
            </w:r>
          </w:p>
        </w:tc>
        <w:tc>
          <w:tcPr>
            <w:tcW w:w="931"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10 483</w:t>
            </w:r>
          </w:p>
        </w:tc>
        <w:tc>
          <w:tcPr>
            <w:tcW w:w="858"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1 887</w:t>
            </w:r>
          </w:p>
        </w:tc>
        <w:tc>
          <w:tcPr>
            <w:tcW w:w="863"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1 589</w:t>
            </w:r>
          </w:p>
        </w:tc>
        <w:tc>
          <w:tcPr>
            <w:tcW w:w="931"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105</w:t>
            </w:r>
          </w:p>
        </w:tc>
        <w:tc>
          <w:tcPr>
            <w:tcW w:w="904"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1 349</w:t>
            </w:r>
          </w:p>
        </w:tc>
        <w:tc>
          <w:tcPr>
            <w:tcW w:w="904" w:type="dxa"/>
            <w:tcBorders>
              <w:top w:val="nil"/>
              <w:left w:val="nil"/>
              <w:bottom w:val="single" w:sz="4" w:space="0" w:color="000000"/>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3 768</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3 223</w:t>
            </w:r>
          </w:p>
        </w:tc>
        <w:tc>
          <w:tcPr>
            <w:tcW w:w="904" w:type="dxa"/>
            <w:tcBorders>
              <w:top w:val="nil"/>
              <w:left w:val="single" w:sz="4" w:space="0" w:color="auto"/>
              <w:bottom w:val="single" w:sz="4" w:space="0" w:color="auto"/>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2 647</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864</w:t>
            </w:r>
          </w:p>
        </w:tc>
        <w:tc>
          <w:tcPr>
            <w:tcW w:w="905"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1 783</w:t>
            </w:r>
          </w:p>
        </w:tc>
      </w:tr>
      <w:tr w:rsidR="00F07EED" w:rsidRPr="00044F8A" w:rsidTr="00F07EED">
        <w:trPr>
          <w:trHeight w:val="286"/>
        </w:trPr>
        <w:tc>
          <w:tcPr>
            <w:tcW w:w="1279" w:type="dxa"/>
            <w:tcBorders>
              <w:top w:val="nil"/>
              <w:left w:val="single" w:sz="8"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PBK</w:t>
            </w:r>
          </w:p>
        </w:tc>
        <w:tc>
          <w:tcPr>
            <w:tcW w:w="931"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10 152</w:t>
            </w:r>
          </w:p>
        </w:tc>
        <w:tc>
          <w:tcPr>
            <w:tcW w:w="858"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1 993</w:t>
            </w:r>
          </w:p>
        </w:tc>
        <w:tc>
          <w:tcPr>
            <w:tcW w:w="863"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1 678</w:t>
            </w:r>
          </w:p>
        </w:tc>
        <w:tc>
          <w:tcPr>
            <w:tcW w:w="931"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179</w:t>
            </w:r>
          </w:p>
        </w:tc>
        <w:tc>
          <w:tcPr>
            <w:tcW w:w="904"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1 271</w:t>
            </w:r>
          </w:p>
        </w:tc>
        <w:tc>
          <w:tcPr>
            <w:tcW w:w="904" w:type="dxa"/>
            <w:tcBorders>
              <w:top w:val="nil"/>
              <w:left w:val="nil"/>
              <w:bottom w:val="single" w:sz="4" w:space="0" w:color="000000"/>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3 709</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2 803</w:t>
            </w:r>
          </w:p>
        </w:tc>
        <w:tc>
          <w:tcPr>
            <w:tcW w:w="904" w:type="dxa"/>
            <w:tcBorders>
              <w:top w:val="nil"/>
              <w:left w:val="single" w:sz="4" w:space="0" w:color="auto"/>
              <w:bottom w:val="single" w:sz="4" w:space="0" w:color="auto"/>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2 153</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816</w:t>
            </w:r>
          </w:p>
        </w:tc>
        <w:tc>
          <w:tcPr>
            <w:tcW w:w="905"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1 337</w:t>
            </w:r>
          </w:p>
        </w:tc>
      </w:tr>
      <w:tr w:rsidR="00F07EED" w:rsidRPr="00044F8A" w:rsidTr="00F07EED">
        <w:trPr>
          <w:trHeight w:val="286"/>
        </w:trPr>
        <w:tc>
          <w:tcPr>
            <w:tcW w:w="1279" w:type="dxa"/>
            <w:tcBorders>
              <w:top w:val="nil"/>
              <w:left w:val="single" w:sz="8"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VYS</w:t>
            </w:r>
          </w:p>
        </w:tc>
        <w:tc>
          <w:tcPr>
            <w:tcW w:w="931"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12 992</w:t>
            </w:r>
          </w:p>
        </w:tc>
        <w:tc>
          <w:tcPr>
            <w:tcW w:w="858"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2 510</w:t>
            </w:r>
          </w:p>
        </w:tc>
        <w:tc>
          <w:tcPr>
            <w:tcW w:w="863"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2 102</w:t>
            </w:r>
          </w:p>
        </w:tc>
        <w:tc>
          <w:tcPr>
            <w:tcW w:w="931"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214</w:t>
            </w:r>
          </w:p>
        </w:tc>
        <w:tc>
          <w:tcPr>
            <w:tcW w:w="904"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1 463</w:t>
            </w:r>
          </w:p>
        </w:tc>
        <w:tc>
          <w:tcPr>
            <w:tcW w:w="904" w:type="dxa"/>
            <w:tcBorders>
              <w:top w:val="nil"/>
              <w:left w:val="nil"/>
              <w:bottom w:val="single" w:sz="4" w:space="0" w:color="000000"/>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4 955</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2 410</w:t>
            </w:r>
          </w:p>
        </w:tc>
        <w:tc>
          <w:tcPr>
            <w:tcW w:w="904" w:type="dxa"/>
            <w:tcBorders>
              <w:top w:val="nil"/>
              <w:left w:val="single" w:sz="4" w:space="0" w:color="auto"/>
              <w:bottom w:val="single" w:sz="4" w:space="0" w:color="auto"/>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3 733</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1 119</w:t>
            </w:r>
          </w:p>
        </w:tc>
        <w:tc>
          <w:tcPr>
            <w:tcW w:w="905"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2 614</w:t>
            </w:r>
          </w:p>
        </w:tc>
      </w:tr>
      <w:tr w:rsidR="00F07EED" w:rsidRPr="00044F8A" w:rsidTr="00F07EED">
        <w:trPr>
          <w:trHeight w:val="286"/>
        </w:trPr>
        <w:tc>
          <w:tcPr>
            <w:tcW w:w="1279" w:type="dxa"/>
            <w:tcBorders>
              <w:top w:val="nil"/>
              <w:left w:val="single" w:sz="8"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JMK</w:t>
            </w:r>
          </w:p>
        </w:tc>
        <w:tc>
          <w:tcPr>
            <w:tcW w:w="931"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37 290</w:t>
            </w:r>
          </w:p>
        </w:tc>
        <w:tc>
          <w:tcPr>
            <w:tcW w:w="858"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6 058</w:t>
            </w:r>
          </w:p>
        </w:tc>
        <w:tc>
          <w:tcPr>
            <w:tcW w:w="863"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6 122</w:t>
            </w:r>
          </w:p>
        </w:tc>
        <w:tc>
          <w:tcPr>
            <w:tcW w:w="931"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528</w:t>
            </w:r>
          </w:p>
        </w:tc>
        <w:tc>
          <w:tcPr>
            <w:tcW w:w="904"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4 163</w:t>
            </w:r>
          </w:p>
        </w:tc>
        <w:tc>
          <w:tcPr>
            <w:tcW w:w="904" w:type="dxa"/>
            <w:tcBorders>
              <w:top w:val="nil"/>
              <w:left w:val="nil"/>
              <w:bottom w:val="single" w:sz="4" w:space="0" w:color="000000"/>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12 941</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9 560</w:t>
            </w:r>
          </w:p>
        </w:tc>
        <w:tc>
          <w:tcPr>
            <w:tcW w:w="904" w:type="dxa"/>
            <w:tcBorders>
              <w:top w:val="nil"/>
              <w:left w:val="single" w:sz="4" w:space="0" w:color="auto"/>
              <w:bottom w:val="single" w:sz="4" w:space="0" w:color="auto"/>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13 358</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4 114</w:t>
            </w:r>
          </w:p>
        </w:tc>
        <w:tc>
          <w:tcPr>
            <w:tcW w:w="905"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9 244</w:t>
            </w:r>
          </w:p>
        </w:tc>
      </w:tr>
      <w:tr w:rsidR="00F07EED" w:rsidRPr="00044F8A" w:rsidTr="00F07EED">
        <w:trPr>
          <w:trHeight w:val="286"/>
        </w:trPr>
        <w:tc>
          <w:tcPr>
            <w:tcW w:w="1279" w:type="dxa"/>
            <w:tcBorders>
              <w:top w:val="nil"/>
              <w:left w:val="single" w:sz="8"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OLK</w:t>
            </w:r>
          </w:p>
        </w:tc>
        <w:tc>
          <w:tcPr>
            <w:tcW w:w="931"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19 519</w:t>
            </w:r>
          </w:p>
        </w:tc>
        <w:tc>
          <w:tcPr>
            <w:tcW w:w="858"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3 243</w:t>
            </w:r>
          </w:p>
        </w:tc>
        <w:tc>
          <w:tcPr>
            <w:tcW w:w="863"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2 789</w:t>
            </w:r>
          </w:p>
        </w:tc>
        <w:tc>
          <w:tcPr>
            <w:tcW w:w="931"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251</w:t>
            </w:r>
          </w:p>
        </w:tc>
        <w:tc>
          <w:tcPr>
            <w:tcW w:w="904"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1 990</w:t>
            </w:r>
          </w:p>
        </w:tc>
        <w:tc>
          <w:tcPr>
            <w:tcW w:w="904" w:type="dxa"/>
            <w:tcBorders>
              <w:top w:val="nil"/>
              <w:left w:val="nil"/>
              <w:bottom w:val="single" w:sz="4" w:space="0" w:color="000000"/>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7 524</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5 526</w:t>
            </w:r>
          </w:p>
        </w:tc>
        <w:tc>
          <w:tcPr>
            <w:tcW w:w="904" w:type="dxa"/>
            <w:tcBorders>
              <w:top w:val="nil"/>
              <w:left w:val="single" w:sz="4" w:space="0" w:color="auto"/>
              <w:bottom w:val="single" w:sz="4" w:space="0" w:color="auto"/>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6 453</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1 988</w:t>
            </w:r>
          </w:p>
        </w:tc>
        <w:tc>
          <w:tcPr>
            <w:tcW w:w="905"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4 465</w:t>
            </w:r>
          </w:p>
        </w:tc>
      </w:tr>
      <w:tr w:rsidR="00F07EED" w:rsidRPr="00044F8A" w:rsidTr="00F07EED">
        <w:trPr>
          <w:trHeight w:val="286"/>
        </w:trPr>
        <w:tc>
          <w:tcPr>
            <w:tcW w:w="1279" w:type="dxa"/>
            <w:tcBorders>
              <w:top w:val="nil"/>
              <w:left w:val="single" w:sz="8"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ZLK</w:t>
            </w:r>
          </w:p>
        </w:tc>
        <w:tc>
          <w:tcPr>
            <w:tcW w:w="931"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14 040</w:t>
            </w:r>
          </w:p>
        </w:tc>
        <w:tc>
          <w:tcPr>
            <w:tcW w:w="858"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2 675</w:t>
            </w:r>
          </w:p>
        </w:tc>
        <w:tc>
          <w:tcPr>
            <w:tcW w:w="863"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2 566</w:t>
            </w:r>
          </w:p>
        </w:tc>
        <w:tc>
          <w:tcPr>
            <w:tcW w:w="931"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245</w:t>
            </w:r>
          </w:p>
        </w:tc>
        <w:tc>
          <w:tcPr>
            <w:tcW w:w="904"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1 502</w:t>
            </w:r>
          </w:p>
        </w:tc>
        <w:tc>
          <w:tcPr>
            <w:tcW w:w="904" w:type="dxa"/>
            <w:tcBorders>
              <w:top w:val="nil"/>
              <w:left w:val="nil"/>
              <w:bottom w:val="single" w:sz="4" w:space="0" w:color="000000"/>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5 464</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2 703</w:t>
            </w:r>
          </w:p>
        </w:tc>
        <w:tc>
          <w:tcPr>
            <w:tcW w:w="904" w:type="dxa"/>
            <w:tcBorders>
              <w:top w:val="nil"/>
              <w:left w:val="single" w:sz="4" w:space="0" w:color="auto"/>
              <w:bottom w:val="single" w:sz="4" w:space="0" w:color="auto"/>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4 122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1 457</w:t>
            </w:r>
          </w:p>
        </w:tc>
        <w:tc>
          <w:tcPr>
            <w:tcW w:w="905" w:type="dxa"/>
            <w:tcBorders>
              <w:top w:val="nil"/>
              <w:left w:val="nil"/>
              <w:bottom w:val="single" w:sz="4" w:space="0" w:color="auto"/>
              <w:right w:val="single" w:sz="8"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2 665</w:t>
            </w:r>
          </w:p>
        </w:tc>
      </w:tr>
      <w:tr w:rsidR="00044F8A" w:rsidRPr="00044F8A" w:rsidTr="00F07EED">
        <w:trPr>
          <w:trHeight w:val="301"/>
        </w:trPr>
        <w:tc>
          <w:tcPr>
            <w:tcW w:w="1279" w:type="dxa"/>
            <w:tcBorders>
              <w:top w:val="nil"/>
              <w:left w:val="single" w:sz="8" w:space="0" w:color="auto"/>
              <w:bottom w:val="double" w:sz="6"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MSK</w:t>
            </w:r>
          </w:p>
        </w:tc>
        <w:tc>
          <w:tcPr>
            <w:tcW w:w="931" w:type="dxa"/>
            <w:tcBorders>
              <w:top w:val="nil"/>
              <w:left w:val="single" w:sz="4" w:space="0" w:color="auto"/>
              <w:bottom w:val="double" w:sz="6" w:space="0" w:color="auto"/>
              <w:right w:val="single" w:sz="8"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49 487</w:t>
            </w:r>
          </w:p>
        </w:tc>
        <w:tc>
          <w:tcPr>
            <w:tcW w:w="858" w:type="dxa"/>
            <w:tcBorders>
              <w:top w:val="nil"/>
              <w:left w:val="nil"/>
              <w:bottom w:val="double" w:sz="6"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8 106</w:t>
            </w:r>
          </w:p>
        </w:tc>
        <w:tc>
          <w:tcPr>
            <w:tcW w:w="863" w:type="dxa"/>
            <w:tcBorders>
              <w:top w:val="nil"/>
              <w:left w:val="nil"/>
              <w:bottom w:val="double" w:sz="6"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8 009</w:t>
            </w:r>
          </w:p>
        </w:tc>
        <w:tc>
          <w:tcPr>
            <w:tcW w:w="931" w:type="dxa"/>
            <w:tcBorders>
              <w:top w:val="nil"/>
              <w:left w:val="nil"/>
              <w:bottom w:val="double" w:sz="6"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699</w:t>
            </w:r>
          </w:p>
        </w:tc>
        <w:tc>
          <w:tcPr>
            <w:tcW w:w="904" w:type="dxa"/>
            <w:tcBorders>
              <w:top w:val="nil"/>
              <w:left w:val="nil"/>
              <w:bottom w:val="double" w:sz="6"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5 058</w:t>
            </w:r>
          </w:p>
        </w:tc>
        <w:tc>
          <w:tcPr>
            <w:tcW w:w="904" w:type="dxa"/>
            <w:tcBorders>
              <w:top w:val="nil"/>
              <w:left w:val="nil"/>
              <w:bottom w:val="double" w:sz="6" w:space="0" w:color="auto"/>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19 619</w:t>
            </w:r>
          </w:p>
        </w:tc>
        <w:tc>
          <w:tcPr>
            <w:tcW w:w="904" w:type="dxa"/>
            <w:tcBorders>
              <w:top w:val="nil"/>
              <w:left w:val="single" w:sz="4" w:space="0" w:color="auto"/>
              <w:bottom w:val="double" w:sz="6"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16 577</w:t>
            </w:r>
          </w:p>
        </w:tc>
        <w:tc>
          <w:tcPr>
            <w:tcW w:w="904" w:type="dxa"/>
            <w:tcBorders>
              <w:top w:val="nil"/>
              <w:left w:val="single" w:sz="4" w:space="0" w:color="auto"/>
              <w:bottom w:val="double" w:sz="6" w:space="0" w:color="auto"/>
              <w:right w:val="nil"/>
            </w:tcBorders>
            <w:shd w:val="clear" w:color="auto" w:fill="auto"/>
            <w:noWrap/>
            <w:vAlign w:val="bottom"/>
            <w:hideMark/>
          </w:tcPr>
          <w:p w:rsidR="00044F8A" w:rsidRPr="00044F8A" w:rsidRDefault="00044F8A" w:rsidP="00044F8A">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21 132</w:t>
            </w:r>
          </w:p>
        </w:tc>
        <w:tc>
          <w:tcPr>
            <w:tcW w:w="904" w:type="dxa"/>
            <w:tcBorders>
              <w:top w:val="nil"/>
              <w:left w:val="single" w:sz="4" w:space="0" w:color="auto"/>
              <w:bottom w:val="double" w:sz="6" w:space="0" w:color="auto"/>
              <w:right w:val="single" w:sz="4"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5 506</w:t>
            </w:r>
          </w:p>
        </w:tc>
        <w:tc>
          <w:tcPr>
            <w:tcW w:w="905" w:type="dxa"/>
            <w:tcBorders>
              <w:top w:val="nil"/>
              <w:left w:val="nil"/>
              <w:bottom w:val="double" w:sz="6" w:space="0" w:color="auto"/>
              <w:right w:val="single" w:sz="8" w:space="0" w:color="auto"/>
            </w:tcBorders>
            <w:shd w:val="clear" w:color="auto" w:fill="auto"/>
            <w:noWrap/>
            <w:vAlign w:val="bottom"/>
            <w:hideMark/>
          </w:tcPr>
          <w:p w:rsidR="00044F8A" w:rsidRPr="00044F8A" w:rsidRDefault="00044F8A" w:rsidP="00044F8A">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15 626</w:t>
            </w:r>
          </w:p>
        </w:tc>
      </w:tr>
      <w:tr w:rsidR="00044F8A" w:rsidRPr="00044F8A" w:rsidTr="00F07EED">
        <w:trPr>
          <w:trHeight w:val="301"/>
        </w:trPr>
        <w:tc>
          <w:tcPr>
            <w:tcW w:w="1279"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left"/>
              <w:rPr>
                <w:rFonts w:ascii="Calibri" w:eastAsia="Times New Roman" w:hAnsi="Calibri" w:cs="Times New Roman"/>
                <w:b/>
                <w:color w:val="000000"/>
                <w:sz w:val="22"/>
                <w:lang w:eastAsia="cs-CZ"/>
              </w:rPr>
            </w:pPr>
            <w:r w:rsidRPr="00044F8A">
              <w:rPr>
                <w:rFonts w:ascii="Calibri" w:eastAsia="Times New Roman" w:hAnsi="Calibri" w:cs="Times New Roman"/>
                <w:b/>
                <w:color w:val="000000"/>
                <w:sz w:val="22"/>
                <w:lang w:eastAsia="cs-CZ"/>
              </w:rPr>
              <w:t>ženy počet</w:t>
            </w:r>
          </w:p>
        </w:tc>
        <w:tc>
          <w:tcPr>
            <w:tcW w:w="931" w:type="dxa"/>
            <w:tcBorders>
              <w:top w:val="double" w:sz="6" w:space="0" w:color="auto"/>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b/>
                <w:sz w:val="20"/>
                <w:szCs w:val="20"/>
                <w:lang w:eastAsia="cs-CZ"/>
              </w:rPr>
            </w:pPr>
            <w:r w:rsidRPr="00044F8A">
              <w:rPr>
                <w:rFonts w:eastAsia="Times New Roman" w:cs="Arial"/>
                <w:b/>
                <w:sz w:val="20"/>
                <w:szCs w:val="20"/>
                <w:lang w:eastAsia="cs-CZ"/>
              </w:rPr>
              <w:t>140 880</w:t>
            </w:r>
          </w:p>
        </w:tc>
        <w:tc>
          <w:tcPr>
            <w:tcW w:w="858" w:type="dxa"/>
            <w:tcBorders>
              <w:top w:val="double" w:sz="6" w:space="0" w:color="auto"/>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b/>
                <w:sz w:val="20"/>
                <w:szCs w:val="20"/>
                <w:lang w:eastAsia="cs-CZ"/>
              </w:rPr>
            </w:pPr>
            <w:r w:rsidRPr="00044F8A">
              <w:rPr>
                <w:rFonts w:eastAsia="Times New Roman" w:cs="Arial"/>
                <w:b/>
                <w:sz w:val="20"/>
                <w:szCs w:val="20"/>
                <w:lang w:eastAsia="cs-CZ"/>
              </w:rPr>
              <w:t>23 500</w:t>
            </w:r>
          </w:p>
        </w:tc>
        <w:tc>
          <w:tcPr>
            <w:tcW w:w="863" w:type="dxa"/>
            <w:tcBorders>
              <w:top w:val="double" w:sz="6" w:space="0" w:color="auto"/>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b/>
                <w:color w:val="000000"/>
                <w:sz w:val="20"/>
                <w:szCs w:val="20"/>
                <w:lang w:eastAsia="cs-CZ"/>
              </w:rPr>
            </w:pPr>
            <w:r w:rsidRPr="00044F8A">
              <w:rPr>
                <w:rFonts w:eastAsia="Times New Roman" w:cs="Arial"/>
                <w:b/>
                <w:color w:val="000000"/>
                <w:sz w:val="20"/>
                <w:szCs w:val="20"/>
                <w:lang w:eastAsia="cs-CZ"/>
              </w:rPr>
              <w:t>41 811</w:t>
            </w:r>
          </w:p>
        </w:tc>
        <w:tc>
          <w:tcPr>
            <w:tcW w:w="931" w:type="dxa"/>
            <w:tcBorders>
              <w:top w:val="double" w:sz="6" w:space="0" w:color="auto"/>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b/>
                <w:color w:val="000000"/>
                <w:sz w:val="20"/>
                <w:szCs w:val="20"/>
                <w:lang w:eastAsia="cs-CZ"/>
              </w:rPr>
            </w:pPr>
            <w:r w:rsidRPr="00044F8A">
              <w:rPr>
                <w:rFonts w:eastAsia="Times New Roman" w:cs="Arial"/>
                <w:b/>
                <w:color w:val="000000"/>
                <w:sz w:val="20"/>
                <w:szCs w:val="20"/>
                <w:lang w:eastAsia="cs-CZ"/>
              </w:rPr>
              <w:t>4 148</w:t>
            </w:r>
          </w:p>
        </w:tc>
        <w:tc>
          <w:tcPr>
            <w:tcW w:w="904" w:type="dxa"/>
            <w:tcBorders>
              <w:top w:val="double" w:sz="6" w:space="0" w:color="auto"/>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b/>
                <w:color w:val="000000"/>
                <w:sz w:val="20"/>
                <w:szCs w:val="20"/>
                <w:lang w:eastAsia="cs-CZ"/>
              </w:rPr>
            </w:pPr>
            <w:r w:rsidRPr="00044F8A">
              <w:rPr>
                <w:rFonts w:eastAsia="Times New Roman" w:cs="Arial"/>
                <w:b/>
                <w:color w:val="000000"/>
                <w:sz w:val="20"/>
                <w:szCs w:val="20"/>
                <w:lang w:eastAsia="cs-CZ"/>
              </w:rPr>
              <w:t>14 403</w:t>
            </w:r>
          </w:p>
        </w:tc>
        <w:tc>
          <w:tcPr>
            <w:tcW w:w="904" w:type="dxa"/>
            <w:tcBorders>
              <w:top w:val="double" w:sz="6" w:space="0" w:color="auto"/>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b/>
                <w:color w:val="000000"/>
                <w:sz w:val="20"/>
                <w:szCs w:val="20"/>
                <w:lang w:eastAsia="cs-CZ"/>
              </w:rPr>
            </w:pPr>
            <w:r w:rsidRPr="00044F8A">
              <w:rPr>
                <w:rFonts w:eastAsia="Times New Roman" w:cs="Arial"/>
                <w:b/>
                <w:color w:val="000000"/>
                <w:sz w:val="20"/>
                <w:szCs w:val="20"/>
                <w:lang w:eastAsia="cs-CZ"/>
              </w:rPr>
              <w:t>47 931</w:t>
            </w:r>
          </w:p>
        </w:tc>
        <w:tc>
          <w:tcPr>
            <w:tcW w:w="904" w:type="dxa"/>
            <w:tcBorders>
              <w:top w:val="double" w:sz="6" w:space="0" w:color="auto"/>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b/>
                <w:color w:val="000000"/>
                <w:sz w:val="20"/>
                <w:szCs w:val="20"/>
                <w:lang w:eastAsia="cs-CZ"/>
              </w:rPr>
            </w:pPr>
            <w:r w:rsidRPr="00044F8A">
              <w:rPr>
                <w:rFonts w:eastAsia="Times New Roman" w:cs="Arial"/>
                <w:b/>
                <w:color w:val="000000"/>
                <w:sz w:val="20"/>
                <w:szCs w:val="20"/>
                <w:lang w:eastAsia="cs-CZ"/>
              </w:rPr>
              <w:t>45 135</w:t>
            </w:r>
          </w:p>
        </w:tc>
        <w:tc>
          <w:tcPr>
            <w:tcW w:w="904" w:type="dxa"/>
            <w:tcBorders>
              <w:top w:val="double" w:sz="6" w:space="0" w:color="auto"/>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eastAsia="Times New Roman" w:cs="Arial"/>
                <w:b/>
                <w:color w:val="000000"/>
                <w:sz w:val="20"/>
                <w:szCs w:val="20"/>
                <w:lang w:eastAsia="cs-CZ"/>
              </w:rPr>
            </w:pPr>
            <w:r w:rsidRPr="00044F8A">
              <w:rPr>
                <w:rFonts w:eastAsia="Times New Roman" w:cs="Arial"/>
                <w:b/>
                <w:color w:val="000000"/>
                <w:sz w:val="20"/>
                <w:szCs w:val="20"/>
                <w:lang w:eastAsia="cs-CZ"/>
              </w:rPr>
              <w:t>51 326</w:t>
            </w:r>
          </w:p>
        </w:tc>
        <w:tc>
          <w:tcPr>
            <w:tcW w:w="904" w:type="dxa"/>
            <w:tcBorders>
              <w:top w:val="double" w:sz="6" w:space="0" w:color="auto"/>
              <w:left w:val="nil"/>
              <w:bottom w:val="single" w:sz="4" w:space="0" w:color="auto"/>
              <w:right w:val="single" w:sz="4" w:space="0" w:color="auto"/>
            </w:tcBorders>
            <w:shd w:val="clear" w:color="auto" w:fill="auto"/>
            <w:noWrap/>
            <w:vAlign w:val="bottom"/>
            <w:hideMark/>
          </w:tcPr>
          <w:p w:rsidR="00044F8A" w:rsidRPr="00D44A1C" w:rsidRDefault="00044F8A" w:rsidP="00044F8A">
            <w:pPr>
              <w:spacing w:before="0" w:after="0"/>
              <w:jc w:val="right"/>
              <w:rPr>
                <w:rFonts w:eastAsia="Times New Roman" w:cs="Arial"/>
                <w:b/>
                <w:i/>
                <w:color w:val="000000"/>
                <w:sz w:val="16"/>
                <w:szCs w:val="20"/>
                <w:lang w:eastAsia="cs-CZ"/>
              </w:rPr>
            </w:pPr>
            <w:r w:rsidRPr="00D44A1C">
              <w:rPr>
                <w:rFonts w:eastAsia="Times New Roman" w:cs="Arial"/>
                <w:b/>
                <w:i/>
                <w:color w:val="000000"/>
                <w:sz w:val="16"/>
                <w:szCs w:val="20"/>
                <w:lang w:eastAsia="cs-CZ"/>
              </w:rPr>
              <w:t>16 331</w:t>
            </w:r>
          </w:p>
        </w:tc>
        <w:tc>
          <w:tcPr>
            <w:tcW w:w="905" w:type="dxa"/>
            <w:tcBorders>
              <w:top w:val="double" w:sz="6" w:space="0" w:color="auto"/>
              <w:left w:val="nil"/>
              <w:bottom w:val="single" w:sz="4" w:space="0" w:color="auto"/>
              <w:right w:val="single" w:sz="4" w:space="0" w:color="auto"/>
            </w:tcBorders>
            <w:shd w:val="clear" w:color="auto" w:fill="auto"/>
            <w:noWrap/>
            <w:vAlign w:val="bottom"/>
            <w:hideMark/>
          </w:tcPr>
          <w:p w:rsidR="00044F8A" w:rsidRPr="00D44A1C" w:rsidRDefault="00044F8A" w:rsidP="00044F8A">
            <w:pPr>
              <w:spacing w:before="0" w:after="0"/>
              <w:jc w:val="right"/>
              <w:rPr>
                <w:rFonts w:eastAsia="Times New Roman" w:cs="Arial"/>
                <w:b/>
                <w:i/>
                <w:color w:val="000000"/>
                <w:sz w:val="16"/>
                <w:szCs w:val="20"/>
                <w:lang w:eastAsia="cs-CZ"/>
              </w:rPr>
            </w:pPr>
            <w:r w:rsidRPr="00D44A1C">
              <w:rPr>
                <w:rFonts w:eastAsia="Times New Roman" w:cs="Arial"/>
                <w:b/>
                <w:i/>
                <w:color w:val="000000"/>
                <w:sz w:val="16"/>
                <w:szCs w:val="20"/>
                <w:lang w:eastAsia="cs-CZ"/>
              </w:rPr>
              <w:t>34 995</w:t>
            </w:r>
          </w:p>
        </w:tc>
      </w:tr>
      <w:tr w:rsidR="00F07EED" w:rsidRPr="00044F8A" w:rsidTr="00F07EED">
        <w:trPr>
          <w:trHeight w:val="301"/>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left"/>
              <w:rPr>
                <w:rFonts w:ascii="Calibri" w:eastAsia="Times New Roman" w:hAnsi="Calibri" w:cs="Times New Roman"/>
                <w:color w:val="000000"/>
                <w:sz w:val="22"/>
                <w:lang w:eastAsia="cs-CZ"/>
              </w:rPr>
            </w:pPr>
            <w:r>
              <w:rPr>
                <w:rFonts w:ascii="Calibri" w:eastAsia="Times New Roman" w:hAnsi="Calibri" w:cs="Times New Roman"/>
                <w:color w:val="000000"/>
                <w:sz w:val="22"/>
                <w:lang w:eastAsia="cs-CZ"/>
              </w:rPr>
              <w:t xml:space="preserve">podíl na </w:t>
            </w:r>
            <w:proofErr w:type="spellStart"/>
            <w:r>
              <w:rPr>
                <w:rFonts w:ascii="Calibri" w:eastAsia="Times New Roman" w:hAnsi="Calibri" w:cs="Times New Roman"/>
                <w:color w:val="000000"/>
                <w:sz w:val="22"/>
                <w:lang w:eastAsia="cs-CZ"/>
              </w:rPr>
              <w:t>sk</w:t>
            </w:r>
            <w:proofErr w:type="spellEnd"/>
            <w:r>
              <w:rPr>
                <w:rStyle w:val="Znakapoznpodarou"/>
                <w:rFonts w:ascii="Calibri" w:eastAsia="Times New Roman" w:hAnsi="Calibri" w:cs="Times New Roman"/>
                <w:color w:val="000000"/>
                <w:sz w:val="22"/>
                <w:lang w:eastAsia="cs-CZ"/>
              </w:rPr>
              <w:footnoteReference w:id="7"/>
            </w:r>
          </w:p>
        </w:tc>
        <w:tc>
          <w:tcPr>
            <w:tcW w:w="931"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ascii="Arial CE" w:eastAsia="Times New Roman" w:hAnsi="Arial CE" w:cs="Arial CE"/>
                <w:sz w:val="20"/>
                <w:szCs w:val="20"/>
                <w:lang w:eastAsia="cs-CZ"/>
              </w:rPr>
            </w:pPr>
            <w:r w:rsidRPr="00044F8A">
              <w:rPr>
                <w:rFonts w:ascii="Arial CE" w:eastAsia="Times New Roman" w:hAnsi="Arial CE" w:cs="Arial CE"/>
                <w:sz w:val="20"/>
                <w:szCs w:val="20"/>
                <w:lang w:eastAsia="cs-CZ"/>
              </w:rPr>
              <w:t>50,20%</w:t>
            </w:r>
          </w:p>
        </w:tc>
        <w:tc>
          <w:tcPr>
            <w:tcW w:w="858"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ascii="Arial CE" w:eastAsia="Times New Roman" w:hAnsi="Arial CE" w:cs="Arial CE"/>
                <w:sz w:val="20"/>
                <w:szCs w:val="20"/>
                <w:lang w:eastAsia="cs-CZ"/>
              </w:rPr>
            </w:pPr>
            <w:r w:rsidRPr="00044F8A">
              <w:rPr>
                <w:rFonts w:ascii="Arial CE" w:eastAsia="Times New Roman" w:hAnsi="Arial CE" w:cs="Arial CE"/>
                <w:sz w:val="20"/>
                <w:szCs w:val="20"/>
                <w:lang w:eastAsia="cs-CZ"/>
              </w:rPr>
              <w:t>51,08%</w:t>
            </w:r>
          </w:p>
        </w:tc>
        <w:tc>
          <w:tcPr>
            <w:tcW w:w="863"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ascii="Arial CE" w:eastAsia="Times New Roman" w:hAnsi="Arial CE" w:cs="Arial CE"/>
                <w:sz w:val="20"/>
                <w:szCs w:val="20"/>
                <w:lang w:eastAsia="cs-CZ"/>
              </w:rPr>
            </w:pPr>
            <w:r w:rsidRPr="00044F8A">
              <w:rPr>
                <w:rFonts w:ascii="Arial CE" w:eastAsia="Times New Roman" w:hAnsi="Arial CE" w:cs="Arial CE"/>
                <w:sz w:val="20"/>
                <w:szCs w:val="20"/>
                <w:lang w:eastAsia="cs-CZ"/>
              </w:rPr>
              <w:t>89,73%</w:t>
            </w:r>
          </w:p>
        </w:tc>
        <w:tc>
          <w:tcPr>
            <w:tcW w:w="931"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ascii="Arial CE" w:eastAsia="Times New Roman" w:hAnsi="Arial CE" w:cs="Arial CE"/>
                <w:sz w:val="20"/>
                <w:szCs w:val="20"/>
                <w:lang w:eastAsia="cs-CZ"/>
              </w:rPr>
            </w:pPr>
            <w:r w:rsidRPr="00044F8A">
              <w:rPr>
                <w:rFonts w:ascii="Arial CE" w:eastAsia="Times New Roman" w:hAnsi="Arial CE" w:cs="Arial CE"/>
                <w:sz w:val="20"/>
                <w:szCs w:val="20"/>
                <w:lang w:eastAsia="cs-CZ"/>
              </w:rPr>
              <w:t>100,00%</w:t>
            </w:r>
          </w:p>
        </w:tc>
        <w:tc>
          <w:tcPr>
            <w:tcW w:w="904"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ascii="Arial CE" w:eastAsia="Times New Roman" w:hAnsi="Arial CE" w:cs="Arial CE"/>
                <w:sz w:val="20"/>
                <w:szCs w:val="20"/>
                <w:lang w:eastAsia="cs-CZ"/>
              </w:rPr>
            </w:pPr>
            <w:r w:rsidRPr="00044F8A">
              <w:rPr>
                <w:rFonts w:ascii="Arial CE" w:eastAsia="Times New Roman" w:hAnsi="Arial CE" w:cs="Arial CE"/>
                <w:sz w:val="20"/>
                <w:szCs w:val="20"/>
                <w:lang w:eastAsia="cs-CZ"/>
              </w:rPr>
              <w:t>46,02%</w:t>
            </w:r>
          </w:p>
        </w:tc>
        <w:tc>
          <w:tcPr>
            <w:tcW w:w="904"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ascii="Arial CE" w:eastAsia="Times New Roman" w:hAnsi="Arial CE" w:cs="Arial CE"/>
                <w:sz w:val="20"/>
                <w:szCs w:val="20"/>
                <w:lang w:eastAsia="cs-CZ"/>
              </w:rPr>
            </w:pPr>
            <w:r w:rsidRPr="00044F8A">
              <w:rPr>
                <w:rFonts w:ascii="Arial CE" w:eastAsia="Times New Roman" w:hAnsi="Arial CE" w:cs="Arial CE"/>
                <w:sz w:val="20"/>
                <w:szCs w:val="20"/>
                <w:lang w:eastAsia="cs-CZ"/>
              </w:rPr>
              <w:t>46,87%</w:t>
            </w:r>
          </w:p>
        </w:tc>
        <w:tc>
          <w:tcPr>
            <w:tcW w:w="904"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ascii="Arial CE" w:eastAsia="Times New Roman" w:hAnsi="Arial CE" w:cs="Arial CE"/>
                <w:sz w:val="20"/>
                <w:szCs w:val="20"/>
                <w:lang w:eastAsia="cs-CZ"/>
              </w:rPr>
            </w:pPr>
            <w:r w:rsidRPr="00044F8A">
              <w:rPr>
                <w:rFonts w:ascii="Arial CE" w:eastAsia="Times New Roman" w:hAnsi="Arial CE" w:cs="Arial CE"/>
                <w:sz w:val="20"/>
                <w:szCs w:val="20"/>
                <w:lang w:eastAsia="cs-CZ"/>
              </w:rPr>
              <w:t>52,51%</w:t>
            </w:r>
          </w:p>
        </w:tc>
        <w:tc>
          <w:tcPr>
            <w:tcW w:w="904"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ascii="Arial CE" w:eastAsia="Times New Roman" w:hAnsi="Arial CE" w:cs="Arial CE"/>
                <w:sz w:val="20"/>
                <w:szCs w:val="20"/>
                <w:lang w:eastAsia="cs-CZ"/>
              </w:rPr>
            </w:pPr>
            <w:r w:rsidRPr="00044F8A">
              <w:rPr>
                <w:rFonts w:ascii="Arial CE" w:eastAsia="Times New Roman" w:hAnsi="Arial CE" w:cs="Arial CE"/>
                <w:sz w:val="20"/>
                <w:szCs w:val="20"/>
                <w:lang w:eastAsia="cs-CZ"/>
              </w:rPr>
              <w:t>54,31%</w:t>
            </w:r>
          </w:p>
        </w:tc>
        <w:tc>
          <w:tcPr>
            <w:tcW w:w="904" w:type="dxa"/>
            <w:tcBorders>
              <w:top w:val="nil"/>
              <w:left w:val="nil"/>
              <w:bottom w:val="single" w:sz="4" w:space="0" w:color="auto"/>
              <w:right w:val="single" w:sz="4" w:space="0" w:color="auto"/>
            </w:tcBorders>
            <w:shd w:val="clear" w:color="auto" w:fill="auto"/>
            <w:noWrap/>
            <w:vAlign w:val="bottom"/>
            <w:hideMark/>
          </w:tcPr>
          <w:p w:rsidR="00044F8A" w:rsidRPr="00D44A1C" w:rsidRDefault="00044F8A" w:rsidP="00044F8A">
            <w:pPr>
              <w:spacing w:before="0" w:after="0"/>
              <w:jc w:val="right"/>
              <w:rPr>
                <w:rFonts w:ascii="Arial CE" w:eastAsia="Times New Roman" w:hAnsi="Arial CE" w:cs="Arial CE"/>
                <w:i/>
                <w:sz w:val="16"/>
                <w:szCs w:val="20"/>
                <w:lang w:eastAsia="cs-CZ"/>
              </w:rPr>
            </w:pPr>
            <w:r w:rsidRPr="00D44A1C">
              <w:rPr>
                <w:rFonts w:ascii="Arial CE" w:eastAsia="Times New Roman" w:hAnsi="Arial CE" w:cs="Arial CE"/>
                <w:i/>
                <w:sz w:val="16"/>
                <w:szCs w:val="20"/>
                <w:lang w:eastAsia="cs-CZ"/>
              </w:rPr>
              <w:t>56,12%</w:t>
            </w:r>
          </w:p>
        </w:tc>
        <w:tc>
          <w:tcPr>
            <w:tcW w:w="905" w:type="dxa"/>
            <w:tcBorders>
              <w:top w:val="nil"/>
              <w:left w:val="nil"/>
              <w:bottom w:val="single" w:sz="4" w:space="0" w:color="auto"/>
              <w:right w:val="single" w:sz="4" w:space="0" w:color="auto"/>
            </w:tcBorders>
            <w:shd w:val="clear" w:color="auto" w:fill="auto"/>
            <w:noWrap/>
            <w:vAlign w:val="bottom"/>
            <w:hideMark/>
          </w:tcPr>
          <w:p w:rsidR="00044F8A" w:rsidRPr="00D44A1C" w:rsidRDefault="00044F8A" w:rsidP="00044F8A">
            <w:pPr>
              <w:spacing w:before="0" w:after="0"/>
              <w:jc w:val="right"/>
              <w:rPr>
                <w:rFonts w:ascii="Arial CE" w:eastAsia="Times New Roman" w:hAnsi="Arial CE" w:cs="Arial CE"/>
                <w:i/>
                <w:sz w:val="16"/>
                <w:szCs w:val="20"/>
                <w:lang w:eastAsia="cs-CZ"/>
              </w:rPr>
            </w:pPr>
            <w:r w:rsidRPr="00D44A1C">
              <w:rPr>
                <w:rFonts w:ascii="Arial CE" w:eastAsia="Times New Roman" w:hAnsi="Arial CE" w:cs="Arial CE"/>
                <w:i/>
                <w:sz w:val="16"/>
                <w:szCs w:val="20"/>
                <w:lang w:eastAsia="cs-CZ"/>
              </w:rPr>
              <w:t>53,50%</w:t>
            </w:r>
          </w:p>
        </w:tc>
      </w:tr>
      <w:tr w:rsidR="00F07EED" w:rsidRPr="00044F8A" w:rsidTr="00F07EED">
        <w:trPr>
          <w:trHeight w:val="301"/>
        </w:trPr>
        <w:tc>
          <w:tcPr>
            <w:tcW w:w="1279" w:type="dxa"/>
            <w:tcBorders>
              <w:top w:val="nil"/>
              <w:left w:val="single" w:sz="4" w:space="0" w:color="auto"/>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left"/>
              <w:rPr>
                <w:rFonts w:ascii="Calibri" w:eastAsia="Times New Roman" w:hAnsi="Calibri" w:cs="Times New Roman"/>
                <w:color w:val="000000"/>
                <w:sz w:val="22"/>
                <w:lang w:eastAsia="cs-CZ"/>
              </w:rPr>
            </w:pPr>
            <w:r w:rsidRPr="00044F8A">
              <w:rPr>
                <w:rFonts w:ascii="Calibri" w:eastAsia="Times New Roman" w:hAnsi="Calibri" w:cs="Times New Roman"/>
                <w:color w:val="000000"/>
                <w:sz w:val="22"/>
                <w:lang w:eastAsia="cs-CZ"/>
              </w:rPr>
              <w:t xml:space="preserve">podíl na </w:t>
            </w:r>
            <w:proofErr w:type="spellStart"/>
            <w:r w:rsidRPr="00044F8A">
              <w:rPr>
                <w:rFonts w:ascii="Calibri" w:eastAsia="Times New Roman" w:hAnsi="Calibri" w:cs="Times New Roman"/>
                <w:color w:val="000000"/>
                <w:sz w:val="22"/>
                <w:lang w:eastAsia="cs-CZ"/>
              </w:rPr>
              <w:t>UoZ</w:t>
            </w:r>
            <w:proofErr w:type="spellEnd"/>
          </w:p>
        </w:tc>
        <w:tc>
          <w:tcPr>
            <w:tcW w:w="931"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ascii="Arial CE" w:eastAsia="Times New Roman" w:hAnsi="Arial CE" w:cs="Arial CE"/>
                <w:sz w:val="20"/>
                <w:szCs w:val="20"/>
                <w:lang w:eastAsia="cs-CZ"/>
              </w:rPr>
            </w:pPr>
            <w:r w:rsidRPr="00044F8A">
              <w:rPr>
                <w:rFonts w:ascii="Arial CE" w:eastAsia="Times New Roman" w:hAnsi="Arial CE" w:cs="Arial CE"/>
                <w:sz w:val="20"/>
                <w:szCs w:val="20"/>
                <w:lang w:eastAsia="cs-CZ"/>
              </w:rPr>
              <w:t>100,00%</w:t>
            </w:r>
          </w:p>
        </w:tc>
        <w:tc>
          <w:tcPr>
            <w:tcW w:w="858"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ascii="Arial CE" w:eastAsia="Times New Roman" w:hAnsi="Arial CE" w:cs="Arial CE"/>
                <w:sz w:val="20"/>
                <w:szCs w:val="20"/>
                <w:lang w:eastAsia="cs-CZ"/>
              </w:rPr>
            </w:pPr>
            <w:r w:rsidRPr="00044F8A">
              <w:rPr>
                <w:rFonts w:ascii="Arial CE" w:eastAsia="Times New Roman" w:hAnsi="Arial CE" w:cs="Arial CE"/>
                <w:sz w:val="20"/>
                <w:szCs w:val="20"/>
                <w:lang w:eastAsia="cs-CZ"/>
              </w:rPr>
              <w:t>16,68%</w:t>
            </w:r>
          </w:p>
        </w:tc>
        <w:tc>
          <w:tcPr>
            <w:tcW w:w="863"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ascii="Calibri" w:eastAsia="Times New Roman" w:hAnsi="Calibri" w:cs="Times New Roman"/>
                <w:color w:val="000000"/>
                <w:sz w:val="22"/>
                <w:lang w:eastAsia="cs-CZ"/>
              </w:rPr>
            </w:pPr>
            <w:r w:rsidRPr="00044F8A">
              <w:rPr>
                <w:rFonts w:ascii="Calibri" w:eastAsia="Times New Roman" w:hAnsi="Calibri" w:cs="Times New Roman"/>
                <w:color w:val="000000"/>
                <w:sz w:val="22"/>
                <w:lang w:eastAsia="cs-CZ"/>
              </w:rPr>
              <w:t>29,68%</w:t>
            </w:r>
          </w:p>
        </w:tc>
        <w:tc>
          <w:tcPr>
            <w:tcW w:w="931"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ascii="Calibri" w:eastAsia="Times New Roman" w:hAnsi="Calibri" w:cs="Times New Roman"/>
                <w:color w:val="000000"/>
                <w:sz w:val="22"/>
                <w:lang w:eastAsia="cs-CZ"/>
              </w:rPr>
            </w:pPr>
            <w:r w:rsidRPr="00044F8A">
              <w:rPr>
                <w:rFonts w:ascii="Calibri" w:eastAsia="Times New Roman" w:hAnsi="Calibri" w:cs="Times New Roman"/>
                <w:color w:val="000000"/>
                <w:sz w:val="22"/>
                <w:lang w:eastAsia="cs-CZ"/>
              </w:rPr>
              <w:t>2,94%</w:t>
            </w:r>
          </w:p>
        </w:tc>
        <w:tc>
          <w:tcPr>
            <w:tcW w:w="904"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ascii="Calibri" w:eastAsia="Times New Roman" w:hAnsi="Calibri" w:cs="Times New Roman"/>
                <w:color w:val="000000"/>
                <w:sz w:val="22"/>
                <w:lang w:eastAsia="cs-CZ"/>
              </w:rPr>
            </w:pPr>
            <w:r w:rsidRPr="00044F8A">
              <w:rPr>
                <w:rFonts w:ascii="Calibri" w:eastAsia="Times New Roman" w:hAnsi="Calibri" w:cs="Times New Roman"/>
                <w:color w:val="000000"/>
                <w:sz w:val="22"/>
                <w:lang w:eastAsia="cs-CZ"/>
              </w:rPr>
              <w:t>10,22%</w:t>
            </w:r>
          </w:p>
        </w:tc>
        <w:tc>
          <w:tcPr>
            <w:tcW w:w="904"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ascii="Calibri" w:eastAsia="Times New Roman" w:hAnsi="Calibri" w:cs="Times New Roman"/>
                <w:color w:val="000000"/>
                <w:sz w:val="22"/>
                <w:lang w:eastAsia="cs-CZ"/>
              </w:rPr>
            </w:pPr>
            <w:r w:rsidRPr="00044F8A">
              <w:rPr>
                <w:rFonts w:ascii="Calibri" w:eastAsia="Times New Roman" w:hAnsi="Calibri" w:cs="Times New Roman"/>
                <w:color w:val="000000"/>
                <w:sz w:val="22"/>
                <w:lang w:eastAsia="cs-CZ"/>
              </w:rPr>
              <w:t>34,02%</w:t>
            </w:r>
          </w:p>
        </w:tc>
        <w:tc>
          <w:tcPr>
            <w:tcW w:w="904"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ascii="Calibri" w:eastAsia="Times New Roman" w:hAnsi="Calibri" w:cs="Times New Roman"/>
                <w:color w:val="000000"/>
                <w:sz w:val="22"/>
                <w:lang w:eastAsia="cs-CZ"/>
              </w:rPr>
            </w:pPr>
            <w:r w:rsidRPr="00044F8A">
              <w:rPr>
                <w:rFonts w:ascii="Calibri" w:eastAsia="Times New Roman" w:hAnsi="Calibri" w:cs="Times New Roman"/>
                <w:color w:val="000000"/>
                <w:sz w:val="22"/>
                <w:lang w:eastAsia="cs-CZ"/>
              </w:rPr>
              <w:t>32,04%</w:t>
            </w:r>
          </w:p>
        </w:tc>
        <w:tc>
          <w:tcPr>
            <w:tcW w:w="904" w:type="dxa"/>
            <w:tcBorders>
              <w:top w:val="nil"/>
              <w:left w:val="nil"/>
              <w:bottom w:val="single" w:sz="4" w:space="0" w:color="auto"/>
              <w:right w:val="single" w:sz="4" w:space="0" w:color="auto"/>
            </w:tcBorders>
            <w:shd w:val="clear" w:color="auto" w:fill="auto"/>
            <w:noWrap/>
            <w:vAlign w:val="bottom"/>
            <w:hideMark/>
          </w:tcPr>
          <w:p w:rsidR="00044F8A" w:rsidRPr="00044F8A" w:rsidRDefault="00044F8A" w:rsidP="00044F8A">
            <w:pPr>
              <w:spacing w:before="0" w:after="0"/>
              <w:jc w:val="right"/>
              <w:rPr>
                <w:rFonts w:ascii="Calibri" w:eastAsia="Times New Roman" w:hAnsi="Calibri" w:cs="Times New Roman"/>
                <w:color w:val="000000"/>
                <w:sz w:val="22"/>
                <w:lang w:eastAsia="cs-CZ"/>
              </w:rPr>
            </w:pPr>
            <w:r w:rsidRPr="00044F8A">
              <w:rPr>
                <w:rFonts w:ascii="Calibri" w:eastAsia="Times New Roman" w:hAnsi="Calibri" w:cs="Times New Roman"/>
                <w:color w:val="000000"/>
                <w:sz w:val="22"/>
                <w:lang w:eastAsia="cs-CZ"/>
              </w:rPr>
              <w:t>36,43%</w:t>
            </w:r>
          </w:p>
        </w:tc>
        <w:tc>
          <w:tcPr>
            <w:tcW w:w="904" w:type="dxa"/>
            <w:tcBorders>
              <w:top w:val="nil"/>
              <w:left w:val="nil"/>
              <w:bottom w:val="single" w:sz="4" w:space="0" w:color="auto"/>
              <w:right w:val="single" w:sz="4" w:space="0" w:color="auto"/>
            </w:tcBorders>
            <w:shd w:val="clear" w:color="auto" w:fill="auto"/>
            <w:noWrap/>
            <w:vAlign w:val="bottom"/>
            <w:hideMark/>
          </w:tcPr>
          <w:p w:rsidR="00044F8A" w:rsidRPr="00D44A1C" w:rsidRDefault="00044F8A" w:rsidP="00044F8A">
            <w:pPr>
              <w:spacing w:before="0" w:after="0"/>
              <w:jc w:val="right"/>
              <w:rPr>
                <w:rFonts w:ascii="Calibri" w:eastAsia="Times New Roman" w:hAnsi="Calibri" w:cs="Times New Roman"/>
                <w:i/>
                <w:color w:val="000000"/>
                <w:sz w:val="16"/>
                <w:lang w:eastAsia="cs-CZ"/>
              </w:rPr>
            </w:pPr>
            <w:r w:rsidRPr="00D44A1C">
              <w:rPr>
                <w:rFonts w:ascii="Calibri" w:eastAsia="Times New Roman" w:hAnsi="Calibri" w:cs="Times New Roman"/>
                <w:i/>
                <w:color w:val="000000"/>
                <w:sz w:val="16"/>
                <w:lang w:eastAsia="cs-CZ"/>
              </w:rPr>
              <w:t>11,59%</w:t>
            </w:r>
          </w:p>
        </w:tc>
        <w:tc>
          <w:tcPr>
            <w:tcW w:w="905" w:type="dxa"/>
            <w:tcBorders>
              <w:top w:val="nil"/>
              <w:left w:val="nil"/>
              <w:bottom w:val="single" w:sz="4" w:space="0" w:color="auto"/>
              <w:right w:val="single" w:sz="4" w:space="0" w:color="auto"/>
            </w:tcBorders>
            <w:shd w:val="clear" w:color="auto" w:fill="auto"/>
            <w:noWrap/>
            <w:vAlign w:val="bottom"/>
            <w:hideMark/>
          </w:tcPr>
          <w:p w:rsidR="00044F8A" w:rsidRPr="00D44A1C" w:rsidRDefault="00044F8A" w:rsidP="00044F8A">
            <w:pPr>
              <w:spacing w:before="0" w:after="0"/>
              <w:jc w:val="right"/>
              <w:rPr>
                <w:rFonts w:ascii="Calibri" w:eastAsia="Times New Roman" w:hAnsi="Calibri" w:cs="Times New Roman"/>
                <w:i/>
                <w:color w:val="000000"/>
                <w:sz w:val="16"/>
                <w:lang w:eastAsia="cs-CZ"/>
              </w:rPr>
            </w:pPr>
            <w:r w:rsidRPr="00D44A1C">
              <w:rPr>
                <w:rFonts w:ascii="Calibri" w:eastAsia="Times New Roman" w:hAnsi="Calibri" w:cs="Times New Roman"/>
                <w:i/>
                <w:color w:val="000000"/>
                <w:sz w:val="16"/>
                <w:lang w:eastAsia="cs-CZ"/>
              </w:rPr>
              <w:t>24,84%</w:t>
            </w:r>
          </w:p>
        </w:tc>
      </w:tr>
    </w:tbl>
    <w:p w:rsidR="00F07EED" w:rsidRDefault="00F07EED" w:rsidP="001D717B">
      <w:pPr>
        <w:pStyle w:val="Titulek"/>
        <w:keepNext/>
        <w:spacing w:after="0"/>
      </w:pPr>
      <w:bookmarkStart w:id="28" w:name="_Ref508358358"/>
      <w:bookmarkStart w:id="29" w:name="_Toc508704223"/>
      <w:r>
        <w:t xml:space="preserve">Tabulka </w:t>
      </w:r>
      <w:r w:rsidR="007B53ED">
        <w:fldChar w:fldCharType="begin"/>
      </w:r>
      <w:r w:rsidR="007B53ED">
        <w:instrText xml:space="preserve"> SEQ Tabulka \* ARABIC </w:instrText>
      </w:r>
      <w:r w:rsidR="007B53ED">
        <w:fldChar w:fldCharType="separate"/>
      </w:r>
      <w:r w:rsidR="00F41CBA">
        <w:rPr>
          <w:noProof/>
        </w:rPr>
        <w:t>5</w:t>
      </w:r>
      <w:r w:rsidR="007B53ED">
        <w:rPr>
          <w:noProof/>
        </w:rPr>
        <w:fldChar w:fldCharType="end"/>
      </w:r>
      <w:bookmarkEnd w:id="28"/>
      <w:r>
        <w:t xml:space="preserve"> Podíly znevýhodněných </w:t>
      </w:r>
      <w:proofErr w:type="spellStart"/>
      <w:r>
        <w:t>UoZ</w:t>
      </w:r>
      <w:proofErr w:type="spellEnd"/>
      <w:r>
        <w:t xml:space="preserve"> na celkovém počtu </w:t>
      </w:r>
      <w:proofErr w:type="spellStart"/>
      <w:r>
        <w:t>UoZ</w:t>
      </w:r>
      <w:proofErr w:type="spellEnd"/>
      <w:r>
        <w:t xml:space="preserve"> v krajích (31. 12. 2017)</w:t>
      </w:r>
      <w:bookmarkEnd w:id="29"/>
    </w:p>
    <w:tbl>
      <w:tblPr>
        <w:tblW w:w="11310" w:type="dxa"/>
        <w:tblInd w:w="-609" w:type="dxa"/>
        <w:tblCellMar>
          <w:left w:w="70" w:type="dxa"/>
          <w:right w:w="70" w:type="dxa"/>
        </w:tblCellMar>
        <w:tblLook w:val="04A0" w:firstRow="1" w:lastRow="0" w:firstColumn="1" w:lastColumn="0" w:noHBand="0" w:noVBand="1"/>
      </w:tblPr>
      <w:tblGrid>
        <w:gridCol w:w="2239"/>
        <w:gridCol w:w="850"/>
        <w:gridCol w:w="851"/>
        <w:gridCol w:w="850"/>
        <w:gridCol w:w="992"/>
        <w:gridCol w:w="851"/>
        <w:gridCol w:w="850"/>
        <w:gridCol w:w="993"/>
        <w:gridCol w:w="850"/>
        <w:gridCol w:w="992"/>
        <w:gridCol w:w="992"/>
      </w:tblGrid>
      <w:tr w:rsidR="00F07EED" w:rsidRPr="00044F8A" w:rsidTr="00563CBE">
        <w:trPr>
          <w:gridAfter w:val="1"/>
          <w:wAfter w:w="992" w:type="dxa"/>
          <w:trHeight w:val="286"/>
        </w:trPr>
        <w:tc>
          <w:tcPr>
            <w:tcW w:w="223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F07EED" w:rsidRPr="00044F8A" w:rsidRDefault="00F07EED" w:rsidP="00D44A1C">
            <w:pPr>
              <w:spacing w:before="0" w:after="0"/>
              <w:jc w:val="center"/>
              <w:rPr>
                <w:rFonts w:eastAsia="Times New Roman" w:cs="Arial"/>
                <w:b/>
                <w:bCs/>
                <w:color w:val="000000"/>
                <w:sz w:val="20"/>
                <w:szCs w:val="20"/>
                <w:lang w:eastAsia="cs-CZ"/>
              </w:rPr>
            </w:pPr>
            <w:r w:rsidRPr="00044F8A">
              <w:rPr>
                <w:rFonts w:eastAsia="Times New Roman" w:cs="Arial"/>
                <w:b/>
                <w:bCs/>
                <w:color w:val="000000"/>
                <w:sz w:val="20"/>
                <w:szCs w:val="20"/>
                <w:lang w:eastAsia="cs-CZ"/>
              </w:rPr>
              <w:t>kraj</w:t>
            </w:r>
          </w:p>
        </w:tc>
        <w:tc>
          <w:tcPr>
            <w:tcW w:w="850" w:type="dxa"/>
            <w:vMerge w:val="restart"/>
            <w:tcBorders>
              <w:top w:val="single" w:sz="8" w:space="0" w:color="auto"/>
              <w:left w:val="nil"/>
              <w:bottom w:val="single" w:sz="4" w:space="0" w:color="auto"/>
              <w:right w:val="single" w:sz="4" w:space="0" w:color="auto"/>
            </w:tcBorders>
            <w:shd w:val="clear" w:color="auto" w:fill="auto"/>
            <w:vAlign w:val="center"/>
            <w:hideMark/>
          </w:tcPr>
          <w:p w:rsidR="00F07EED" w:rsidRPr="00044F8A" w:rsidRDefault="00F07EED" w:rsidP="00D44A1C">
            <w:pPr>
              <w:spacing w:before="0" w:after="0"/>
              <w:jc w:val="center"/>
              <w:rPr>
                <w:rFonts w:eastAsia="Times New Roman" w:cs="Arial"/>
                <w:color w:val="000000"/>
                <w:sz w:val="20"/>
                <w:szCs w:val="20"/>
                <w:lang w:eastAsia="cs-CZ"/>
              </w:rPr>
            </w:pPr>
            <w:r w:rsidRPr="00044F8A">
              <w:rPr>
                <w:rFonts w:eastAsia="Times New Roman" w:cs="Arial"/>
                <w:color w:val="000000"/>
                <w:sz w:val="20"/>
                <w:szCs w:val="20"/>
                <w:lang w:eastAsia="cs-CZ"/>
              </w:rPr>
              <w:t>OZP</w:t>
            </w:r>
          </w:p>
        </w:tc>
        <w:tc>
          <w:tcPr>
            <w:tcW w:w="85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07EED" w:rsidRPr="00044F8A" w:rsidRDefault="00F07EED" w:rsidP="00D44A1C">
            <w:pPr>
              <w:spacing w:before="0" w:after="0"/>
              <w:jc w:val="center"/>
              <w:rPr>
                <w:rFonts w:eastAsia="Times New Roman" w:cs="Arial"/>
                <w:color w:val="000000"/>
                <w:sz w:val="20"/>
                <w:szCs w:val="20"/>
                <w:lang w:eastAsia="cs-CZ"/>
              </w:rPr>
            </w:pPr>
            <w:r w:rsidRPr="00044F8A">
              <w:rPr>
                <w:rFonts w:eastAsia="Times New Roman" w:cs="Arial"/>
                <w:color w:val="000000"/>
                <w:sz w:val="16"/>
                <w:szCs w:val="20"/>
                <w:lang w:eastAsia="cs-CZ"/>
              </w:rPr>
              <w:t>pečující o děti do 15 let</w:t>
            </w:r>
          </w:p>
        </w:tc>
        <w:tc>
          <w:tcPr>
            <w:tcW w:w="85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07EED" w:rsidRPr="00044F8A" w:rsidRDefault="00F07EED" w:rsidP="00D44A1C">
            <w:pPr>
              <w:spacing w:before="0" w:after="0"/>
              <w:jc w:val="center"/>
              <w:rPr>
                <w:rFonts w:eastAsia="Times New Roman" w:cs="Arial"/>
                <w:color w:val="000000"/>
                <w:sz w:val="20"/>
                <w:szCs w:val="20"/>
                <w:lang w:eastAsia="cs-CZ"/>
              </w:rPr>
            </w:pPr>
            <w:r w:rsidRPr="00044F8A">
              <w:rPr>
                <w:rFonts w:eastAsia="Times New Roman" w:cs="Arial"/>
                <w:color w:val="000000"/>
                <w:sz w:val="16"/>
                <w:szCs w:val="20"/>
                <w:lang w:eastAsia="cs-CZ"/>
              </w:rPr>
              <w:t>těhotné kojící, do 9m po porodu</w:t>
            </w:r>
          </w:p>
        </w:tc>
        <w:tc>
          <w:tcPr>
            <w:tcW w:w="99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07EED" w:rsidRPr="00044F8A" w:rsidRDefault="00F07EED" w:rsidP="00D44A1C">
            <w:pPr>
              <w:spacing w:before="0" w:after="0"/>
              <w:jc w:val="center"/>
              <w:rPr>
                <w:rFonts w:eastAsia="Times New Roman" w:cs="Arial"/>
                <w:color w:val="000000"/>
                <w:sz w:val="20"/>
                <w:szCs w:val="20"/>
                <w:lang w:eastAsia="cs-CZ"/>
              </w:rPr>
            </w:pPr>
            <w:r w:rsidRPr="00044F8A">
              <w:rPr>
                <w:rFonts w:eastAsia="Times New Roman" w:cs="Arial"/>
                <w:color w:val="000000"/>
                <w:sz w:val="20"/>
                <w:szCs w:val="20"/>
                <w:lang w:eastAsia="cs-CZ"/>
              </w:rPr>
              <w:t>do 25 let</w:t>
            </w:r>
          </w:p>
        </w:tc>
        <w:tc>
          <w:tcPr>
            <w:tcW w:w="85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07EED" w:rsidRPr="00044F8A" w:rsidRDefault="00F07EED" w:rsidP="00D44A1C">
            <w:pPr>
              <w:spacing w:before="0" w:after="0"/>
              <w:jc w:val="center"/>
              <w:rPr>
                <w:rFonts w:eastAsia="Times New Roman" w:cs="Arial"/>
                <w:color w:val="000000"/>
                <w:sz w:val="20"/>
                <w:szCs w:val="20"/>
                <w:lang w:eastAsia="cs-CZ"/>
              </w:rPr>
            </w:pPr>
            <w:r w:rsidRPr="00044F8A">
              <w:rPr>
                <w:rFonts w:eastAsia="Times New Roman" w:cs="Arial"/>
                <w:color w:val="000000"/>
                <w:sz w:val="20"/>
                <w:szCs w:val="20"/>
                <w:lang w:eastAsia="cs-CZ"/>
              </w:rPr>
              <w:t>nad 50 let</w:t>
            </w:r>
          </w:p>
        </w:tc>
        <w:tc>
          <w:tcPr>
            <w:tcW w:w="85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07EED" w:rsidRPr="00044F8A" w:rsidRDefault="00F07EED" w:rsidP="00D44A1C">
            <w:pPr>
              <w:spacing w:before="0" w:after="0"/>
              <w:jc w:val="center"/>
              <w:rPr>
                <w:rFonts w:eastAsia="Times New Roman" w:cs="Arial"/>
                <w:color w:val="000000"/>
                <w:sz w:val="20"/>
                <w:szCs w:val="20"/>
                <w:lang w:eastAsia="cs-CZ"/>
              </w:rPr>
            </w:pPr>
            <w:proofErr w:type="gramStart"/>
            <w:r>
              <w:rPr>
                <w:rFonts w:eastAsia="Times New Roman" w:cs="Arial"/>
                <w:color w:val="000000"/>
                <w:sz w:val="20"/>
                <w:szCs w:val="20"/>
                <w:lang w:eastAsia="cs-CZ"/>
              </w:rPr>
              <w:t xml:space="preserve">max. </w:t>
            </w:r>
            <w:r w:rsidRPr="00044F8A">
              <w:rPr>
                <w:rFonts w:eastAsia="Times New Roman" w:cs="Arial"/>
                <w:color w:val="000000"/>
                <w:sz w:val="20"/>
                <w:szCs w:val="20"/>
                <w:lang w:eastAsia="cs-CZ"/>
              </w:rPr>
              <w:t xml:space="preserve"> ZŠ</w:t>
            </w:r>
            <w:proofErr w:type="gramEnd"/>
          </w:p>
        </w:tc>
        <w:tc>
          <w:tcPr>
            <w:tcW w:w="2835" w:type="dxa"/>
            <w:gridSpan w:val="3"/>
            <w:tcBorders>
              <w:top w:val="single" w:sz="8" w:space="0" w:color="auto"/>
              <w:left w:val="nil"/>
              <w:bottom w:val="nil"/>
              <w:right w:val="single" w:sz="8" w:space="0" w:color="000000"/>
            </w:tcBorders>
            <w:shd w:val="clear" w:color="auto" w:fill="auto"/>
            <w:vAlign w:val="center"/>
            <w:hideMark/>
          </w:tcPr>
          <w:p w:rsidR="00F07EED" w:rsidRPr="00044F8A" w:rsidRDefault="00F07EED" w:rsidP="00D44A1C">
            <w:pPr>
              <w:spacing w:before="0" w:after="0"/>
              <w:jc w:val="center"/>
              <w:rPr>
                <w:rFonts w:eastAsia="Times New Roman" w:cs="Arial"/>
                <w:color w:val="000000"/>
                <w:sz w:val="20"/>
                <w:szCs w:val="20"/>
                <w:lang w:eastAsia="cs-CZ"/>
              </w:rPr>
            </w:pPr>
            <w:r w:rsidRPr="00044F8A">
              <w:rPr>
                <w:rFonts w:eastAsia="Times New Roman" w:cs="Arial"/>
                <w:color w:val="000000"/>
                <w:sz w:val="20"/>
                <w:szCs w:val="20"/>
                <w:lang w:eastAsia="cs-CZ"/>
              </w:rPr>
              <w:t>evidence nad 12 M</w:t>
            </w:r>
          </w:p>
        </w:tc>
      </w:tr>
      <w:tr w:rsidR="00F07EED" w:rsidRPr="00044F8A" w:rsidTr="00D44A1C">
        <w:trPr>
          <w:gridAfter w:val="1"/>
          <w:wAfter w:w="992" w:type="dxa"/>
          <w:trHeight w:val="229"/>
        </w:trPr>
        <w:tc>
          <w:tcPr>
            <w:tcW w:w="2239" w:type="dxa"/>
            <w:vMerge/>
            <w:tcBorders>
              <w:top w:val="nil"/>
              <w:left w:val="single" w:sz="8" w:space="0" w:color="auto"/>
              <w:bottom w:val="double" w:sz="6" w:space="0" w:color="auto"/>
              <w:right w:val="single" w:sz="4" w:space="0" w:color="auto"/>
            </w:tcBorders>
            <w:vAlign w:val="center"/>
            <w:hideMark/>
          </w:tcPr>
          <w:p w:rsidR="00F07EED" w:rsidRPr="00044F8A" w:rsidRDefault="00F07EED" w:rsidP="00D44A1C">
            <w:pPr>
              <w:spacing w:before="0" w:after="0"/>
              <w:jc w:val="left"/>
              <w:rPr>
                <w:rFonts w:eastAsia="Times New Roman" w:cs="Arial"/>
                <w:b/>
                <w:bCs/>
                <w:color w:val="000000"/>
                <w:sz w:val="20"/>
                <w:szCs w:val="20"/>
                <w:lang w:eastAsia="cs-CZ"/>
              </w:rPr>
            </w:pPr>
          </w:p>
        </w:tc>
        <w:tc>
          <w:tcPr>
            <w:tcW w:w="850" w:type="dxa"/>
            <w:vMerge/>
            <w:tcBorders>
              <w:top w:val="nil"/>
              <w:left w:val="nil"/>
              <w:bottom w:val="double" w:sz="6" w:space="0" w:color="auto"/>
              <w:right w:val="single" w:sz="4" w:space="0" w:color="auto"/>
            </w:tcBorders>
            <w:vAlign w:val="center"/>
            <w:hideMark/>
          </w:tcPr>
          <w:p w:rsidR="00F07EED" w:rsidRPr="00044F8A" w:rsidRDefault="00F07EED" w:rsidP="00D44A1C">
            <w:pPr>
              <w:spacing w:before="0" w:after="0"/>
              <w:jc w:val="left"/>
              <w:rPr>
                <w:rFonts w:eastAsia="Times New Roman" w:cs="Arial"/>
                <w:color w:val="000000"/>
                <w:sz w:val="20"/>
                <w:szCs w:val="20"/>
                <w:lang w:eastAsia="cs-CZ"/>
              </w:rPr>
            </w:pPr>
          </w:p>
        </w:tc>
        <w:tc>
          <w:tcPr>
            <w:tcW w:w="851" w:type="dxa"/>
            <w:vMerge/>
            <w:tcBorders>
              <w:top w:val="nil"/>
              <w:left w:val="single" w:sz="4" w:space="0" w:color="auto"/>
              <w:bottom w:val="double" w:sz="6" w:space="0" w:color="auto"/>
              <w:right w:val="single" w:sz="4" w:space="0" w:color="auto"/>
            </w:tcBorders>
            <w:vAlign w:val="center"/>
            <w:hideMark/>
          </w:tcPr>
          <w:p w:rsidR="00F07EED" w:rsidRPr="00044F8A" w:rsidRDefault="00F07EED" w:rsidP="00D44A1C">
            <w:pPr>
              <w:spacing w:before="0" w:after="0"/>
              <w:jc w:val="left"/>
              <w:rPr>
                <w:rFonts w:eastAsia="Times New Roman" w:cs="Arial"/>
                <w:color w:val="000000"/>
                <w:sz w:val="20"/>
                <w:szCs w:val="20"/>
                <w:lang w:eastAsia="cs-CZ"/>
              </w:rPr>
            </w:pPr>
          </w:p>
        </w:tc>
        <w:tc>
          <w:tcPr>
            <w:tcW w:w="850" w:type="dxa"/>
            <w:vMerge/>
            <w:tcBorders>
              <w:top w:val="nil"/>
              <w:left w:val="single" w:sz="4" w:space="0" w:color="auto"/>
              <w:bottom w:val="double" w:sz="6" w:space="0" w:color="auto"/>
              <w:right w:val="single" w:sz="4" w:space="0" w:color="auto"/>
            </w:tcBorders>
            <w:vAlign w:val="center"/>
            <w:hideMark/>
          </w:tcPr>
          <w:p w:rsidR="00F07EED" w:rsidRPr="00044F8A" w:rsidRDefault="00F07EED" w:rsidP="00D44A1C">
            <w:pPr>
              <w:spacing w:before="0" w:after="0"/>
              <w:jc w:val="left"/>
              <w:rPr>
                <w:rFonts w:eastAsia="Times New Roman" w:cs="Arial"/>
                <w:color w:val="000000"/>
                <w:sz w:val="20"/>
                <w:szCs w:val="20"/>
                <w:lang w:eastAsia="cs-CZ"/>
              </w:rPr>
            </w:pPr>
          </w:p>
        </w:tc>
        <w:tc>
          <w:tcPr>
            <w:tcW w:w="992" w:type="dxa"/>
            <w:vMerge/>
            <w:tcBorders>
              <w:top w:val="nil"/>
              <w:left w:val="single" w:sz="4" w:space="0" w:color="auto"/>
              <w:bottom w:val="double" w:sz="6" w:space="0" w:color="auto"/>
              <w:right w:val="single" w:sz="4" w:space="0" w:color="auto"/>
            </w:tcBorders>
            <w:vAlign w:val="center"/>
            <w:hideMark/>
          </w:tcPr>
          <w:p w:rsidR="00F07EED" w:rsidRPr="00044F8A" w:rsidRDefault="00F07EED" w:rsidP="00D44A1C">
            <w:pPr>
              <w:spacing w:before="0" w:after="0"/>
              <w:jc w:val="left"/>
              <w:rPr>
                <w:rFonts w:eastAsia="Times New Roman" w:cs="Arial"/>
                <w:color w:val="000000"/>
                <w:sz w:val="20"/>
                <w:szCs w:val="20"/>
                <w:lang w:eastAsia="cs-CZ"/>
              </w:rPr>
            </w:pPr>
          </w:p>
        </w:tc>
        <w:tc>
          <w:tcPr>
            <w:tcW w:w="851" w:type="dxa"/>
            <w:vMerge/>
            <w:tcBorders>
              <w:top w:val="nil"/>
              <w:left w:val="single" w:sz="4" w:space="0" w:color="auto"/>
              <w:bottom w:val="double" w:sz="6" w:space="0" w:color="auto"/>
              <w:right w:val="single" w:sz="4" w:space="0" w:color="auto"/>
            </w:tcBorders>
            <w:vAlign w:val="center"/>
            <w:hideMark/>
          </w:tcPr>
          <w:p w:rsidR="00F07EED" w:rsidRPr="00044F8A" w:rsidRDefault="00F07EED" w:rsidP="00D44A1C">
            <w:pPr>
              <w:spacing w:before="0" w:after="0"/>
              <w:jc w:val="left"/>
              <w:rPr>
                <w:rFonts w:eastAsia="Times New Roman" w:cs="Arial"/>
                <w:color w:val="000000"/>
                <w:sz w:val="20"/>
                <w:szCs w:val="20"/>
                <w:lang w:eastAsia="cs-CZ"/>
              </w:rPr>
            </w:pPr>
          </w:p>
        </w:tc>
        <w:tc>
          <w:tcPr>
            <w:tcW w:w="850" w:type="dxa"/>
            <w:vMerge/>
            <w:tcBorders>
              <w:top w:val="nil"/>
              <w:left w:val="single" w:sz="4" w:space="0" w:color="auto"/>
              <w:bottom w:val="double" w:sz="6" w:space="0" w:color="auto"/>
              <w:right w:val="single" w:sz="4" w:space="0" w:color="auto"/>
            </w:tcBorders>
            <w:vAlign w:val="center"/>
            <w:hideMark/>
          </w:tcPr>
          <w:p w:rsidR="00F07EED" w:rsidRPr="00044F8A" w:rsidRDefault="00F07EED" w:rsidP="00D44A1C">
            <w:pPr>
              <w:spacing w:before="0" w:after="0"/>
              <w:jc w:val="left"/>
              <w:rPr>
                <w:rFonts w:eastAsia="Times New Roman" w:cs="Arial"/>
                <w:color w:val="000000"/>
                <w:sz w:val="20"/>
                <w:szCs w:val="20"/>
                <w:lang w:eastAsia="cs-CZ"/>
              </w:rPr>
            </w:pPr>
          </w:p>
        </w:tc>
        <w:tc>
          <w:tcPr>
            <w:tcW w:w="993" w:type="dxa"/>
            <w:tcBorders>
              <w:top w:val="nil"/>
              <w:left w:val="nil"/>
              <w:bottom w:val="double" w:sz="6" w:space="0" w:color="auto"/>
              <w:right w:val="single" w:sz="4" w:space="0" w:color="auto"/>
            </w:tcBorders>
            <w:shd w:val="clear" w:color="auto" w:fill="auto"/>
            <w:vAlign w:val="center"/>
            <w:hideMark/>
          </w:tcPr>
          <w:p w:rsidR="00F07EED" w:rsidRPr="00044F8A" w:rsidRDefault="00F07EED" w:rsidP="00D44A1C">
            <w:pPr>
              <w:spacing w:before="0" w:after="0"/>
              <w:jc w:val="center"/>
              <w:rPr>
                <w:rFonts w:eastAsia="Times New Roman" w:cs="Arial"/>
                <w:color w:val="000000"/>
                <w:sz w:val="20"/>
                <w:szCs w:val="20"/>
                <w:lang w:eastAsia="cs-CZ"/>
              </w:rPr>
            </w:pPr>
            <w:r w:rsidRPr="00044F8A">
              <w:rPr>
                <w:rFonts w:eastAsia="Times New Roman" w:cs="Arial"/>
                <w:color w:val="000000"/>
                <w:sz w:val="20"/>
                <w:szCs w:val="20"/>
                <w:lang w:eastAsia="cs-CZ"/>
              </w:rPr>
              <w:t> </w:t>
            </w:r>
          </w:p>
        </w:tc>
        <w:tc>
          <w:tcPr>
            <w:tcW w:w="850" w:type="dxa"/>
            <w:tcBorders>
              <w:top w:val="single" w:sz="4" w:space="0" w:color="auto"/>
              <w:left w:val="nil"/>
              <w:bottom w:val="double" w:sz="6" w:space="0" w:color="auto"/>
              <w:right w:val="single" w:sz="4" w:space="0" w:color="auto"/>
            </w:tcBorders>
            <w:shd w:val="clear" w:color="auto" w:fill="auto"/>
            <w:vAlign w:val="center"/>
            <w:hideMark/>
          </w:tcPr>
          <w:p w:rsidR="00F07EED" w:rsidRPr="00044F8A" w:rsidRDefault="00F07EED" w:rsidP="00D44A1C">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12M-24M</w:t>
            </w:r>
          </w:p>
        </w:tc>
        <w:tc>
          <w:tcPr>
            <w:tcW w:w="992" w:type="dxa"/>
            <w:tcBorders>
              <w:top w:val="single" w:sz="4" w:space="0" w:color="auto"/>
              <w:left w:val="nil"/>
              <w:bottom w:val="double" w:sz="6" w:space="0" w:color="auto"/>
              <w:right w:val="single" w:sz="8" w:space="0" w:color="auto"/>
            </w:tcBorders>
            <w:shd w:val="clear" w:color="auto" w:fill="auto"/>
            <w:vAlign w:val="center"/>
            <w:hideMark/>
          </w:tcPr>
          <w:p w:rsidR="00F07EED" w:rsidRPr="00044F8A" w:rsidRDefault="00F07EED" w:rsidP="00D44A1C">
            <w:pPr>
              <w:spacing w:before="0" w:after="0"/>
              <w:jc w:val="center"/>
              <w:rPr>
                <w:rFonts w:eastAsia="Times New Roman" w:cs="Arial"/>
                <w:i/>
                <w:iCs/>
                <w:color w:val="000000"/>
                <w:sz w:val="16"/>
                <w:szCs w:val="16"/>
                <w:lang w:eastAsia="cs-CZ"/>
              </w:rPr>
            </w:pPr>
            <w:r w:rsidRPr="00044F8A">
              <w:rPr>
                <w:rFonts w:eastAsia="Times New Roman" w:cs="Arial"/>
                <w:i/>
                <w:iCs/>
                <w:color w:val="000000"/>
                <w:sz w:val="16"/>
                <w:szCs w:val="16"/>
                <w:lang w:eastAsia="cs-CZ"/>
              </w:rPr>
              <w:t>nad 24M</w:t>
            </w:r>
          </w:p>
        </w:tc>
      </w:tr>
      <w:tr w:rsidR="00D44A1C" w:rsidRPr="00044F8A" w:rsidTr="00D44A1C">
        <w:trPr>
          <w:gridAfter w:val="1"/>
          <w:wAfter w:w="992" w:type="dxa"/>
          <w:trHeight w:val="314"/>
        </w:trPr>
        <w:tc>
          <w:tcPr>
            <w:tcW w:w="2239"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D44A1C" w:rsidRPr="00044F8A" w:rsidRDefault="00D44A1C" w:rsidP="00D44A1C">
            <w:pPr>
              <w:spacing w:before="0" w:after="0"/>
              <w:jc w:val="left"/>
              <w:rPr>
                <w:rFonts w:eastAsia="Times New Roman" w:cs="Arial"/>
                <w:b/>
                <w:bCs/>
                <w:color w:val="000000"/>
                <w:sz w:val="20"/>
                <w:szCs w:val="20"/>
                <w:lang w:eastAsia="cs-CZ"/>
              </w:rPr>
            </w:pPr>
            <w:r w:rsidRPr="00044F8A">
              <w:rPr>
                <w:rFonts w:eastAsia="Times New Roman" w:cs="Arial"/>
                <w:b/>
                <w:bCs/>
                <w:color w:val="000000"/>
                <w:sz w:val="20"/>
                <w:szCs w:val="20"/>
                <w:lang w:eastAsia="cs-CZ"/>
              </w:rPr>
              <w:t xml:space="preserve"> ČR</w:t>
            </w:r>
          </w:p>
        </w:tc>
        <w:tc>
          <w:tcPr>
            <w:tcW w:w="850" w:type="dxa"/>
            <w:tcBorders>
              <w:top w:val="double" w:sz="6" w:space="0" w:color="auto"/>
              <w:left w:val="single" w:sz="4" w:space="0" w:color="auto"/>
              <w:bottom w:val="double" w:sz="6" w:space="0" w:color="auto"/>
              <w:right w:val="single" w:sz="8" w:space="0" w:color="auto"/>
            </w:tcBorders>
            <w:shd w:val="clear" w:color="auto" w:fill="auto"/>
            <w:noWrap/>
            <w:vAlign w:val="bottom"/>
          </w:tcPr>
          <w:p w:rsidR="00D44A1C" w:rsidRDefault="00D44A1C" w:rsidP="00D44A1C">
            <w:pPr>
              <w:spacing w:before="0" w:after="0"/>
              <w:jc w:val="right"/>
              <w:rPr>
                <w:rFonts w:cs="Arial"/>
                <w:b/>
                <w:bCs/>
                <w:color w:val="000000"/>
                <w:sz w:val="20"/>
                <w:szCs w:val="20"/>
              </w:rPr>
            </w:pPr>
            <w:r>
              <w:rPr>
                <w:rFonts w:cs="Arial"/>
                <w:b/>
                <w:bCs/>
                <w:color w:val="000000"/>
                <w:sz w:val="20"/>
                <w:szCs w:val="20"/>
              </w:rPr>
              <w:t>16,40%</w:t>
            </w:r>
          </w:p>
        </w:tc>
        <w:tc>
          <w:tcPr>
            <w:tcW w:w="851" w:type="dxa"/>
            <w:tcBorders>
              <w:top w:val="double" w:sz="6" w:space="0" w:color="auto"/>
              <w:left w:val="single" w:sz="4" w:space="0" w:color="auto"/>
              <w:bottom w:val="double" w:sz="6" w:space="0" w:color="auto"/>
              <w:right w:val="single" w:sz="8" w:space="0" w:color="auto"/>
            </w:tcBorders>
            <w:shd w:val="clear" w:color="auto" w:fill="auto"/>
            <w:noWrap/>
            <w:vAlign w:val="bottom"/>
          </w:tcPr>
          <w:p w:rsidR="00D44A1C" w:rsidRDefault="00D44A1C" w:rsidP="00D44A1C">
            <w:pPr>
              <w:spacing w:before="0" w:after="0"/>
              <w:jc w:val="right"/>
              <w:rPr>
                <w:rFonts w:cs="Arial"/>
                <w:b/>
                <w:bCs/>
                <w:color w:val="000000"/>
                <w:sz w:val="20"/>
                <w:szCs w:val="20"/>
              </w:rPr>
            </w:pPr>
            <w:r>
              <w:rPr>
                <w:rFonts w:cs="Arial"/>
                <w:b/>
                <w:bCs/>
                <w:color w:val="000000"/>
                <w:sz w:val="20"/>
                <w:szCs w:val="20"/>
              </w:rPr>
              <w:t>16,60%</w:t>
            </w:r>
          </w:p>
        </w:tc>
        <w:tc>
          <w:tcPr>
            <w:tcW w:w="850" w:type="dxa"/>
            <w:tcBorders>
              <w:top w:val="double" w:sz="6" w:space="0" w:color="auto"/>
              <w:left w:val="single" w:sz="4" w:space="0" w:color="auto"/>
              <w:bottom w:val="double" w:sz="6" w:space="0" w:color="auto"/>
              <w:right w:val="single" w:sz="8" w:space="0" w:color="auto"/>
            </w:tcBorders>
            <w:shd w:val="clear" w:color="auto" w:fill="auto"/>
            <w:noWrap/>
            <w:vAlign w:val="bottom"/>
          </w:tcPr>
          <w:p w:rsidR="00D44A1C" w:rsidRDefault="00D44A1C" w:rsidP="00D44A1C">
            <w:pPr>
              <w:spacing w:before="0" w:after="0"/>
              <w:jc w:val="right"/>
              <w:rPr>
                <w:rFonts w:cs="Arial"/>
                <w:b/>
                <w:bCs/>
                <w:color w:val="000000"/>
                <w:sz w:val="20"/>
                <w:szCs w:val="20"/>
              </w:rPr>
            </w:pPr>
            <w:r>
              <w:rPr>
                <w:rFonts w:cs="Arial"/>
                <w:b/>
                <w:bCs/>
                <w:color w:val="000000"/>
                <w:sz w:val="20"/>
                <w:szCs w:val="20"/>
              </w:rPr>
              <w:t>1,48%</w:t>
            </w:r>
          </w:p>
        </w:tc>
        <w:tc>
          <w:tcPr>
            <w:tcW w:w="992" w:type="dxa"/>
            <w:tcBorders>
              <w:top w:val="double" w:sz="6" w:space="0" w:color="auto"/>
              <w:left w:val="single" w:sz="4" w:space="0" w:color="auto"/>
              <w:bottom w:val="double" w:sz="6" w:space="0" w:color="auto"/>
              <w:right w:val="single" w:sz="8" w:space="0" w:color="auto"/>
            </w:tcBorders>
            <w:shd w:val="clear" w:color="auto" w:fill="auto"/>
            <w:noWrap/>
            <w:vAlign w:val="bottom"/>
          </w:tcPr>
          <w:p w:rsidR="00D44A1C" w:rsidRDefault="00D44A1C" w:rsidP="00D44A1C">
            <w:pPr>
              <w:spacing w:before="0" w:after="0"/>
              <w:jc w:val="right"/>
              <w:rPr>
                <w:rFonts w:cs="Arial"/>
                <w:b/>
                <w:bCs/>
                <w:color w:val="000000"/>
                <w:sz w:val="20"/>
                <w:szCs w:val="20"/>
              </w:rPr>
            </w:pPr>
            <w:r>
              <w:rPr>
                <w:rFonts w:cs="Arial"/>
                <w:b/>
                <w:bCs/>
                <w:color w:val="000000"/>
                <w:sz w:val="20"/>
                <w:szCs w:val="20"/>
              </w:rPr>
              <w:t>11,15%</w:t>
            </w:r>
          </w:p>
        </w:tc>
        <w:tc>
          <w:tcPr>
            <w:tcW w:w="851" w:type="dxa"/>
            <w:tcBorders>
              <w:top w:val="double" w:sz="6" w:space="0" w:color="auto"/>
              <w:left w:val="single" w:sz="4" w:space="0" w:color="auto"/>
              <w:bottom w:val="double" w:sz="6" w:space="0" w:color="auto"/>
              <w:right w:val="single" w:sz="8" w:space="0" w:color="auto"/>
            </w:tcBorders>
            <w:shd w:val="clear" w:color="auto" w:fill="auto"/>
            <w:noWrap/>
            <w:vAlign w:val="bottom"/>
          </w:tcPr>
          <w:p w:rsidR="00D44A1C" w:rsidRDefault="00D44A1C" w:rsidP="00D44A1C">
            <w:pPr>
              <w:spacing w:before="0" w:after="0"/>
              <w:jc w:val="right"/>
              <w:rPr>
                <w:rFonts w:cs="Arial"/>
                <w:b/>
                <w:bCs/>
                <w:color w:val="000000"/>
                <w:sz w:val="20"/>
                <w:szCs w:val="20"/>
              </w:rPr>
            </w:pPr>
            <w:r>
              <w:rPr>
                <w:rFonts w:cs="Arial"/>
                <w:b/>
                <w:bCs/>
                <w:color w:val="000000"/>
                <w:sz w:val="20"/>
                <w:szCs w:val="20"/>
              </w:rPr>
              <w:t>36,44%</w:t>
            </w:r>
          </w:p>
        </w:tc>
        <w:tc>
          <w:tcPr>
            <w:tcW w:w="850" w:type="dxa"/>
            <w:tcBorders>
              <w:top w:val="double" w:sz="6" w:space="0" w:color="auto"/>
              <w:left w:val="single" w:sz="4" w:space="0" w:color="auto"/>
              <w:bottom w:val="double" w:sz="6" w:space="0" w:color="auto"/>
              <w:right w:val="single" w:sz="8" w:space="0" w:color="auto"/>
            </w:tcBorders>
            <w:shd w:val="clear" w:color="auto" w:fill="auto"/>
            <w:noWrap/>
            <w:vAlign w:val="bottom"/>
          </w:tcPr>
          <w:p w:rsidR="00D44A1C" w:rsidRDefault="00D44A1C" w:rsidP="00D44A1C">
            <w:pPr>
              <w:spacing w:before="0" w:after="0"/>
              <w:jc w:val="right"/>
              <w:rPr>
                <w:rFonts w:cs="Arial"/>
                <w:b/>
                <w:bCs/>
                <w:color w:val="000000"/>
                <w:sz w:val="20"/>
                <w:szCs w:val="20"/>
              </w:rPr>
            </w:pPr>
            <w:r>
              <w:rPr>
                <w:rFonts w:cs="Arial"/>
                <w:b/>
                <w:bCs/>
                <w:color w:val="000000"/>
                <w:sz w:val="20"/>
                <w:szCs w:val="20"/>
              </w:rPr>
              <w:t>30,63%</w:t>
            </w:r>
          </w:p>
        </w:tc>
        <w:tc>
          <w:tcPr>
            <w:tcW w:w="993" w:type="dxa"/>
            <w:tcBorders>
              <w:top w:val="double" w:sz="6" w:space="0" w:color="auto"/>
              <w:left w:val="single" w:sz="4" w:space="0" w:color="auto"/>
              <w:bottom w:val="double" w:sz="6" w:space="0" w:color="auto"/>
              <w:right w:val="nil"/>
            </w:tcBorders>
            <w:shd w:val="clear" w:color="auto" w:fill="auto"/>
            <w:noWrap/>
            <w:vAlign w:val="bottom"/>
          </w:tcPr>
          <w:p w:rsidR="00D44A1C" w:rsidRDefault="00D44A1C" w:rsidP="00D44A1C">
            <w:pPr>
              <w:spacing w:before="0" w:after="0"/>
              <w:jc w:val="right"/>
              <w:rPr>
                <w:rFonts w:cs="Arial"/>
                <w:b/>
                <w:bCs/>
                <w:color w:val="000000"/>
                <w:sz w:val="20"/>
                <w:szCs w:val="20"/>
              </w:rPr>
            </w:pPr>
            <w:r>
              <w:rPr>
                <w:rFonts w:cs="Arial"/>
                <w:b/>
                <w:bCs/>
                <w:color w:val="000000"/>
                <w:sz w:val="20"/>
                <w:szCs w:val="20"/>
              </w:rPr>
              <w:t>33,68%</w:t>
            </w:r>
          </w:p>
        </w:tc>
        <w:tc>
          <w:tcPr>
            <w:tcW w:w="850" w:type="dxa"/>
            <w:tcBorders>
              <w:top w:val="double" w:sz="6" w:space="0" w:color="auto"/>
              <w:left w:val="single" w:sz="4" w:space="0" w:color="auto"/>
              <w:bottom w:val="double" w:sz="6" w:space="0" w:color="auto"/>
              <w:right w:val="single" w:sz="4" w:space="0" w:color="auto"/>
            </w:tcBorders>
            <w:shd w:val="clear" w:color="auto" w:fill="auto"/>
            <w:noWrap/>
            <w:vAlign w:val="bottom"/>
          </w:tcPr>
          <w:p w:rsidR="00D44A1C" w:rsidRDefault="00D44A1C" w:rsidP="00D44A1C">
            <w:pPr>
              <w:spacing w:before="0" w:after="0"/>
              <w:jc w:val="right"/>
              <w:rPr>
                <w:rFonts w:cs="Arial"/>
                <w:b/>
                <w:bCs/>
                <w:i/>
                <w:iCs/>
                <w:color w:val="000000"/>
                <w:sz w:val="16"/>
                <w:szCs w:val="16"/>
              </w:rPr>
            </w:pPr>
            <w:r>
              <w:rPr>
                <w:rFonts w:cs="Arial"/>
                <w:b/>
                <w:bCs/>
                <w:i/>
                <w:iCs/>
                <w:color w:val="000000"/>
                <w:sz w:val="16"/>
                <w:szCs w:val="16"/>
              </w:rPr>
              <w:t>10,37%</w:t>
            </w:r>
          </w:p>
        </w:tc>
        <w:tc>
          <w:tcPr>
            <w:tcW w:w="992" w:type="dxa"/>
            <w:tcBorders>
              <w:top w:val="double" w:sz="6" w:space="0" w:color="auto"/>
              <w:left w:val="single" w:sz="4" w:space="0" w:color="auto"/>
              <w:bottom w:val="double" w:sz="6" w:space="0" w:color="auto"/>
              <w:right w:val="single" w:sz="8" w:space="0" w:color="auto"/>
            </w:tcBorders>
            <w:shd w:val="clear" w:color="auto" w:fill="auto"/>
            <w:noWrap/>
            <w:vAlign w:val="bottom"/>
          </w:tcPr>
          <w:p w:rsidR="00D44A1C" w:rsidRDefault="00D44A1C" w:rsidP="00D44A1C">
            <w:pPr>
              <w:spacing w:before="0" w:after="0"/>
              <w:jc w:val="right"/>
              <w:rPr>
                <w:rFonts w:cs="Arial"/>
                <w:b/>
                <w:bCs/>
                <w:i/>
                <w:iCs/>
                <w:color w:val="000000"/>
                <w:sz w:val="16"/>
                <w:szCs w:val="16"/>
              </w:rPr>
            </w:pPr>
            <w:r>
              <w:rPr>
                <w:rFonts w:cs="Arial"/>
                <w:b/>
                <w:bCs/>
                <w:i/>
                <w:iCs/>
                <w:color w:val="000000"/>
                <w:sz w:val="16"/>
                <w:szCs w:val="16"/>
              </w:rPr>
              <w:t>23,31%</w:t>
            </w:r>
          </w:p>
        </w:tc>
      </w:tr>
      <w:tr w:rsidR="00D44A1C" w:rsidRPr="00044F8A" w:rsidTr="00D44A1C">
        <w:trPr>
          <w:gridAfter w:val="1"/>
          <w:wAfter w:w="992" w:type="dxa"/>
          <w:trHeight w:val="301"/>
        </w:trPr>
        <w:tc>
          <w:tcPr>
            <w:tcW w:w="2239" w:type="dxa"/>
            <w:tcBorders>
              <w:top w:val="nil"/>
              <w:left w:val="single" w:sz="8" w:space="0" w:color="auto"/>
              <w:bottom w:val="single" w:sz="4" w:space="0" w:color="auto"/>
              <w:right w:val="single" w:sz="4" w:space="0" w:color="auto"/>
            </w:tcBorders>
            <w:shd w:val="clear" w:color="auto" w:fill="auto"/>
            <w:noWrap/>
            <w:vAlign w:val="bottom"/>
            <w:hideMark/>
          </w:tcPr>
          <w:p w:rsidR="00D44A1C" w:rsidRPr="00044F8A" w:rsidRDefault="00D44A1C" w:rsidP="00D44A1C">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Praha</w:t>
            </w:r>
          </w:p>
        </w:tc>
        <w:tc>
          <w:tcPr>
            <w:tcW w:w="850"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9,96%</w:t>
            </w:r>
          </w:p>
        </w:tc>
        <w:tc>
          <w:tcPr>
            <w:tcW w:w="851"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11,31%</w:t>
            </w:r>
          </w:p>
        </w:tc>
        <w:tc>
          <w:tcPr>
            <w:tcW w:w="850"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0,95%</w:t>
            </w:r>
          </w:p>
        </w:tc>
        <w:tc>
          <w:tcPr>
            <w:tcW w:w="992"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8,60%</w:t>
            </w:r>
          </w:p>
        </w:tc>
        <w:tc>
          <w:tcPr>
            <w:tcW w:w="851" w:type="dxa"/>
            <w:tcBorders>
              <w:top w:val="single" w:sz="4" w:space="0" w:color="000000"/>
              <w:left w:val="nil"/>
              <w:bottom w:val="single" w:sz="4" w:space="0" w:color="000000"/>
              <w:right w:val="nil"/>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32,52%</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21,04%</w:t>
            </w:r>
          </w:p>
        </w:tc>
        <w:tc>
          <w:tcPr>
            <w:tcW w:w="993" w:type="dxa"/>
            <w:tcBorders>
              <w:top w:val="nil"/>
              <w:left w:val="nil"/>
              <w:bottom w:val="single" w:sz="4" w:space="0" w:color="auto"/>
              <w:right w:val="nil"/>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30,17%</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i/>
                <w:iCs/>
                <w:color w:val="9C0006"/>
                <w:sz w:val="16"/>
                <w:szCs w:val="16"/>
              </w:rPr>
            </w:pPr>
            <w:r>
              <w:rPr>
                <w:rFonts w:cs="Arial"/>
                <w:i/>
                <w:iCs/>
                <w:color w:val="9C0006"/>
                <w:sz w:val="16"/>
                <w:szCs w:val="16"/>
              </w:rPr>
              <w:t>11,75%</w:t>
            </w:r>
          </w:p>
        </w:tc>
        <w:tc>
          <w:tcPr>
            <w:tcW w:w="992" w:type="dxa"/>
            <w:tcBorders>
              <w:top w:val="nil"/>
              <w:left w:val="nil"/>
              <w:bottom w:val="single" w:sz="4" w:space="0" w:color="auto"/>
              <w:right w:val="single" w:sz="8" w:space="0" w:color="auto"/>
            </w:tcBorders>
            <w:shd w:val="clear" w:color="auto" w:fill="auto"/>
            <w:noWrap/>
            <w:vAlign w:val="bottom"/>
          </w:tcPr>
          <w:p w:rsidR="00D44A1C" w:rsidRDefault="00D44A1C" w:rsidP="00D44A1C">
            <w:pPr>
              <w:spacing w:before="0" w:after="0"/>
              <w:jc w:val="right"/>
              <w:rPr>
                <w:rFonts w:cs="Arial"/>
                <w:i/>
                <w:iCs/>
                <w:color w:val="000000"/>
                <w:sz w:val="16"/>
                <w:szCs w:val="16"/>
              </w:rPr>
            </w:pPr>
            <w:r>
              <w:rPr>
                <w:rFonts w:cs="Arial"/>
                <w:i/>
                <w:iCs/>
                <w:color w:val="000000"/>
                <w:sz w:val="16"/>
                <w:szCs w:val="16"/>
              </w:rPr>
              <w:t>18,43%</w:t>
            </w:r>
          </w:p>
        </w:tc>
      </w:tr>
      <w:tr w:rsidR="00D44A1C" w:rsidRPr="00044F8A" w:rsidTr="00D44A1C">
        <w:trPr>
          <w:gridAfter w:val="1"/>
          <w:wAfter w:w="992" w:type="dxa"/>
          <w:trHeight w:val="286"/>
        </w:trPr>
        <w:tc>
          <w:tcPr>
            <w:tcW w:w="2239" w:type="dxa"/>
            <w:tcBorders>
              <w:top w:val="nil"/>
              <w:left w:val="single" w:sz="8" w:space="0" w:color="auto"/>
              <w:bottom w:val="single" w:sz="4" w:space="0" w:color="auto"/>
              <w:right w:val="single" w:sz="4" w:space="0" w:color="auto"/>
            </w:tcBorders>
            <w:shd w:val="clear" w:color="auto" w:fill="auto"/>
            <w:noWrap/>
            <w:vAlign w:val="bottom"/>
            <w:hideMark/>
          </w:tcPr>
          <w:p w:rsidR="00D44A1C" w:rsidRPr="00044F8A" w:rsidRDefault="00D44A1C" w:rsidP="00D44A1C">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SČK</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14,86%</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18,78%</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1,54%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11,99%</w:t>
            </w:r>
          </w:p>
        </w:tc>
        <w:tc>
          <w:tcPr>
            <w:tcW w:w="851" w:type="dxa"/>
            <w:tcBorders>
              <w:top w:val="nil"/>
              <w:left w:val="nil"/>
              <w:bottom w:val="single" w:sz="4" w:space="0" w:color="000000"/>
              <w:right w:val="nil"/>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35,34%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29,57%</w:t>
            </w:r>
          </w:p>
        </w:tc>
        <w:tc>
          <w:tcPr>
            <w:tcW w:w="993" w:type="dxa"/>
            <w:tcBorders>
              <w:top w:val="nil"/>
              <w:left w:val="single" w:sz="4" w:space="0" w:color="auto"/>
              <w:bottom w:val="single" w:sz="4" w:space="0" w:color="auto"/>
              <w:right w:val="nil"/>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31,37%</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i/>
                <w:iCs/>
                <w:color w:val="000000"/>
                <w:sz w:val="16"/>
                <w:szCs w:val="16"/>
              </w:rPr>
            </w:pPr>
            <w:r>
              <w:rPr>
                <w:rFonts w:cs="Arial"/>
                <w:i/>
                <w:iCs/>
                <w:color w:val="000000"/>
                <w:sz w:val="16"/>
                <w:szCs w:val="16"/>
              </w:rPr>
              <w:t>10,25%</w:t>
            </w:r>
          </w:p>
        </w:tc>
        <w:tc>
          <w:tcPr>
            <w:tcW w:w="992" w:type="dxa"/>
            <w:tcBorders>
              <w:top w:val="single" w:sz="4" w:space="0" w:color="auto"/>
              <w:left w:val="nil"/>
              <w:bottom w:val="single" w:sz="4" w:space="0" w:color="auto"/>
              <w:right w:val="single" w:sz="8" w:space="0" w:color="auto"/>
            </w:tcBorders>
            <w:shd w:val="clear" w:color="auto" w:fill="auto"/>
            <w:noWrap/>
            <w:vAlign w:val="bottom"/>
          </w:tcPr>
          <w:p w:rsidR="00D44A1C" w:rsidRDefault="00D44A1C" w:rsidP="00D44A1C">
            <w:pPr>
              <w:spacing w:before="0" w:after="0"/>
              <w:jc w:val="right"/>
              <w:rPr>
                <w:rFonts w:cs="Arial"/>
                <w:i/>
                <w:iCs/>
                <w:color w:val="000000"/>
                <w:sz w:val="16"/>
                <w:szCs w:val="16"/>
              </w:rPr>
            </w:pPr>
            <w:r>
              <w:rPr>
                <w:rFonts w:cs="Arial"/>
                <w:i/>
                <w:iCs/>
                <w:color w:val="000000"/>
                <w:sz w:val="16"/>
                <w:szCs w:val="16"/>
              </w:rPr>
              <w:t>21,12%</w:t>
            </w:r>
          </w:p>
        </w:tc>
      </w:tr>
      <w:tr w:rsidR="00D44A1C" w:rsidRPr="00044F8A" w:rsidTr="00D44A1C">
        <w:trPr>
          <w:gridAfter w:val="1"/>
          <w:wAfter w:w="992" w:type="dxa"/>
          <w:trHeight w:val="286"/>
        </w:trPr>
        <w:tc>
          <w:tcPr>
            <w:tcW w:w="2239" w:type="dxa"/>
            <w:tcBorders>
              <w:top w:val="nil"/>
              <w:left w:val="single" w:sz="8" w:space="0" w:color="auto"/>
              <w:bottom w:val="single" w:sz="4" w:space="0" w:color="auto"/>
              <w:right w:val="single" w:sz="4" w:space="0" w:color="auto"/>
            </w:tcBorders>
            <w:shd w:val="clear" w:color="auto" w:fill="auto"/>
            <w:noWrap/>
            <w:vAlign w:val="bottom"/>
            <w:hideMark/>
          </w:tcPr>
          <w:p w:rsidR="00D44A1C" w:rsidRPr="00044F8A" w:rsidRDefault="00D44A1C" w:rsidP="00D44A1C">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JČK</w:t>
            </w:r>
          </w:p>
        </w:tc>
        <w:tc>
          <w:tcPr>
            <w:tcW w:w="850"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18,17%</w:t>
            </w:r>
          </w:p>
        </w:tc>
        <w:tc>
          <w:tcPr>
            <w:tcW w:w="851"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15,71%</w:t>
            </w:r>
          </w:p>
        </w:tc>
        <w:tc>
          <w:tcPr>
            <w:tcW w:w="850"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1,59%</w:t>
            </w:r>
          </w:p>
        </w:tc>
        <w:tc>
          <w:tcPr>
            <w:tcW w:w="992"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11,40%</w:t>
            </w:r>
          </w:p>
        </w:tc>
        <w:tc>
          <w:tcPr>
            <w:tcW w:w="851" w:type="dxa"/>
            <w:tcBorders>
              <w:top w:val="nil"/>
              <w:left w:val="nil"/>
              <w:bottom w:val="single" w:sz="4" w:space="0" w:color="000000"/>
              <w:right w:val="nil"/>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37,07%</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26,19%</w:t>
            </w:r>
          </w:p>
        </w:tc>
        <w:tc>
          <w:tcPr>
            <w:tcW w:w="993" w:type="dxa"/>
            <w:tcBorders>
              <w:top w:val="nil"/>
              <w:left w:val="single" w:sz="4" w:space="0" w:color="auto"/>
              <w:bottom w:val="single" w:sz="4" w:space="0" w:color="auto"/>
              <w:right w:val="nil"/>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22,12%</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i/>
                <w:iCs/>
                <w:color w:val="000000"/>
                <w:sz w:val="16"/>
                <w:szCs w:val="16"/>
              </w:rPr>
            </w:pPr>
            <w:r>
              <w:rPr>
                <w:rFonts w:cs="Arial"/>
                <w:i/>
                <w:iCs/>
                <w:color w:val="000000"/>
                <w:sz w:val="16"/>
                <w:szCs w:val="16"/>
              </w:rPr>
              <w:t>8,41%</w:t>
            </w:r>
          </w:p>
        </w:tc>
        <w:tc>
          <w:tcPr>
            <w:tcW w:w="992" w:type="dxa"/>
            <w:tcBorders>
              <w:top w:val="nil"/>
              <w:left w:val="nil"/>
              <w:bottom w:val="single" w:sz="4" w:space="0" w:color="auto"/>
              <w:right w:val="single" w:sz="8" w:space="0" w:color="auto"/>
            </w:tcBorders>
            <w:shd w:val="clear" w:color="auto" w:fill="auto"/>
            <w:noWrap/>
            <w:vAlign w:val="bottom"/>
          </w:tcPr>
          <w:p w:rsidR="00D44A1C" w:rsidRDefault="00D44A1C" w:rsidP="00D44A1C">
            <w:pPr>
              <w:spacing w:before="0" w:after="0"/>
              <w:jc w:val="right"/>
              <w:rPr>
                <w:rFonts w:cs="Arial"/>
                <w:i/>
                <w:iCs/>
                <w:color w:val="000000"/>
                <w:sz w:val="16"/>
                <w:szCs w:val="16"/>
              </w:rPr>
            </w:pPr>
            <w:r>
              <w:rPr>
                <w:rFonts w:cs="Arial"/>
                <w:i/>
                <w:iCs/>
                <w:color w:val="000000"/>
                <w:sz w:val="16"/>
                <w:szCs w:val="16"/>
              </w:rPr>
              <w:t>13,70%</w:t>
            </w:r>
          </w:p>
        </w:tc>
      </w:tr>
      <w:tr w:rsidR="00D44A1C" w:rsidRPr="00044F8A" w:rsidTr="00D44A1C">
        <w:trPr>
          <w:gridAfter w:val="1"/>
          <w:wAfter w:w="992" w:type="dxa"/>
          <w:trHeight w:val="286"/>
        </w:trPr>
        <w:tc>
          <w:tcPr>
            <w:tcW w:w="2239" w:type="dxa"/>
            <w:tcBorders>
              <w:top w:val="nil"/>
              <w:left w:val="single" w:sz="8" w:space="0" w:color="auto"/>
              <w:bottom w:val="single" w:sz="4" w:space="0" w:color="auto"/>
              <w:right w:val="single" w:sz="4" w:space="0" w:color="auto"/>
            </w:tcBorders>
            <w:shd w:val="clear" w:color="auto" w:fill="auto"/>
            <w:noWrap/>
            <w:vAlign w:val="bottom"/>
            <w:hideMark/>
          </w:tcPr>
          <w:p w:rsidR="00D44A1C" w:rsidRPr="00044F8A" w:rsidRDefault="00D44A1C" w:rsidP="00D44A1C">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PLK</w:t>
            </w:r>
          </w:p>
        </w:tc>
        <w:tc>
          <w:tcPr>
            <w:tcW w:w="850"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20,87%</w:t>
            </w:r>
          </w:p>
        </w:tc>
        <w:tc>
          <w:tcPr>
            <w:tcW w:w="851"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17,28%</w:t>
            </w:r>
          </w:p>
        </w:tc>
        <w:tc>
          <w:tcPr>
            <w:tcW w:w="850"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1,73%</w:t>
            </w:r>
          </w:p>
        </w:tc>
        <w:tc>
          <w:tcPr>
            <w:tcW w:w="992"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10,73%</w:t>
            </w:r>
          </w:p>
        </w:tc>
        <w:tc>
          <w:tcPr>
            <w:tcW w:w="851" w:type="dxa"/>
            <w:tcBorders>
              <w:top w:val="nil"/>
              <w:left w:val="nil"/>
              <w:bottom w:val="single" w:sz="4" w:space="0" w:color="000000"/>
              <w:right w:val="nil"/>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38,57%</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30,04%</w:t>
            </w:r>
          </w:p>
        </w:tc>
        <w:tc>
          <w:tcPr>
            <w:tcW w:w="993" w:type="dxa"/>
            <w:tcBorders>
              <w:top w:val="nil"/>
              <w:left w:val="single" w:sz="4" w:space="0" w:color="auto"/>
              <w:bottom w:val="single" w:sz="4" w:space="0" w:color="auto"/>
              <w:right w:val="nil"/>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25,60%</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i/>
                <w:iCs/>
                <w:color w:val="000000"/>
                <w:sz w:val="16"/>
                <w:szCs w:val="16"/>
              </w:rPr>
            </w:pPr>
            <w:r>
              <w:rPr>
                <w:rFonts w:cs="Arial"/>
                <w:i/>
                <w:iCs/>
                <w:color w:val="000000"/>
                <w:sz w:val="16"/>
                <w:szCs w:val="16"/>
              </w:rPr>
              <w:t>7,76%</w:t>
            </w:r>
          </w:p>
        </w:tc>
        <w:tc>
          <w:tcPr>
            <w:tcW w:w="992" w:type="dxa"/>
            <w:tcBorders>
              <w:top w:val="nil"/>
              <w:left w:val="nil"/>
              <w:bottom w:val="single" w:sz="4" w:space="0" w:color="auto"/>
              <w:right w:val="single" w:sz="8" w:space="0" w:color="auto"/>
            </w:tcBorders>
            <w:shd w:val="clear" w:color="auto" w:fill="auto"/>
            <w:noWrap/>
            <w:vAlign w:val="bottom"/>
          </w:tcPr>
          <w:p w:rsidR="00D44A1C" w:rsidRDefault="00D44A1C" w:rsidP="00D44A1C">
            <w:pPr>
              <w:spacing w:before="0" w:after="0"/>
              <w:jc w:val="right"/>
              <w:rPr>
                <w:rFonts w:cs="Arial"/>
                <w:i/>
                <w:iCs/>
                <w:color w:val="000000"/>
                <w:sz w:val="16"/>
                <w:szCs w:val="16"/>
              </w:rPr>
            </w:pPr>
            <w:r>
              <w:rPr>
                <w:rFonts w:cs="Arial"/>
                <w:i/>
                <w:iCs/>
                <w:color w:val="000000"/>
                <w:sz w:val="16"/>
                <w:szCs w:val="16"/>
              </w:rPr>
              <w:t>17,84%</w:t>
            </w:r>
          </w:p>
        </w:tc>
      </w:tr>
      <w:tr w:rsidR="00D44A1C" w:rsidRPr="00044F8A" w:rsidTr="00D44A1C">
        <w:trPr>
          <w:gridAfter w:val="1"/>
          <w:wAfter w:w="992" w:type="dxa"/>
          <w:trHeight w:val="286"/>
        </w:trPr>
        <w:tc>
          <w:tcPr>
            <w:tcW w:w="2239" w:type="dxa"/>
            <w:tcBorders>
              <w:top w:val="nil"/>
              <w:left w:val="single" w:sz="8" w:space="0" w:color="auto"/>
              <w:bottom w:val="single" w:sz="4" w:space="0" w:color="auto"/>
              <w:right w:val="single" w:sz="4" w:space="0" w:color="auto"/>
            </w:tcBorders>
            <w:shd w:val="clear" w:color="auto" w:fill="auto"/>
            <w:noWrap/>
            <w:vAlign w:val="bottom"/>
            <w:hideMark/>
          </w:tcPr>
          <w:p w:rsidR="00D44A1C" w:rsidRPr="00044F8A" w:rsidRDefault="00D44A1C" w:rsidP="00D44A1C">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KVK</w:t>
            </w:r>
          </w:p>
        </w:tc>
        <w:tc>
          <w:tcPr>
            <w:tcW w:w="850"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12,01%</w:t>
            </w:r>
          </w:p>
        </w:tc>
        <w:tc>
          <w:tcPr>
            <w:tcW w:w="851"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20,27%</w:t>
            </w:r>
          </w:p>
        </w:tc>
        <w:tc>
          <w:tcPr>
            <w:tcW w:w="850"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1,90%</w:t>
            </w:r>
          </w:p>
        </w:tc>
        <w:tc>
          <w:tcPr>
            <w:tcW w:w="992"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11,19%</w:t>
            </w:r>
          </w:p>
        </w:tc>
        <w:tc>
          <w:tcPr>
            <w:tcW w:w="851" w:type="dxa"/>
            <w:tcBorders>
              <w:top w:val="nil"/>
              <w:left w:val="nil"/>
              <w:bottom w:val="single" w:sz="4" w:space="0" w:color="000000"/>
              <w:right w:val="nil"/>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37,35%</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53,10%</w:t>
            </w:r>
          </w:p>
        </w:tc>
        <w:tc>
          <w:tcPr>
            <w:tcW w:w="993" w:type="dxa"/>
            <w:tcBorders>
              <w:top w:val="nil"/>
              <w:left w:val="single" w:sz="4" w:space="0" w:color="auto"/>
              <w:bottom w:val="single" w:sz="4" w:space="0" w:color="auto"/>
              <w:right w:val="nil"/>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36,67%</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i/>
                <w:iCs/>
                <w:color w:val="000000"/>
                <w:sz w:val="16"/>
                <w:szCs w:val="16"/>
              </w:rPr>
            </w:pPr>
            <w:r>
              <w:rPr>
                <w:rFonts w:cs="Arial"/>
                <w:i/>
                <w:iCs/>
                <w:color w:val="000000"/>
                <w:sz w:val="16"/>
                <w:szCs w:val="16"/>
              </w:rPr>
              <w:t>9,20%</w:t>
            </w:r>
          </w:p>
        </w:tc>
        <w:tc>
          <w:tcPr>
            <w:tcW w:w="992" w:type="dxa"/>
            <w:tcBorders>
              <w:top w:val="nil"/>
              <w:left w:val="nil"/>
              <w:bottom w:val="single" w:sz="4" w:space="0" w:color="auto"/>
              <w:right w:val="single" w:sz="8" w:space="0" w:color="auto"/>
            </w:tcBorders>
            <w:shd w:val="clear" w:color="auto" w:fill="auto"/>
            <w:noWrap/>
            <w:vAlign w:val="bottom"/>
          </w:tcPr>
          <w:p w:rsidR="00D44A1C" w:rsidRDefault="00D44A1C" w:rsidP="00D44A1C">
            <w:pPr>
              <w:spacing w:before="0" w:after="0"/>
              <w:jc w:val="right"/>
              <w:rPr>
                <w:rFonts w:cs="Arial"/>
                <w:i/>
                <w:iCs/>
                <w:color w:val="9C0006"/>
                <w:sz w:val="16"/>
                <w:szCs w:val="16"/>
              </w:rPr>
            </w:pPr>
            <w:r>
              <w:rPr>
                <w:rFonts w:cs="Arial"/>
                <w:i/>
                <w:iCs/>
                <w:color w:val="9C0006"/>
                <w:sz w:val="16"/>
                <w:szCs w:val="16"/>
              </w:rPr>
              <w:t>27,47%</w:t>
            </w:r>
          </w:p>
        </w:tc>
      </w:tr>
      <w:tr w:rsidR="00D44A1C" w:rsidRPr="00044F8A" w:rsidTr="00D44A1C">
        <w:trPr>
          <w:gridAfter w:val="1"/>
          <w:wAfter w:w="992" w:type="dxa"/>
          <w:trHeight w:val="286"/>
        </w:trPr>
        <w:tc>
          <w:tcPr>
            <w:tcW w:w="2239" w:type="dxa"/>
            <w:tcBorders>
              <w:top w:val="nil"/>
              <w:left w:val="single" w:sz="8" w:space="0" w:color="auto"/>
              <w:bottom w:val="single" w:sz="4" w:space="0" w:color="auto"/>
              <w:right w:val="single" w:sz="4" w:space="0" w:color="auto"/>
            </w:tcBorders>
            <w:shd w:val="clear" w:color="auto" w:fill="auto"/>
            <w:noWrap/>
            <w:vAlign w:val="bottom"/>
            <w:hideMark/>
          </w:tcPr>
          <w:p w:rsidR="00D44A1C" w:rsidRPr="00044F8A" w:rsidRDefault="00D44A1C" w:rsidP="00D44A1C">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ULK</w:t>
            </w:r>
          </w:p>
        </w:tc>
        <w:tc>
          <w:tcPr>
            <w:tcW w:w="850"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17,28%</w:t>
            </w:r>
          </w:p>
        </w:tc>
        <w:tc>
          <w:tcPr>
            <w:tcW w:w="851"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18,81%</w:t>
            </w:r>
          </w:p>
        </w:tc>
        <w:tc>
          <w:tcPr>
            <w:tcW w:w="850"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1,69%</w:t>
            </w:r>
          </w:p>
        </w:tc>
        <w:tc>
          <w:tcPr>
            <w:tcW w:w="992"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12,74%</w:t>
            </w:r>
          </w:p>
        </w:tc>
        <w:tc>
          <w:tcPr>
            <w:tcW w:w="851" w:type="dxa"/>
            <w:tcBorders>
              <w:top w:val="nil"/>
              <w:left w:val="nil"/>
              <w:bottom w:val="single" w:sz="4" w:space="0" w:color="000000"/>
              <w:right w:val="nil"/>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34,15%</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47,79%</w:t>
            </w:r>
          </w:p>
        </w:tc>
        <w:tc>
          <w:tcPr>
            <w:tcW w:w="993" w:type="dxa"/>
            <w:tcBorders>
              <w:top w:val="nil"/>
              <w:left w:val="single" w:sz="4" w:space="0" w:color="auto"/>
              <w:bottom w:val="single" w:sz="4" w:space="0" w:color="auto"/>
              <w:right w:val="nil"/>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40,73%</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i/>
                <w:iCs/>
                <w:color w:val="9C0006"/>
                <w:sz w:val="16"/>
                <w:szCs w:val="16"/>
              </w:rPr>
            </w:pPr>
            <w:r>
              <w:rPr>
                <w:rFonts w:cs="Arial"/>
                <w:i/>
                <w:iCs/>
                <w:color w:val="9C0006"/>
                <w:sz w:val="16"/>
                <w:szCs w:val="16"/>
              </w:rPr>
              <w:t>11,79%</w:t>
            </w:r>
          </w:p>
        </w:tc>
        <w:tc>
          <w:tcPr>
            <w:tcW w:w="992" w:type="dxa"/>
            <w:tcBorders>
              <w:top w:val="nil"/>
              <w:left w:val="nil"/>
              <w:bottom w:val="single" w:sz="4" w:space="0" w:color="auto"/>
              <w:right w:val="single" w:sz="8" w:space="0" w:color="auto"/>
            </w:tcBorders>
            <w:shd w:val="clear" w:color="auto" w:fill="auto"/>
            <w:noWrap/>
            <w:vAlign w:val="bottom"/>
          </w:tcPr>
          <w:p w:rsidR="00D44A1C" w:rsidRDefault="00D44A1C" w:rsidP="00D44A1C">
            <w:pPr>
              <w:spacing w:before="0" w:after="0"/>
              <w:jc w:val="right"/>
              <w:rPr>
                <w:rFonts w:cs="Arial"/>
                <w:i/>
                <w:iCs/>
                <w:color w:val="9C0006"/>
                <w:sz w:val="16"/>
                <w:szCs w:val="16"/>
              </w:rPr>
            </w:pPr>
            <w:r>
              <w:rPr>
                <w:rFonts w:cs="Arial"/>
                <w:i/>
                <w:iCs/>
                <w:color w:val="9C0006"/>
                <w:sz w:val="16"/>
                <w:szCs w:val="16"/>
              </w:rPr>
              <w:t>28,93%</w:t>
            </w:r>
          </w:p>
        </w:tc>
      </w:tr>
      <w:tr w:rsidR="00D44A1C" w:rsidRPr="00044F8A" w:rsidTr="00D44A1C">
        <w:trPr>
          <w:gridAfter w:val="1"/>
          <w:wAfter w:w="992" w:type="dxa"/>
          <w:trHeight w:val="286"/>
        </w:trPr>
        <w:tc>
          <w:tcPr>
            <w:tcW w:w="2239" w:type="dxa"/>
            <w:tcBorders>
              <w:top w:val="nil"/>
              <w:left w:val="single" w:sz="8" w:space="0" w:color="auto"/>
              <w:bottom w:val="single" w:sz="4" w:space="0" w:color="auto"/>
              <w:right w:val="single" w:sz="4" w:space="0" w:color="auto"/>
            </w:tcBorders>
            <w:shd w:val="clear" w:color="auto" w:fill="auto"/>
            <w:noWrap/>
            <w:vAlign w:val="bottom"/>
            <w:hideMark/>
          </w:tcPr>
          <w:p w:rsidR="00D44A1C" w:rsidRPr="00044F8A" w:rsidRDefault="00D44A1C" w:rsidP="00D44A1C">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LBK</w:t>
            </w:r>
          </w:p>
        </w:tc>
        <w:tc>
          <w:tcPr>
            <w:tcW w:w="850"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16,00%</w:t>
            </w:r>
          </w:p>
        </w:tc>
        <w:tc>
          <w:tcPr>
            <w:tcW w:w="851"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19,22%</w:t>
            </w:r>
          </w:p>
        </w:tc>
        <w:tc>
          <w:tcPr>
            <w:tcW w:w="850"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1,56%</w:t>
            </w:r>
          </w:p>
        </w:tc>
        <w:tc>
          <w:tcPr>
            <w:tcW w:w="992"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12,77%</w:t>
            </w:r>
          </w:p>
        </w:tc>
        <w:tc>
          <w:tcPr>
            <w:tcW w:w="851" w:type="dxa"/>
            <w:tcBorders>
              <w:top w:val="nil"/>
              <w:left w:val="nil"/>
              <w:bottom w:val="single" w:sz="4" w:space="0" w:color="000000"/>
              <w:right w:val="nil"/>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33,40%</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33,61%</w:t>
            </w:r>
          </w:p>
        </w:tc>
        <w:tc>
          <w:tcPr>
            <w:tcW w:w="993" w:type="dxa"/>
            <w:tcBorders>
              <w:top w:val="nil"/>
              <w:left w:val="single" w:sz="4" w:space="0" w:color="auto"/>
              <w:bottom w:val="single" w:sz="4" w:space="0" w:color="auto"/>
              <w:right w:val="nil"/>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31,44%</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i/>
                <w:iCs/>
                <w:color w:val="9C0006"/>
                <w:sz w:val="16"/>
                <w:szCs w:val="16"/>
              </w:rPr>
            </w:pPr>
            <w:r>
              <w:rPr>
                <w:rFonts w:cs="Arial"/>
                <w:i/>
                <w:iCs/>
                <w:color w:val="9C0006"/>
                <w:sz w:val="16"/>
                <w:szCs w:val="16"/>
              </w:rPr>
              <w:t>10,60%</w:t>
            </w:r>
          </w:p>
        </w:tc>
        <w:tc>
          <w:tcPr>
            <w:tcW w:w="992" w:type="dxa"/>
            <w:tcBorders>
              <w:top w:val="nil"/>
              <w:left w:val="nil"/>
              <w:bottom w:val="single" w:sz="4" w:space="0" w:color="auto"/>
              <w:right w:val="single" w:sz="8" w:space="0" w:color="auto"/>
            </w:tcBorders>
            <w:shd w:val="clear" w:color="auto" w:fill="auto"/>
            <w:noWrap/>
            <w:vAlign w:val="bottom"/>
          </w:tcPr>
          <w:p w:rsidR="00D44A1C" w:rsidRDefault="00D44A1C" w:rsidP="00D44A1C">
            <w:pPr>
              <w:spacing w:before="0" w:after="0"/>
              <w:jc w:val="right"/>
              <w:rPr>
                <w:rFonts w:cs="Arial"/>
                <w:i/>
                <w:iCs/>
                <w:color w:val="000000"/>
                <w:sz w:val="16"/>
                <w:szCs w:val="16"/>
              </w:rPr>
            </w:pPr>
            <w:r>
              <w:rPr>
                <w:rFonts w:cs="Arial"/>
                <w:i/>
                <w:iCs/>
                <w:color w:val="000000"/>
                <w:sz w:val="16"/>
                <w:szCs w:val="16"/>
              </w:rPr>
              <w:t>20,84%</w:t>
            </w:r>
          </w:p>
        </w:tc>
      </w:tr>
      <w:tr w:rsidR="00D44A1C" w:rsidRPr="00044F8A" w:rsidTr="00D44A1C">
        <w:trPr>
          <w:gridAfter w:val="1"/>
          <w:wAfter w:w="992" w:type="dxa"/>
          <w:trHeight w:val="286"/>
        </w:trPr>
        <w:tc>
          <w:tcPr>
            <w:tcW w:w="2239" w:type="dxa"/>
            <w:tcBorders>
              <w:top w:val="nil"/>
              <w:left w:val="single" w:sz="8" w:space="0" w:color="auto"/>
              <w:bottom w:val="single" w:sz="4" w:space="0" w:color="auto"/>
              <w:right w:val="single" w:sz="4" w:space="0" w:color="auto"/>
            </w:tcBorders>
            <w:shd w:val="clear" w:color="auto" w:fill="auto"/>
            <w:noWrap/>
            <w:vAlign w:val="bottom"/>
            <w:hideMark/>
          </w:tcPr>
          <w:p w:rsidR="00D44A1C" w:rsidRPr="00044F8A" w:rsidRDefault="00D44A1C" w:rsidP="00D44A1C">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KHK</w:t>
            </w:r>
          </w:p>
        </w:tc>
        <w:tc>
          <w:tcPr>
            <w:tcW w:w="850"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18,00%</w:t>
            </w:r>
          </w:p>
        </w:tc>
        <w:tc>
          <w:tcPr>
            <w:tcW w:w="851"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15,16%</w:t>
            </w:r>
          </w:p>
        </w:tc>
        <w:tc>
          <w:tcPr>
            <w:tcW w:w="850"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12,87%</w:t>
            </w:r>
          </w:p>
        </w:tc>
        <w:tc>
          <w:tcPr>
            <w:tcW w:w="851" w:type="dxa"/>
            <w:tcBorders>
              <w:top w:val="nil"/>
              <w:left w:val="nil"/>
              <w:bottom w:val="single" w:sz="4" w:space="0" w:color="000000"/>
              <w:right w:val="nil"/>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35,94%</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30,75%</w:t>
            </w:r>
          </w:p>
        </w:tc>
        <w:tc>
          <w:tcPr>
            <w:tcW w:w="993" w:type="dxa"/>
            <w:tcBorders>
              <w:top w:val="nil"/>
              <w:left w:val="single" w:sz="4" w:space="0" w:color="auto"/>
              <w:bottom w:val="single" w:sz="4" w:space="0" w:color="auto"/>
              <w:right w:val="nil"/>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25,25%</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i/>
                <w:iCs/>
                <w:color w:val="000000"/>
                <w:sz w:val="16"/>
                <w:szCs w:val="16"/>
              </w:rPr>
            </w:pPr>
            <w:r>
              <w:rPr>
                <w:rFonts w:cs="Arial"/>
                <w:i/>
                <w:iCs/>
                <w:color w:val="000000"/>
                <w:sz w:val="16"/>
                <w:szCs w:val="16"/>
              </w:rPr>
              <w:t>8,24%</w:t>
            </w:r>
          </w:p>
        </w:tc>
        <w:tc>
          <w:tcPr>
            <w:tcW w:w="992" w:type="dxa"/>
            <w:tcBorders>
              <w:top w:val="nil"/>
              <w:left w:val="nil"/>
              <w:bottom w:val="single" w:sz="4" w:space="0" w:color="auto"/>
              <w:right w:val="single" w:sz="8" w:space="0" w:color="auto"/>
            </w:tcBorders>
            <w:shd w:val="clear" w:color="auto" w:fill="auto"/>
            <w:noWrap/>
            <w:vAlign w:val="bottom"/>
          </w:tcPr>
          <w:p w:rsidR="00D44A1C" w:rsidRDefault="00D44A1C" w:rsidP="00D44A1C">
            <w:pPr>
              <w:spacing w:before="0" w:after="0"/>
              <w:jc w:val="right"/>
              <w:rPr>
                <w:rFonts w:cs="Arial"/>
                <w:i/>
                <w:iCs/>
                <w:color w:val="000000"/>
                <w:sz w:val="16"/>
                <w:szCs w:val="16"/>
              </w:rPr>
            </w:pPr>
            <w:r>
              <w:rPr>
                <w:rFonts w:cs="Arial"/>
                <w:i/>
                <w:iCs/>
                <w:color w:val="000000"/>
                <w:sz w:val="16"/>
                <w:szCs w:val="16"/>
              </w:rPr>
              <w:t>17,01%</w:t>
            </w:r>
          </w:p>
        </w:tc>
      </w:tr>
      <w:tr w:rsidR="00D44A1C" w:rsidRPr="00044F8A" w:rsidTr="00D44A1C">
        <w:trPr>
          <w:gridAfter w:val="1"/>
          <w:wAfter w:w="992" w:type="dxa"/>
          <w:trHeight w:val="286"/>
        </w:trPr>
        <w:tc>
          <w:tcPr>
            <w:tcW w:w="2239" w:type="dxa"/>
            <w:tcBorders>
              <w:top w:val="nil"/>
              <w:left w:val="single" w:sz="8" w:space="0" w:color="auto"/>
              <w:bottom w:val="single" w:sz="4" w:space="0" w:color="auto"/>
              <w:right w:val="single" w:sz="4" w:space="0" w:color="auto"/>
            </w:tcBorders>
            <w:shd w:val="clear" w:color="auto" w:fill="auto"/>
            <w:noWrap/>
            <w:vAlign w:val="bottom"/>
            <w:hideMark/>
          </w:tcPr>
          <w:p w:rsidR="00D44A1C" w:rsidRPr="00044F8A" w:rsidRDefault="00D44A1C" w:rsidP="00D44A1C">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PBK</w:t>
            </w:r>
          </w:p>
        </w:tc>
        <w:tc>
          <w:tcPr>
            <w:tcW w:w="850"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19,63%</w:t>
            </w:r>
          </w:p>
        </w:tc>
        <w:tc>
          <w:tcPr>
            <w:tcW w:w="851"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16,53%</w:t>
            </w:r>
          </w:p>
        </w:tc>
        <w:tc>
          <w:tcPr>
            <w:tcW w:w="850"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1,76%</w:t>
            </w:r>
          </w:p>
        </w:tc>
        <w:tc>
          <w:tcPr>
            <w:tcW w:w="992"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12,52%</w:t>
            </w:r>
          </w:p>
        </w:tc>
        <w:tc>
          <w:tcPr>
            <w:tcW w:w="851" w:type="dxa"/>
            <w:tcBorders>
              <w:top w:val="nil"/>
              <w:left w:val="nil"/>
              <w:bottom w:val="single" w:sz="4" w:space="0" w:color="000000"/>
              <w:right w:val="nil"/>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36,53%</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27,61%</w:t>
            </w:r>
          </w:p>
        </w:tc>
        <w:tc>
          <w:tcPr>
            <w:tcW w:w="993" w:type="dxa"/>
            <w:tcBorders>
              <w:top w:val="nil"/>
              <w:left w:val="single" w:sz="4" w:space="0" w:color="auto"/>
              <w:bottom w:val="single" w:sz="4" w:space="0" w:color="auto"/>
              <w:right w:val="nil"/>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21,21%</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i/>
                <w:iCs/>
                <w:color w:val="000000"/>
                <w:sz w:val="16"/>
                <w:szCs w:val="16"/>
              </w:rPr>
            </w:pPr>
            <w:r>
              <w:rPr>
                <w:rFonts w:cs="Arial"/>
                <w:i/>
                <w:iCs/>
                <w:color w:val="000000"/>
                <w:sz w:val="16"/>
                <w:szCs w:val="16"/>
              </w:rPr>
              <w:t>8,04%</w:t>
            </w:r>
          </w:p>
        </w:tc>
        <w:tc>
          <w:tcPr>
            <w:tcW w:w="992" w:type="dxa"/>
            <w:tcBorders>
              <w:top w:val="nil"/>
              <w:left w:val="nil"/>
              <w:bottom w:val="single" w:sz="4" w:space="0" w:color="auto"/>
              <w:right w:val="single" w:sz="8" w:space="0" w:color="auto"/>
            </w:tcBorders>
            <w:shd w:val="clear" w:color="auto" w:fill="auto"/>
            <w:noWrap/>
            <w:vAlign w:val="bottom"/>
          </w:tcPr>
          <w:p w:rsidR="00D44A1C" w:rsidRDefault="00D44A1C" w:rsidP="00D44A1C">
            <w:pPr>
              <w:spacing w:before="0" w:after="0"/>
              <w:jc w:val="right"/>
              <w:rPr>
                <w:rFonts w:cs="Arial"/>
                <w:i/>
                <w:iCs/>
                <w:color w:val="000000"/>
                <w:sz w:val="16"/>
                <w:szCs w:val="16"/>
              </w:rPr>
            </w:pPr>
            <w:r>
              <w:rPr>
                <w:rFonts w:cs="Arial"/>
                <w:i/>
                <w:iCs/>
                <w:color w:val="000000"/>
                <w:sz w:val="16"/>
                <w:szCs w:val="16"/>
              </w:rPr>
              <w:t>13,17%</w:t>
            </w:r>
          </w:p>
        </w:tc>
      </w:tr>
      <w:tr w:rsidR="00D44A1C" w:rsidRPr="00044F8A" w:rsidTr="00D44A1C">
        <w:trPr>
          <w:gridAfter w:val="1"/>
          <w:wAfter w:w="992" w:type="dxa"/>
          <w:trHeight w:val="286"/>
        </w:trPr>
        <w:tc>
          <w:tcPr>
            <w:tcW w:w="2239" w:type="dxa"/>
            <w:tcBorders>
              <w:top w:val="nil"/>
              <w:left w:val="single" w:sz="8" w:space="0" w:color="auto"/>
              <w:bottom w:val="single" w:sz="4" w:space="0" w:color="auto"/>
              <w:right w:val="single" w:sz="4" w:space="0" w:color="auto"/>
            </w:tcBorders>
            <w:shd w:val="clear" w:color="auto" w:fill="auto"/>
            <w:noWrap/>
            <w:vAlign w:val="bottom"/>
            <w:hideMark/>
          </w:tcPr>
          <w:p w:rsidR="00D44A1C" w:rsidRPr="00044F8A" w:rsidRDefault="00D44A1C" w:rsidP="00D44A1C">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VYS</w:t>
            </w:r>
          </w:p>
        </w:tc>
        <w:tc>
          <w:tcPr>
            <w:tcW w:w="850"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19,32%</w:t>
            </w:r>
          </w:p>
        </w:tc>
        <w:tc>
          <w:tcPr>
            <w:tcW w:w="851"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16,18%</w:t>
            </w:r>
          </w:p>
        </w:tc>
        <w:tc>
          <w:tcPr>
            <w:tcW w:w="850"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1,65%</w:t>
            </w:r>
          </w:p>
        </w:tc>
        <w:tc>
          <w:tcPr>
            <w:tcW w:w="992"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11,26%</w:t>
            </w:r>
          </w:p>
        </w:tc>
        <w:tc>
          <w:tcPr>
            <w:tcW w:w="851" w:type="dxa"/>
            <w:tcBorders>
              <w:top w:val="nil"/>
              <w:left w:val="nil"/>
              <w:bottom w:val="single" w:sz="4" w:space="0" w:color="000000"/>
              <w:right w:val="nil"/>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38,14%</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18,55%</w:t>
            </w:r>
          </w:p>
        </w:tc>
        <w:tc>
          <w:tcPr>
            <w:tcW w:w="993" w:type="dxa"/>
            <w:tcBorders>
              <w:top w:val="nil"/>
              <w:left w:val="single" w:sz="4" w:space="0" w:color="auto"/>
              <w:bottom w:val="single" w:sz="4" w:space="0" w:color="auto"/>
              <w:right w:val="nil"/>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28,73%</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i/>
                <w:iCs/>
                <w:color w:val="000000"/>
                <w:sz w:val="16"/>
                <w:szCs w:val="16"/>
              </w:rPr>
            </w:pPr>
            <w:r>
              <w:rPr>
                <w:rFonts w:cs="Arial"/>
                <w:i/>
                <w:iCs/>
                <w:color w:val="000000"/>
                <w:sz w:val="16"/>
                <w:szCs w:val="16"/>
              </w:rPr>
              <w:t>8,61%</w:t>
            </w:r>
          </w:p>
        </w:tc>
        <w:tc>
          <w:tcPr>
            <w:tcW w:w="992" w:type="dxa"/>
            <w:tcBorders>
              <w:top w:val="nil"/>
              <w:left w:val="nil"/>
              <w:bottom w:val="single" w:sz="4" w:space="0" w:color="auto"/>
              <w:right w:val="single" w:sz="8" w:space="0" w:color="auto"/>
            </w:tcBorders>
            <w:shd w:val="clear" w:color="auto" w:fill="auto"/>
            <w:noWrap/>
            <w:vAlign w:val="bottom"/>
          </w:tcPr>
          <w:p w:rsidR="00D44A1C" w:rsidRDefault="00D44A1C" w:rsidP="00D44A1C">
            <w:pPr>
              <w:spacing w:before="0" w:after="0"/>
              <w:jc w:val="right"/>
              <w:rPr>
                <w:rFonts w:cs="Arial"/>
                <w:i/>
                <w:iCs/>
                <w:color w:val="000000"/>
                <w:sz w:val="16"/>
                <w:szCs w:val="16"/>
              </w:rPr>
            </w:pPr>
            <w:r>
              <w:rPr>
                <w:rFonts w:cs="Arial"/>
                <w:i/>
                <w:iCs/>
                <w:color w:val="000000"/>
                <w:sz w:val="16"/>
                <w:szCs w:val="16"/>
              </w:rPr>
              <w:t>20,12%</w:t>
            </w:r>
          </w:p>
        </w:tc>
      </w:tr>
      <w:tr w:rsidR="00D44A1C" w:rsidRPr="00044F8A" w:rsidTr="00D44A1C">
        <w:trPr>
          <w:gridAfter w:val="1"/>
          <w:wAfter w:w="992" w:type="dxa"/>
          <w:trHeight w:val="286"/>
        </w:trPr>
        <w:tc>
          <w:tcPr>
            <w:tcW w:w="2239" w:type="dxa"/>
            <w:tcBorders>
              <w:top w:val="nil"/>
              <w:left w:val="single" w:sz="8" w:space="0" w:color="auto"/>
              <w:bottom w:val="single" w:sz="4" w:space="0" w:color="auto"/>
              <w:right w:val="single" w:sz="4" w:space="0" w:color="auto"/>
            </w:tcBorders>
            <w:shd w:val="clear" w:color="auto" w:fill="auto"/>
            <w:noWrap/>
            <w:vAlign w:val="bottom"/>
            <w:hideMark/>
          </w:tcPr>
          <w:p w:rsidR="00D44A1C" w:rsidRPr="00044F8A" w:rsidRDefault="00D44A1C" w:rsidP="00D44A1C">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JMK</w:t>
            </w:r>
          </w:p>
        </w:tc>
        <w:tc>
          <w:tcPr>
            <w:tcW w:w="850"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16,25%</w:t>
            </w:r>
          </w:p>
        </w:tc>
        <w:tc>
          <w:tcPr>
            <w:tcW w:w="851"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16,42%</w:t>
            </w:r>
          </w:p>
        </w:tc>
        <w:tc>
          <w:tcPr>
            <w:tcW w:w="850"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1,42%</w:t>
            </w:r>
          </w:p>
        </w:tc>
        <w:tc>
          <w:tcPr>
            <w:tcW w:w="992"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11,16%</w:t>
            </w:r>
          </w:p>
        </w:tc>
        <w:tc>
          <w:tcPr>
            <w:tcW w:w="851" w:type="dxa"/>
            <w:tcBorders>
              <w:top w:val="nil"/>
              <w:left w:val="nil"/>
              <w:bottom w:val="single" w:sz="4" w:space="0" w:color="000000"/>
              <w:right w:val="nil"/>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34,70%</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25,64%</w:t>
            </w:r>
          </w:p>
        </w:tc>
        <w:tc>
          <w:tcPr>
            <w:tcW w:w="993" w:type="dxa"/>
            <w:tcBorders>
              <w:top w:val="nil"/>
              <w:left w:val="single" w:sz="4" w:space="0" w:color="auto"/>
              <w:bottom w:val="single" w:sz="4" w:space="0" w:color="auto"/>
              <w:right w:val="nil"/>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35,82%</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i/>
                <w:iCs/>
                <w:color w:val="9C0006"/>
                <w:sz w:val="16"/>
                <w:szCs w:val="16"/>
              </w:rPr>
            </w:pPr>
            <w:r>
              <w:rPr>
                <w:rFonts w:cs="Arial"/>
                <w:i/>
                <w:iCs/>
                <w:color w:val="9C0006"/>
                <w:sz w:val="16"/>
                <w:szCs w:val="16"/>
              </w:rPr>
              <w:t>11,03%</w:t>
            </w:r>
          </w:p>
        </w:tc>
        <w:tc>
          <w:tcPr>
            <w:tcW w:w="992" w:type="dxa"/>
            <w:tcBorders>
              <w:top w:val="nil"/>
              <w:left w:val="nil"/>
              <w:bottom w:val="single" w:sz="4" w:space="0" w:color="auto"/>
              <w:right w:val="single" w:sz="8" w:space="0" w:color="auto"/>
            </w:tcBorders>
            <w:shd w:val="clear" w:color="auto" w:fill="auto"/>
            <w:noWrap/>
            <w:vAlign w:val="bottom"/>
          </w:tcPr>
          <w:p w:rsidR="00D44A1C" w:rsidRDefault="00D44A1C" w:rsidP="00D44A1C">
            <w:pPr>
              <w:spacing w:before="0" w:after="0"/>
              <w:jc w:val="right"/>
              <w:rPr>
                <w:rFonts w:cs="Arial"/>
                <w:i/>
                <w:iCs/>
                <w:color w:val="9C0006"/>
                <w:sz w:val="16"/>
                <w:szCs w:val="16"/>
              </w:rPr>
            </w:pPr>
            <w:r>
              <w:rPr>
                <w:rFonts w:cs="Arial"/>
                <w:i/>
                <w:iCs/>
                <w:color w:val="9C0006"/>
                <w:sz w:val="16"/>
                <w:szCs w:val="16"/>
              </w:rPr>
              <w:t>24,79%</w:t>
            </w:r>
          </w:p>
        </w:tc>
      </w:tr>
      <w:tr w:rsidR="00D44A1C" w:rsidRPr="00044F8A" w:rsidTr="00D44A1C">
        <w:trPr>
          <w:gridAfter w:val="1"/>
          <w:wAfter w:w="992" w:type="dxa"/>
          <w:trHeight w:val="286"/>
        </w:trPr>
        <w:tc>
          <w:tcPr>
            <w:tcW w:w="2239" w:type="dxa"/>
            <w:tcBorders>
              <w:top w:val="nil"/>
              <w:left w:val="single" w:sz="8" w:space="0" w:color="auto"/>
              <w:bottom w:val="single" w:sz="4" w:space="0" w:color="auto"/>
              <w:right w:val="single" w:sz="4" w:space="0" w:color="auto"/>
            </w:tcBorders>
            <w:shd w:val="clear" w:color="auto" w:fill="auto"/>
            <w:noWrap/>
            <w:vAlign w:val="bottom"/>
            <w:hideMark/>
          </w:tcPr>
          <w:p w:rsidR="00D44A1C" w:rsidRPr="00044F8A" w:rsidRDefault="00D44A1C" w:rsidP="00D44A1C">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OLK</w:t>
            </w:r>
          </w:p>
        </w:tc>
        <w:tc>
          <w:tcPr>
            <w:tcW w:w="850"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16,61%</w:t>
            </w:r>
          </w:p>
        </w:tc>
        <w:tc>
          <w:tcPr>
            <w:tcW w:w="851"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14,29%</w:t>
            </w:r>
          </w:p>
        </w:tc>
        <w:tc>
          <w:tcPr>
            <w:tcW w:w="850"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1,29%</w:t>
            </w:r>
          </w:p>
        </w:tc>
        <w:tc>
          <w:tcPr>
            <w:tcW w:w="992"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10,20%</w:t>
            </w:r>
          </w:p>
        </w:tc>
        <w:tc>
          <w:tcPr>
            <w:tcW w:w="851" w:type="dxa"/>
            <w:tcBorders>
              <w:top w:val="nil"/>
              <w:left w:val="nil"/>
              <w:bottom w:val="single" w:sz="4" w:space="0" w:color="000000"/>
              <w:right w:val="nil"/>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38,55%</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28,31%</w:t>
            </w:r>
          </w:p>
        </w:tc>
        <w:tc>
          <w:tcPr>
            <w:tcW w:w="993" w:type="dxa"/>
            <w:tcBorders>
              <w:top w:val="nil"/>
              <w:left w:val="single" w:sz="4" w:space="0" w:color="auto"/>
              <w:bottom w:val="single" w:sz="4" w:space="0" w:color="auto"/>
              <w:right w:val="nil"/>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33,06%</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i/>
                <w:iCs/>
                <w:color w:val="000000"/>
                <w:sz w:val="16"/>
                <w:szCs w:val="16"/>
              </w:rPr>
            </w:pPr>
            <w:r>
              <w:rPr>
                <w:rFonts w:cs="Arial"/>
                <w:i/>
                <w:iCs/>
                <w:color w:val="000000"/>
                <w:sz w:val="16"/>
                <w:szCs w:val="16"/>
              </w:rPr>
              <w:t>10,18%</w:t>
            </w:r>
          </w:p>
        </w:tc>
        <w:tc>
          <w:tcPr>
            <w:tcW w:w="992" w:type="dxa"/>
            <w:tcBorders>
              <w:top w:val="nil"/>
              <w:left w:val="nil"/>
              <w:bottom w:val="single" w:sz="4" w:space="0" w:color="auto"/>
              <w:right w:val="single" w:sz="8" w:space="0" w:color="auto"/>
            </w:tcBorders>
            <w:shd w:val="clear" w:color="auto" w:fill="auto"/>
            <w:noWrap/>
            <w:vAlign w:val="bottom"/>
          </w:tcPr>
          <w:p w:rsidR="00D44A1C" w:rsidRDefault="00D44A1C" w:rsidP="00D44A1C">
            <w:pPr>
              <w:spacing w:before="0" w:after="0"/>
              <w:jc w:val="right"/>
              <w:rPr>
                <w:rFonts w:cs="Arial"/>
                <w:i/>
                <w:iCs/>
                <w:color w:val="000000"/>
                <w:sz w:val="16"/>
                <w:szCs w:val="16"/>
              </w:rPr>
            </w:pPr>
            <w:r>
              <w:rPr>
                <w:rFonts w:cs="Arial"/>
                <w:i/>
                <w:iCs/>
                <w:color w:val="000000"/>
                <w:sz w:val="16"/>
                <w:szCs w:val="16"/>
              </w:rPr>
              <w:t>22,88%</w:t>
            </w:r>
          </w:p>
        </w:tc>
      </w:tr>
      <w:tr w:rsidR="00D44A1C" w:rsidRPr="00044F8A" w:rsidTr="00D44A1C">
        <w:trPr>
          <w:gridAfter w:val="1"/>
          <w:wAfter w:w="992" w:type="dxa"/>
          <w:trHeight w:val="286"/>
        </w:trPr>
        <w:tc>
          <w:tcPr>
            <w:tcW w:w="2239" w:type="dxa"/>
            <w:tcBorders>
              <w:top w:val="nil"/>
              <w:left w:val="single" w:sz="8" w:space="0" w:color="auto"/>
              <w:bottom w:val="single" w:sz="4" w:space="0" w:color="auto"/>
              <w:right w:val="single" w:sz="4" w:space="0" w:color="auto"/>
            </w:tcBorders>
            <w:shd w:val="clear" w:color="auto" w:fill="auto"/>
            <w:noWrap/>
            <w:vAlign w:val="bottom"/>
            <w:hideMark/>
          </w:tcPr>
          <w:p w:rsidR="00D44A1C" w:rsidRPr="00044F8A" w:rsidRDefault="00D44A1C" w:rsidP="00D44A1C">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ZLK</w:t>
            </w:r>
          </w:p>
        </w:tc>
        <w:tc>
          <w:tcPr>
            <w:tcW w:w="850"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19,05%</w:t>
            </w:r>
          </w:p>
        </w:tc>
        <w:tc>
          <w:tcPr>
            <w:tcW w:w="851"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18,28%</w:t>
            </w:r>
          </w:p>
        </w:tc>
        <w:tc>
          <w:tcPr>
            <w:tcW w:w="850"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1,75%</w:t>
            </w:r>
          </w:p>
        </w:tc>
        <w:tc>
          <w:tcPr>
            <w:tcW w:w="992" w:type="dxa"/>
            <w:tcBorders>
              <w:top w:val="nil"/>
              <w:left w:val="nil"/>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10,70%</w:t>
            </w:r>
          </w:p>
        </w:tc>
        <w:tc>
          <w:tcPr>
            <w:tcW w:w="851" w:type="dxa"/>
            <w:tcBorders>
              <w:top w:val="nil"/>
              <w:left w:val="nil"/>
              <w:bottom w:val="single" w:sz="4" w:space="0" w:color="000000"/>
              <w:right w:val="nil"/>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38,92%</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19,25%</w:t>
            </w:r>
          </w:p>
        </w:tc>
        <w:tc>
          <w:tcPr>
            <w:tcW w:w="993" w:type="dxa"/>
            <w:tcBorders>
              <w:top w:val="nil"/>
              <w:left w:val="single" w:sz="4" w:space="0" w:color="auto"/>
              <w:bottom w:val="single" w:sz="4" w:space="0" w:color="auto"/>
              <w:right w:val="nil"/>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29,36%</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D44A1C" w:rsidRDefault="00D44A1C" w:rsidP="00D44A1C">
            <w:pPr>
              <w:spacing w:before="0" w:after="0"/>
              <w:jc w:val="right"/>
              <w:rPr>
                <w:rFonts w:cs="Arial"/>
                <w:i/>
                <w:iCs/>
                <w:color w:val="9C0006"/>
                <w:sz w:val="16"/>
                <w:szCs w:val="16"/>
              </w:rPr>
            </w:pPr>
            <w:r>
              <w:rPr>
                <w:rFonts w:cs="Arial"/>
                <w:i/>
                <w:iCs/>
                <w:color w:val="9C0006"/>
                <w:sz w:val="16"/>
                <w:szCs w:val="16"/>
              </w:rPr>
              <w:t>10,38%</w:t>
            </w:r>
          </w:p>
        </w:tc>
        <w:tc>
          <w:tcPr>
            <w:tcW w:w="992" w:type="dxa"/>
            <w:tcBorders>
              <w:top w:val="nil"/>
              <w:left w:val="nil"/>
              <w:bottom w:val="single" w:sz="4" w:space="0" w:color="auto"/>
              <w:right w:val="single" w:sz="8" w:space="0" w:color="auto"/>
            </w:tcBorders>
            <w:shd w:val="clear" w:color="auto" w:fill="auto"/>
            <w:noWrap/>
            <w:vAlign w:val="bottom"/>
          </w:tcPr>
          <w:p w:rsidR="00D44A1C" w:rsidRDefault="00D44A1C" w:rsidP="00D44A1C">
            <w:pPr>
              <w:spacing w:before="0" w:after="0"/>
              <w:jc w:val="right"/>
              <w:rPr>
                <w:rFonts w:cs="Arial"/>
                <w:i/>
                <w:iCs/>
                <w:color w:val="000000"/>
                <w:sz w:val="16"/>
                <w:szCs w:val="16"/>
              </w:rPr>
            </w:pPr>
            <w:r>
              <w:rPr>
                <w:rFonts w:cs="Arial"/>
                <w:i/>
                <w:iCs/>
                <w:color w:val="000000"/>
                <w:sz w:val="16"/>
                <w:szCs w:val="16"/>
              </w:rPr>
              <w:t>18,98%</w:t>
            </w:r>
          </w:p>
        </w:tc>
      </w:tr>
      <w:tr w:rsidR="00D44A1C" w:rsidRPr="00044F8A" w:rsidTr="00D44A1C">
        <w:trPr>
          <w:gridAfter w:val="1"/>
          <w:wAfter w:w="992" w:type="dxa"/>
          <w:trHeight w:val="301"/>
        </w:trPr>
        <w:tc>
          <w:tcPr>
            <w:tcW w:w="2239" w:type="dxa"/>
            <w:tcBorders>
              <w:top w:val="nil"/>
              <w:left w:val="single" w:sz="8" w:space="0" w:color="auto"/>
              <w:bottom w:val="double" w:sz="6" w:space="0" w:color="auto"/>
              <w:right w:val="single" w:sz="4" w:space="0" w:color="auto"/>
            </w:tcBorders>
            <w:shd w:val="clear" w:color="auto" w:fill="auto"/>
            <w:noWrap/>
            <w:vAlign w:val="bottom"/>
            <w:hideMark/>
          </w:tcPr>
          <w:p w:rsidR="00D44A1C" w:rsidRPr="00044F8A" w:rsidRDefault="00D44A1C" w:rsidP="00D44A1C">
            <w:pPr>
              <w:spacing w:before="0" w:after="0"/>
              <w:jc w:val="right"/>
              <w:rPr>
                <w:rFonts w:eastAsia="Times New Roman" w:cs="Arial"/>
                <w:color w:val="000000"/>
                <w:sz w:val="20"/>
                <w:szCs w:val="20"/>
                <w:lang w:eastAsia="cs-CZ"/>
              </w:rPr>
            </w:pPr>
            <w:r w:rsidRPr="00044F8A">
              <w:rPr>
                <w:rFonts w:eastAsia="Times New Roman" w:cs="Arial"/>
                <w:color w:val="000000"/>
                <w:sz w:val="20"/>
                <w:szCs w:val="20"/>
                <w:lang w:eastAsia="cs-CZ"/>
              </w:rPr>
              <w:t>MSK</w:t>
            </w:r>
          </w:p>
        </w:tc>
        <w:tc>
          <w:tcPr>
            <w:tcW w:w="850" w:type="dxa"/>
            <w:tcBorders>
              <w:top w:val="nil"/>
              <w:left w:val="nil"/>
              <w:bottom w:val="double" w:sz="6"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16,38%</w:t>
            </w:r>
          </w:p>
        </w:tc>
        <w:tc>
          <w:tcPr>
            <w:tcW w:w="851" w:type="dxa"/>
            <w:tcBorders>
              <w:top w:val="nil"/>
              <w:left w:val="nil"/>
              <w:bottom w:val="double" w:sz="6"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16,18%</w:t>
            </w:r>
          </w:p>
        </w:tc>
        <w:tc>
          <w:tcPr>
            <w:tcW w:w="850" w:type="dxa"/>
            <w:tcBorders>
              <w:top w:val="nil"/>
              <w:left w:val="nil"/>
              <w:bottom w:val="double" w:sz="6"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1,41%</w:t>
            </w:r>
          </w:p>
        </w:tc>
        <w:tc>
          <w:tcPr>
            <w:tcW w:w="992" w:type="dxa"/>
            <w:tcBorders>
              <w:top w:val="nil"/>
              <w:left w:val="nil"/>
              <w:bottom w:val="double" w:sz="6" w:space="0" w:color="auto"/>
              <w:right w:val="single" w:sz="4" w:space="0" w:color="auto"/>
            </w:tcBorders>
            <w:shd w:val="clear" w:color="auto" w:fill="auto"/>
            <w:noWrap/>
            <w:vAlign w:val="bottom"/>
          </w:tcPr>
          <w:p w:rsidR="00D44A1C" w:rsidRDefault="00D44A1C" w:rsidP="00D44A1C">
            <w:pPr>
              <w:spacing w:before="0" w:after="0"/>
              <w:jc w:val="right"/>
              <w:rPr>
                <w:rFonts w:cs="Arial"/>
                <w:color w:val="000000"/>
                <w:sz w:val="20"/>
                <w:szCs w:val="20"/>
              </w:rPr>
            </w:pPr>
            <w:r>
              <w:rPr>
                <w:rFonts w:cs="Arial"/>
                <w:color w:val="000000"/>
                <w:sz w:val="20"/>
                <w:szCs w:val="20"/>
              </w:rPr>
              <w:t>10,22%</w:t>
            </w:r>
          </w:p>
        </w:tc>
        <w:tc>
          <w:tcPr>
            <w:tcW w:w="851" w:type="dxa"/>
            <w:tcBorders>
              <w:top w:val="nil"/>
              <w:left w:val="nil"/>
              <w:bottom w:val="double" w:sz="6" w:space="0" w:color="auto"/>
              <w:right w:val="nil"/>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39,64%</w:t>
            </w:r>
          </w:p>
        </w:tc>
        <w:tc>
          <w:tcPr>
            <w:tcW w:w="850" w:type="dxa"/>
            <w:tcBorders>
              <w:top w:val="nil"/>
              <w:left w:val="single" w:sz="4" w:space="0" w:color="auto"/>
              <w:bottom w:val="double" w:sz="6" w:space="0" w:color="auto"/>
              <w:right w:val="single" w:sz="4" w:space="0" w:color="auto"/>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33,50%</w:t>
            </w:r>
          </w:p>
        </w:tc>
        <w:tc>
          <w:tcPr>
            <w:tcW w:w="993" w:type="dxa"/>
            <w:tcBorders>
              <w:top w:val="nil"/>
              <w:left w:val="single" w:sz="4" w:space="0" w:color="auto"/>
              <w:bottom w:val="double" w:sz="6" w:space="0" w:color="auto"/>
              <w:right w:val="nil"/>
            </w:tcBorders>
            <w:shd w:val="clear" w:color="auto" w:fill="auto"/>
            <w:noWrap/>
            <w:vAlign w:val="bottom"/>
          </w:tcPr>
          <w:p w:rsidR="00D44A1C" w:rsidRDefault="00D44A1C" w:rsidP="00D44A1C">
            <w:pPr>
              <w:spacing w:before="0" w:after="0"/>
              <w:jc w:val="right"/>
              <w:rPr>
                <w:rFonts w:cs="Arial"/>
                <w:color w:val="9C0006"/>
                <w:sz w:val="20"/>
                <w:szCs w:val="20"/>
              </w:rPr>
            </w:pPr>
            <w:r>
              <w:rPr>
                <w:rFonts w:cs="Arial"/>
                <w:color w:val="9C0006"/>
                <w:sz w:val="20"/>
                <w:szCs w:val="20"/>
              </w:rPr>
              <w:t>42,70%</w:t>
            </w:r>
          </w:p>
        </w:tc>
        <w:tc>
          <w:tcPr>
            <w:tcW w:w="850" w:type="dxa"/>
            <w:tcBorders>
              <w:top w:val="nil"/>
              <w:left w:val="single" w:sz="4" w:space="0" w:color="auto"/>
              <w:bottom w:val="double" w:sz="6" w:space="0" w:color="auto"/>
              <w:right w:val="single" w:sz="4" w:space="0" w:color="auto"/>
            </w:tcBorders>
            <w:shd w:val="clear" w:color="auto" w:fill="auto"/>
            <w:noWrap/>
            <w:vAlign w:val="bottom"/>
          </w:tcPr>
          <w:p w:rsidR="00D44A1C" w:rsidRDefault="00D44A1C" w:rsidP="00D44A1C">
            <w:pPr>
              <w:spacing w:before="0" w:after="0"/>
              <w:jc w:val="right"/>
              <w:rPr>
                <w:rFonts w:cs="Arial"/>
                <w:i/>
                <w:iCs/>
                <w:color w:val="9C0006"/>
                <w:sz w:val="16"/>
                <w:szCs w:val="16"/>
              </w:rPr>
            </w:pPr>
            <w:r>
              <w:rPr>
                <w:rFonts w:cs="Arial"/>
                <w:i/>
                <w:iCs/>
                <w:color w:val="9C0006"/>
                <w:sz w:val="16"/>
                <w:szCs w:val="16"/>
              </w:rPr>
              <w:t>11,13%</w:t>
            </w:r>
          </w:p>
        </w:tc>
        <w:tc>
          <w:tcPr>
            <w:tcW w:w="992" w:type="dxa"/>
            <w:tcBorders>
              <w:top w:val="nil"/>
              <w:left w:val="nil"/>
              <w:bottom w:val="double" w:sz="6" w:space="0" w:color="auto"/>
              <w:right w:val="single" w:sz="8" w:space="0" w:color="auto"/>
            </w:tcBorders>
            <w:shd w:val="clear" w:color="auto" w:fill="auto"/>
            <w:noWrap/>
            <w:vAlign w:val="bottom"/>
          </w:tcPr>
          <w:p w:rsidR="00D44A1C" w:rsidRDefault="00D44A1C" w:rsidP="00D44A1C">
            <w:pPr>
              <w:spacing w:before="0" w:after="0"/>
              <w:jc w:val="right"/>
              <w:rPr>
                <w:rFonts w:cs="Arial"/>
                <w:i/>
                <w:iCs/>
                <w:color w:val="9C0006"/>
                <w:sz w:val="16"/>
                <w:szCs w:val="16"/>
              </w:rPr>
            </w:pPr>
            <w:r>
              <w:rPr>
                <w:rFonts w:cs="Arial"/>
                <w:i/>
                <w:iCs/>
                <w:color w:val="9C0006"/>
                <w:sz w:val="16"/>
                <w:szCs w:val="16"/>
              </w:rPr>
              <w:t>31,58%</w:t>
            </w:r>
          </w:p>
        </w:tc>
      </w:tr>
      <w:tr w:rsidR="00D44A1C" w:rsidRPr="00044F8A" w:rsidTr="00D44A1C">
        <w:trPr>
          <w:trHeight w:val="301"/>
        </w:trPr>
        <w:tc>
          <w:tcPr>
            <w:tcW w:w="2239" w:type="dxa"/>
            <w:tcBorders>
              <w:top w:val="double" w:sz="6" w:space="0" w:color="auto"/>
              <w:left w:val="double" w:sz="6" w:space="0" w:color="auto"/>
              <w:bottom w:val="double" w:sz="6" w:space="0" w:color="auto"/>
              <w:right w:val="single" w:sz="4" w:space="0" w:color="auto"/>
            </w:tcBorders>
            <w:shd w:val="clear" w:color="auto" w:fill="auto"/>
            <w:noWrap/>
            <w:vAlign w:val="bottom"/>
          </w:tcPr>
          <w:p w:rsidR="00D44A1C" w:rsidRPr="001D717B" w:rsidRDefault="00D44A1C" w:rsidP="00D44A1C">
            <w:pPr>
              <w:spacing w:before="0" w:after="0"/>
              <w:jc w:val="left"/>
              <w:rPr>
                <w:rFonts w:eastAsia="Times New Roman" w:cs="Arial"/>
                <w:b/>
                <w:color w:val="000000"/>
                <w:sz w:val="20"/>
                <w:szCs w:val="20"/>
                <w:lang w:eastAsia="cs-CZ"/>
              </w:rPr>
            </w:pPr>
            <w:r>
              <w:rPr>
                <w:rFonts w:eastAsia="Times New Roman" w:cs="Arial"/>
                <w:b/>
                <w:color w:val="000000"/>
                <w:sz w:val="20"/>
                <w:szCs w:val="20"/>
                <w:lang w:eastAsia="cs-CZ"/>
              </w:rPr>
              <w:t xml:space="preserve">Srovnání (30. 6. </w:t>
            </w:r>
            <w:r w:rsidRPr="001D717B">
              <w:rPr>
                <w:rFonts w:eastAsia="Times New Roman" w:cs="Arial"/>
                <w:b/>
                <w:color w:val="000000"/>
                <w:sz w:val="20"/>
                <w:szCs w:val="20"/>
                <w:lang w:eastAsia="cs-CZ"/>
              </w:rPr>
              <w:t>2017)</w:t>
            </w:r>
          </w:p>
        </w:tc>
        <w:tc>
          <w:tcPr>
            <w:tcW w:w="850" w:type="dxa"/>
            <w:tcBorders>
              <w:top w:val="double" w:sz="6" w:space="0" w:color="auto"/>
              <w:left w:val="nil"/>
              <w:bottom w:val="double" w:sz="6" w:space="0" w:color="auto"/>
              <w:right w:val="single" w:sz="4" w:space="0" w:color="auto"/>
            </w:tcBorders>
            <w:shd w:val="clear" w:color="auto" w:fill="auto"/>
            <w:noWrap/>
            <w:vAlign w:val="bottom"/>
          </w:tcPr>
          <w:p w:rsidR="00D44A1C" w:rsidRPr="006F25D2" w:rsidRDefault="00D44A1C" w:rsidP="00D44A1C">
            <w:pPr>
              <w:spacing w:before="0" w:after="0"/>
              <w:jc w:val="right"/>
              <w:rPr>
                <w:rFonts w:eastAsia="Times New Roman" w:cs="Arial"/>
                <w:b/>
                <w:bCs/>
                <w:color w:val="000000"/>
                <w:sz w:val="20"/>
                <w:szCs w:val="16"/>
                <w:lang w:eastAsia="cs-CZ"/>
              </w:rPr>
            </w:pPr>
            <w:r w:rsidRPr="006F25D2">
              <w:rPr>
                <w:rFonts w:eastAsia="Times New Roman" w:cs="Arial"/>
                <w:b/>
                <w:bCs/>
                <w:color w:val="000000"/>
                <w:sz w:val="20"/>
                <w:szCs w:val="16"/>
                <w:lang w:eastAsia="cs-CZ"/>
              </w:rPr>
              <w:t>16,59%</w:t>
            </w:r>
          </w:p>
        </w:tc>
        <w:tc>
          <w:tcPr>
            <w:tcW w:w="851" w:type="dxa"/>
            <w:tcBorders>
              <w:top w:val="double" w:sz="6" w:space="0" w:color="auto"/>
              <w:left w:val="nil"/>
              <w:bottom w:val="double" w:sz="6" w:space="0" w:color="auto"/>
              <w:right w:val="single" w:sz="4" w:space="0" w:color="auto"/>
            </w:tcBorders>
            <w:shd w:val="clear" w:color="auto" w:fill="auto"/>
            <w:noWrap/>
            <w:vAlign w:val="bottom"/>
          </w:tcPr>
          <w:p w:rsidR="00D44A1C" w:rsidRPr="006F25D2" w:rsidRDefault="00D44A1C" w:rsidP="00D44A1C">
            <w:pPr>
              <w:spacing w:before="0" w:after="0"/>
              <w:jc w:val="right"/>
              <w:rPr>
                <w:rFonts w:eastAsia="Times New Roman" w:cs="Arial"/>
                <w:b/>
                <w:bCs/>
                <w:color w:val="000000"/>
                <w:sz w:val="20"/>
                <w:szCs w:val="16"/>
                <w:lang w:eastAsia="cs-CZ"/>
              </w:rPr>
            </w:pPr>
            <w:r w:rsidRPr="006F25D2">
              <w:rPr>
                <w:rFonts w:eastAsia="Times New Roman" w:cs="Arial"/>
                <w:b/>
                <w:bCs/>
                <w:color w:val="000000"/>
                <w:sz w:val="20"/>
                <w:szCs w:val="16"/>
                <w:lang w:eastAsia="cs-CZ"/>
              </w:rPr>
              <w:t>18,22%</w:t>
            </w:r>
          </w:p>
        </w:tc>
        <w:tc>
          <w:tcPr>
            <w:tcW w:w="850" w:type="dxa"/>
            <w:tcBorders>
              <w:top w:val="double" w:sz="6" w:space="0" w:color="auto"/>
              <w:left w:val="nil"/>
              <w:bottom w:val="double" w:sz="6" w:space="0" w:color="auto"/>
              <w:right w:val="single" w:sz="4" w:space="0" w:color="auto"/>
            </w:tcBorders>
            <w:shd w:val="clear" w:color="auto" w:fill="auto"/>
            <w:noWrap/>
            <w:vAlign w:val="bottom"/>
          </w:tcPr>
          <w:p w:rsidR="00D44A1C" w:rsidRPr="006F25D2" w:rsidRDefault="006F25D2" w:rsidP="00D44A1C">
            <w:pPr>
              <w:spacing w:before="0" w:after="0"/>
              <w:jc w:val="right"/>
              <w:rPr>
                <w:rFonts w:eastAsia="Times New Roman" w:cs="Arial"/>
                <w:b/>
                <w:bCs/>
                <w:color w:val="000000"/>
                <w:sz w:val="20"/>
                <w:szCs w:val="16"/>
                <w:lang w:eastAsia="cs-CZ"/>
              </w:rPr>
            </w:pPr>
            <w:r w:rsidRPr="006F25D2">
              <w:rPr>
                <w:rFonts w:eastAsia="Times New Roman" w:cs="Arial"/>
                <w:b/>
                <w:bCs/>
                <w:color w:val="000000"/>
                <w:sz w:val="20"/>
                <w:szCs w:val="16"/>
                <w:lang w:eastAsia="cs-CZ"/>
              </w:rPr>
              <w:t>1,58%</w:t>
            </w:r>
          </w:p>
        </w:tc>
        <w:tc>
          <w:tcPr>
            <w:tcW w:w="992" w:type="dxa"/>
            <w:tcBorders>
              <w:top w:val="double" w:sz="6" w:space="0" w:color="auto"/>
              <w:left w:val="nil"/>
              <w:bottom w:val="double" w:sz="6" w:space="0" w:color="auto"/>
              <w:right w:val="single" w:sz="4" w:space="0" w:color="auto"/>
            </w:tcBorders>
            <w:shd w:val="clear" w:color="auto" w:fill="auto"/>
            <w:noWrap/>
            <w:vAlign w:val="bottom"/>
          </w:tcPr>
          <w:p w:rsidR="00D44A1C" w:rsidRPr="006F25D2" w:rsidRDefault="00D44A1C" w:rsidP="00D44A1C">
            <w:pPr>
              <w:spacing w:before="0" w:after="0"/>
              <w:jc w:val="right"/>
              <w:rPr>
                <w:rFonts w:eastAsia="Times New Roman" w:cs="Arial"/>
                <w:b/>
                <w:bCs/>
                <w:color w:val="000000"/>
                <w:sz w:val="20"/>
                <w:szCs w:val="16"/>
                <w:lang w:eastAsia="cs-CZ"/>
              </w:rPr>
            </w:pPr>
            <w:r w:rsidRPr="006F25D2">
              <w:rPr>
                <w:rFonts w:eastAsia="Times New Roman" w:cs="Arial"/>
                <w:b/>
                <w:bCs/>
                <w:color w:val="000000"/>
                <w:sz w:val="20"/>
                <w:szCs w:val="16"/>
                <w:lang w:eastAsia="cs-CZ"/>
              </w:rPr>
              <w:t>11,21%</w:t>
            </w:r>
          </w:p>
        </w:tc>
        <w:tc>
          <w:tcPr>
            <w:tcW w:w="851" w:type="dxa"/>
            <w:tcBorders>
              <w:top w:val="double" w:sz="6" w:space="0" w:color="auto"/>
              <w:left w:val="nil"/>
              <w:bottom w:val="double" w:sz="6" w:space="0" w:color="auto"/>
              <w:right w:val="nil"/>
            </w:tcBorders>
            <w:shd w:val="clear" w:color="auto" w:fill="auto"/>
            <w:noWrap/>
            <w:vAlign w:val="bottom"/>
          </w:tcPr>
          <w:p w:rsidR="00D44A1C" w:rsidRPr="006F25D2" w:rsidRDefault="00D44A1C" w:rsidP="00D44A1C">
            <w:pPr>
              <w:spacing w:before="0" w:after="0"/>
              <w:jc w:val="right"/>
              <w:rPr>
                <w:rFonts w:eastAsia="Times New Roman" w:cs="Arial"/>
                <w:b/>
                <w:bCs/>
                <w:color w:val="000000"/>
                <w:sz w:val="20"/>
                <w:szCs w:val="16"/>
                <w:lang w:eastAsia="cs-CZ"/>
              </w:rPr>
            </w:pPr>
            <w:r w:rsidRPr="006F25D2">
              <w:rPr>
                <w:rFonts w:eastAsia="Times New Roman" w:cs="Arial"/>
                <w:b/>
                <w:bCs/>
                <w:color w:val="000000"/>
                <w:sz w:val="20"/>
                <w:szCs w:val="16"/>
                <w:lang w:eastAsia="cs-CZ"/>
              </w:rPr>
              <w:t>35,83%</w:t>
            </w:r>
          </w:p>
        </w:tc>
        <w:tc>
          <w:tcPr>
            <w:tcW w:w="850" w:type="dxa"/>
            <w:tcBorders>
              <w:top w:val="double" w:sz="6" w:space="0" w:color="auto"/>
              <w:left w:val="single" w:sz="4" w:space="0" w:color="auto"/>
              <w:bottom w:val="double" w:sz="6" w:space="0" w:color="auto"/>
              <w:right w:val="single" w:sz="4" w:space="0" w:color="auto"/>
            </w:tcBorders>
            <w:shd w:val="clear" w:color="auto" w:fill="auto"/>
            <w:noWrap/>
            <w:vAlign w:val="bottom"/>
          </w:tcPr>
          <w:p w:rsidR="00D44A1C" w:rsidRPr="006F25D2" w:rsidRDefault="00D44A1C" w:rsidP="00D44A1C">
            <w:pPr>
              <w:spacing w:before="0" w:after="0"/>
              <w:jc w:val="right"/>
              <w:rPr>
                <w:rFonts w:eastAsia="Times New Roman" w:cs="Arial"/>
                <w:b/>
                <w:bCs/>
                <w:color w:val="000000"/>
                <w:sz w:val="20"/>
                <w:szCs w:val="16"/>
                <w:lang w:eastAsia="cs-CZ"/>
              </w:rPr>
            </w:pPr>
            <w:r w:rsidRPr="006F25D2">
              <w:rPr>
                <w:rFonts w:eastAsia="Times New Roman" w:cs="Arial"/>
                <w:b/>
                <w:bCs/>
                <w:color w:val="000000"/>
                <w:sz w:val="20"/>
                <w:szCs w:val="16"/>
                <w:lang w:eastAsia="cs-CZ"/>
              </w:rPr>
              <w:t>31,72%</w:t>
            </w:r>
          </w:p>
        </w:tc>
        <w:tc>
          <w:tcPr>
            <w:tcW w:w="993" w:type="dxa"/>
            <w:tcBorders>
              <w:top w:val="double" w:sz="6" w:space="0" w:color="auto"/>
              <w:left w:val="single" w:sz="4" w:space="0" w:color="auto"/>
              <w:bottom w:val="double" w:sz="6" w:space="0" w:color="auto"/>
              <w:right w:val="nil"/>
            </w:tcBorders>
            <w:shd w:val="clear" w:color="auto" w:fill="auto"/>
            <w:noWrap/>
            <w:vAlign w:val="bottom"/>
          </w:tcPr>
          <w:p w:rsidR="00D44A1C" w:rsidRPr="006F25D2" w:rsidRDefault="00D44A1C" w:rsidP="00D44A1C">
            <w:pPr>
              <w:spacing w:before="0" w:after="0"/>
              <w:jc w:val="right"/>
              <w:rPr>
                <w:rFonts w:eastAsia="Times New Roman" w:cs="Arial"/>
                <w:b/>
                <w:bCs/>
                <w:color w:val="000000"/>
                <w:sz w:val="20"/>
                <w:szCs w:val="16"/>
                <w:lang w:eastAsia="cs-CZ"/>
              </w:rPr>
            </w:pPr>
            <w:r w:rsidRPr="006F25D2">
              <w:rPr>
                <w:rFonts w:eastAsia="Times New Roman" w:cs="Arial"/>
                <w:b/>
                <w:bCs/>
                <w:color w:val="000000"/>
                <w:sz w:val="20"/>
                <w:szCs w:val="16"/>
                <w:lang w:eastAsia="cs-CZ"/>
              </w:rPr>
              <w:t>39,23%</w:t>
            </w:r>
          </w:p>
        </w:tc>
        <w:tc>
          <w:tcPr>
            <w:tcW w:w="850" w:type="dxa"/>
            <w:tcBorders>
              <w:top w:val="double" w:sz="6" w:space="0" w:color="auto"/>
              <w:left w:val="single" w:sz="4" w:space="0" w:color="auto"/>
              <w:bottom w:val="double" w:sz="6" w:space="0" w:color="auto"/>
              <w:right w:val="single" w:sz="4" w:space="0" w:color="auto"/>
            </w:tcBorders>
            <w:shd w:val="clear" w:color="auto" w:fill="auto"/>
            <w:noWrap/>
            <w:vAlign w:val="bottom"/>
          </w:tcPr>
          <w:p w:rsidR="00D44A1C" w:rsidRPr="006F25D2" w:rsidRDefault="00D44A1C" w:rsidP="00D44A1C">
            <w:pPr>
              <w:spacing w:before="0" w:after="0"/>
              <w:jc w:val="right"/>
              <w:rPr>
                <w:rFonts w:eastAsia="Times New Roman" w:cs="Arial"/>
                <w:b/>
                <w:bCs/>
                <w:i/>
                <w:iCs/>
                <w:color w:val="000000"/>
                <w:sz w:val="16"/>
                <w:szCs w:val="16"/>
                <w:lang w:eastAsia="cs-CZ"/>
              </w:rPr>
            </w:pPr>
            <w:r w:rsidRPr="006F25D2">
              <w:rPr>
                <w:rFonts w:eastAsia="Times New Roman" w:cs="Arial"/>
                <w:b/>
                <w:bCs/>
                <w:i/>
                <w:iCs/>
                <w:color w:val="000000"/>
                <w:sz w:val="16"/>
                <w:szCs w:val="16"/>
                <w:lang w:eastAsia="cs-CZ"/>
              </w:rPr>
              <w:t>12,14%</w:t>
            </w:r>
          </w:p>
        </w:tc>
        <w:tc>
          <w:tcPr>
            <w:tcW w:w="992" w:type="dxa"/>
            <w:tcBorders>
              <w:top w:val="double" w:sz="6" w:space="0" w:color="auto"/>
              <w:left w:val="nil"/>
              <w:bottom w:val="double" w:sz="6" w:space="0" w:color="auto"/>
              <w:right w:val="double" w:sz="6" w:space="0" w:color="auto"/>
            </w:tcBorders>
            <w:shd w:val="clear" w:color="auto" w:fill="auto"/>
            <w:noWrap/>
            <w:vAlign w:val="bottom"/>
          </w:tcPr>
          <w:p w:rsidR="00D44A1C" w:rsidRPr="006F25D2" w:rsidRDefault="00D44A1C" w:rsidP="00D44A1C">
            <w:pPr>
              <w:spacing w:before="0" w:after="0"/>
              <w:jc w:val="right"/>
              <w:rPr>
                <w:rFonts w:eastAsia="Times New Roman" w:cs="Arial"/>
                <w:b/>
                <w:bCs/>
                <w:i/>
                <w:iCs/>
                <w:color w:val="000000"/>
                <w:sz w:val="16"/>
                <w:szCs w:val="16"/>
                <w:lang w:eastAsia="cs-CZ"/>
              </w:rPr>
            </w:pPr>
            <w:r w:rsidRPr="006F25D2">
              <w:rPr>
                <w:rFonts w:eastAsia="Times New Roman" w:cs="Arial"/>
                <w:b/>
                <w:bCs/>
                <w:i/>
                <w:iCs/>
                <w:color w:val="000000"/>
                <w:sz w:val="16"/>
                <w:szCs w:val="16"/>
                <w:lang w:eastAsia="cs-CZ"/>
              </w:rPr>
              <w:t>27,09%</w:t>
            </w:r>
          </w:p>
        </w:tc>
        <w:tc>
          <w:tcPr>
            <w:tcW w:w="992" w:type="dxa"/>
            <w:vAlign w:val="bottom"/>
          </w:tcPr>
          <w:p w:rsidR="00D44A1C" w:rsidRDefault="00D44A1C" w:rsidP="00DC06B1">
            <w:pPr>
              <w:spacing w:before="0" w:after="0"/>
              <w:jc w:val="right"/>
              <w:rPr>
                <w:rFonts w:cs="Arial"/>
                <w:i/>
                <w:iCs/>
                <w:color w:val="9C0006"/>
                <w:sz w:val="16"/>
                <w:szCs w:val="16"/>
              </w:rPr>
            </w:pPr>
          </w:p>
        </w:tc>
      </w:tr>
    </w:tbl>
    <w:p w:rsidR="00F07EED" w:rsidRDefault="005C3CBF" w:rsidP="0045648F">
      <w:pPr>
        <w:spacing w:before="0" w:after="200"/>
      </w:pPr>
      <w:r>
        <w:t xml:space="preserve">Jak vyplývá z výše uvedených tabulek, projevuje se příznivý vývoj na trhu práce, zejména tedy v podobě vysoké poptávky po pracovní síle s nižšími požadavky na kvalifikaci, </w:t>
      </w:r>
      <w:r w:rsidRPr="004B62AC">
        <w:rPr>
          <w:b/>
        </w:rPr>
        <w:t>rovněž v poklesu počtu znevýhodněných osob. Přičemž se nejedná pouze o pokles absolutního počtu, ale v řadě případů i o pokles zastoupení znevýhodněných na celkové nezaměstnanosti</w:t>
      </w:r>
      <w:r>
        <w:t>, potažmo u některých skupin pouze v jejich mírném nárůstu. Patrný je tento trend zejména mezi dlouhodobě nezaměstnanými</w:t>
      </w:r>
      <w:r w:rsidR="005F5360">
        <w:t>, s nízkou kvalifikací</w:t>
      </w:r>
      <w:r>
        <w:t xml:space="preserve"> a u osob pečujících o dítě. Mírný nárůst zastoupení v celkové nezaměstnanosti byl, ovšem při souběžném poklesu v absolutních hodnotách, zaznamenán pouze u </w:t>
      </w:r>
      <w:r w:rsidR="005F5360">
        <w:t xml:space="preserve">starších </w:t>
      </w:r>
      <w:r>
        <w:t xml:space="preserve">osob (o </w:t>
      </w:r>
      <w:r w:rsidR="005F5360">
        <w:t>0,6</w:t>
      </w:r>
      <w:r>
        <w:t xml:space="preserve"> p. b.)</w:t>
      </w:r>
      <w:r w:rsidR="00B85166">
        <w:t>.</w:t>
      </w:r>
    </w:p>
    <w:p w:rsidR="001D717B" w:rsidRDefault="009524F7" w:rsidP="0045648F">
      <w:pPr>
        <w:spacing w:before="0" w:after="200"/>
      </w:pPr>
      <w:r>
        <w:rPr>
          <w:b/>
        </w:rPr>
        <w:t xml:space="preserve">Z pohledu struktury uchazečů o zaměstnání panuje relativně nejhorší situace </w:t>
      </w:r>
      <w:r w:rsidR="004B62AC" w:rsidRPr="00114B29">
        <w:rPr>
          <w:b/>
        </w:rPr>
        <w:t xml:space="preserve">v Ústeckém kraji, </w:t>
      </w:r>
      <w:r w:rsidR="004B62AC">
        <w:t>kde byly vyšší než průměrné hodnoty zaznamenány u 6 ze 7 sledovaných skupin, odráží se to mimo jiné v podílu dlouhodobě nezaměstnaných na uchazečích o zaměstnání, který činil k 31. 12. 2017 v tomto kraji 40,7 %</w:t>
      </w:r>
      <w:r w:rsidR="00D44A1C">
        <w:t xml:space="preserve">.  </w:t>
      </w:r>
      <w:r w:rsidR="00D44A1C" w:rsidRPr="00114B29">
        <w:rPr>
          <w:b/>
        </w:rPr>
        <w:t>Obdobná situace panovala v Karlovarském kraji</w:t>
      </w:r>
      <w:r w:rsidR="00D44A1C">
        <w:t>, kde zvýšené hodnoty byly rovněž zaznamenány u 6 ze 7 sledovaných skupin</w:t>
      </w:r>
      <w:r w:rsidR="0070390E">
        <w:t>.</w:t>
      </w:r>
      <w:r w:rsidR="00D44A1C">
        <w:t xml:space="preserve"> </w:t>
      </w:r>
      <w:r w:rsidR="0070390E">
        <w:t>J</w:t>
      </w:r>
      <w:r w:rsidR="00D44A1C">
        <w:t xml:space="preserve">edná </w:t>
      </w:r>
      <w:r w:rsidR="0070390E">
        <w:t xml:space="preserve">se </w:t>
      </w:r>
      <w:r w:rsidR="00D44A1C">
        <w:t xml:space="preserve">o kraj s třetí nejhorší situací z pohledu dlouhodobé nezaměstnanosti (po ULK a MSK, 36,7 % </w:t>
      </w:r>
      <w:proofErr w:type="spellStart"/>
      <w:r w:rsidR="00D44A1C">
        <w:t>UoZ</w:t>
      </w:r>
      <w:proofErr w:type="spellEnd"/>
      <w:r w:rsidR="00D44A1C">
        <w:t xml:space="preserve"> nezaměstnáno více jak 12 měsíců), ale zdaleka nejhorší vzdělanostní strukturou </w:t>
      </w:r>
      <w:proofErr w:type="spellStart"/>
      <w:r w:rsidR="00D44A1C">
        <w:t>UoZ</w:t>
      </w:r>
      <w:proofErr w:type="spellEnd"/>
      <w:r w:rsidR="00D44A1C">
        <w:t xml:space="preserve">, když podíl osob s nejvýše dosaženým základním vzděláním </w:t>
      </w:r>
      <w:r w:rsidR="0070390E">
        <w:t xml:space="preserve">zde </w:t>
      </w:r>
      <w:r w:rsidR="00D44A1C">
        <w:t xml:space="preserve">činil 53,1 %. Třetí strukturálně postižený kraj s dlouhodobě zvýšenou nezaměstnaností, Moravskoslezský kraj, vykazuje sice výrazně vysoké zastoupení dlouhodobě nezaměstnaností v podobě 42,7 % z uchazečů, překvapivě však vykazuje oproti průměru zvýšené hodnoty </w:t>
      </w:r>
      <w:r w:rsidR="0070390E">
        <w:t>pouze u </w:t>
      </w:r>
      <w:r w:rsidR="00D44A1C">
        <w:t>dalších dvou skupin – osob s nízkou kvalifikací a starších osob, v </w:t>
      </w:r>
      <w:r w:rsidR="0070390E">
        <w:t>obou případech zhruba o 3 p. b.</w:t>
      </w:r>
      <w:r w:rsidR="00D44A1C">
        <w:t xml:space="preserve"> Nicméně jedná se o v</w:t>
      </w:r>
      <w:r w:rsidR="000C3F9E">
        <w:t>elmi početné skupiny uchazečů o </w:t>
      </w:r>
      <w:r w:rsidR="00D44A1C">
        <w:t>zaměstnání</w:t>
      </w:r>
      <w:r w:rsidR="00114B29">
        <w:t xml:space="preserve">. </w:t>
      </w:r>
      <w:r w:rsidR="00114B29" w:rsidRPr="00114B29">
        <w:rPr>
          <w:b/>
        </w:rPr>
        <w:t>Zdaleka nejlépe si v tomto ohledu vede hl. m. Praha</w:t>
      </w:r>
      <w:r w:rsidR="0070390E">
        <w:t>, které</w:t>
      </w:r>
      <w:r w:rsidR="00114B29">
        <w:t xml:space="preserve"> vykazuje výrazně nižší než průměrné zastoupení znevýhodněných osob na uchazečích o zaměstnání ve všech sledovaných skupinách. Srovnání krajů z hlediska zastoupení znevýhodněných skupin na </w:t>
      </w:r>
      <w:proofErr w:type="spellStart"/>
      <w:r w:rsidR="00114B29">
        <w:t>UoZ</w:t>
      </w:r>
      <w:proofErr w:type="spellEnd"/>
      <w:r w:rsidR="00114B29">
        <w:t xml:space="preserve"> viz </w:t>
      </w:r>
      <w:r w:rsidR="00114B29">
        <w:fldChar w:fldCharType="begin"/>
      </w:r>
      <w:r w:rsidR="00114B29">
        <w:instrText xml:space="preserve"> REF _Ref508365840 \h </w:instrText>
      </w:r>
      <w:r w:rsidR="00114B29">
        <w:fldChar w:fldCharType="separate"/>
      </w:r>
      <w:r w:rsidR="00F41CBA">
        <w:t xml:space="preserve">Graf č.: </w:t>
      </w:r>
      <w:r w:rsidR="00F41CBA">
        <w:rPr>
          <w:noProof/>
        </w:rPr>
        <w:t>5</w:t>
      </w:r>
      <w:r w:rsidR="00114B29">
        <w:fldChar w:fldCharType="end"/>
      </w:r>
      <w:r w:rsidR="006F25D2">
        <w:t>.</w:t>
      </w:r>
    </w:p>
    <w:p w:rsidR="00114B29" w:rsidRDefault="00114B29" w:rsidP="006F25D2">
      <w:pPr>
        <w:pStyle w:val="Titulek"/>
        <w:keepNext/>
        <w:spacing w:after="120"/>
      </w:pPr>
      <w:bookmarkStart w:id="30" w:name="_Ref508365840"/>
      <w:bookmarkStart w:id="31" w:name="_Toc508704208"/>
      <w:r>
        <w:t xml:space="preserve">Graf č.: </w:t>
      </w:r>
      <w:r w:rsidR="007B53ED">
        <w:fldChar w:fldCharType="begin"/>
      </w:r>
      <w:r w:rsidR="007B53ED">
        <w:instrText xml:space="preserve"> SEQ Graf_č.: \* ARABIC </w:instrText>
      </w:r>
      <w:r w:rsidR="007B53ED">
        <w:fldChar w:fldCharType="separate"/>
      </w:r>
      <w:r w:rsidR="00F41CBA">
        <w:rPr>
          <w:noProof/>
        </w:rPr>
        <w:t>5</w:t>
      </w:r>
      <w:r w:rsidR="007B53ED">
        <w:rPr>
          <w:noProof/>
        </w:rPr>
        <w:fldChar w:fldCharType="end"/>
      </w:r>
      <w:bookmarkEnd w:id="30"/>
      <w:r>
        <w:t xml:space="preserve"> Srovná</w:t>
      </w:r>
      <w:r w:rsidR="006F25D2">
        <w:t>ní krajů </w:t>
      </w:r>
      <w:r>
        <w:t>z</w:t>
      </w:r>
      <w:r w:rsidR="006F25D2">
        <w:t xml:space="preserve"> </w:t>
      </w:r>
      <w:r>
        <w:t>poh</w:t>
      </w:r>
      <w:r w:rsidR="006F25D2">
        <w:t>l</w:t>
      </w:r>
      <w:r>
        <w:t xml:space="preserve">edu struktury znevýhodněných </w:t>
      </w:r>
      <w:proofErr w:type="spellStart"/>
      <w:r>
        <w:t>UoZ</w:t>
      </w:r>
      <w:proofErr w:type="spellEnd"/>
      <w:r>
        <w:t xml:space="preserve"> (k 31. 12. 2017)</w:t>
      </w:r>
      <w:r>
        <w:rPr>
          <w:rStyle w:val="Znakapoznpodarou"/>
        </w:rPr>
        <w:footnoteReference w:id="8"/>
      </w:r>
      <w:bookmarkEnd w:id="31"/>
    </w:p>
    <w:p w:rsidR="00114B29" w:rsidRDefault="00114B29" w:rsidP="0045648F">
      <w:pPr>
        <w:spacing w:before="0" w:after="200"/>
      </w:pPr>
      <w:r>
        <w:rPr>
          <w:noProof/>
          <w:lang w:eastAsia="cs-CZ"/>
        </w:rPr>
        <w:drawing>
          <wp:inline distT="0" distB="0" distL="0" distR="0" wp14:anchorId="084E56EF" wp14:editId="4069B3B0">
            <wp:extent cx="5762625" cy="2419350"/>
            <wp:effectExtent l="0" t="0" r="9525" b="1905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C06B1" w:rsidRDefault="00DC06B1" w:rsidP="007B5796">
      <w:pPr>
        <w:pStyle w:val="Nadpis3"/>
      </w:pPr>
      <w:bookmarkStart w:id="32" w:name="_Toc509474127"/>
      <w:r>
        <w:t>Struktura uchazečů o zaměstnání podle doby evidence</w:t>
      </w:r>
      <w:bookmarkEnd w:id="32"/>
    </w:p>
    <w:p w:rsidR="001D717B" w:rsidRDefault="002362E7" w:rsidP="0045648F">
      <w:pPr>
        <w:spacing w:before="0" w:after="200"/>
      </w:pPr>
      <w:r>
        <w:t xml:space="preserve">S ohledem na přetrvávající dynamiku trhu práce pokračuje nadále </w:t>
      </w:r>
      <w:r w:rsidRPr="00F251EB">
        <w:rPr>
          <w:b/>
        </w:rPr>
        <w:t>trend proměny struktury uchazečů o zaměstnání z pohledu doby jejich evidence směrem ke snižování podílu dlouhodobě nezaměstnaných osob a zvyšování podílu osob s kratší evidencí</w:t>
      </w:r>
      <w:r w:rsidR="00F251EB" w:rsidRPr="00F251EB">
        <w:rPr>
          <w:b/>
        </w:rPr>
        <w:t>.</w:t>
      </w:r>
      <w:r w:rsidR="00F251EB">
        <w:t xml:space="preserve"> Uchazeči evidovaní méně než 3 měs</w:t>
      </w:r>
      <w:r w:rsidR="0070390E">
        <w:t>íce tvořili 35,2 %, v rozpětí 3 </w:t>
      </w:r>
      <w:r w:rsidR="00F251EB">
        <w:t>až 6 měsíců 16,5 %. Naopak podíl dlouhodobě evidovaných (nad 12 měsíců) poklesl na 33,7 %. Jistý vliv na této skutečnosti, zejména ve srovnání s hodnotami k 30. 6. 2017</w:t>
      </w:r>
      <w:r w:rsidR="0070390E">
        <w:t>,</w:t>
      </w:r>
      <w:r w:rsidR="00F251EB">
        <w:t xml:space="preserve"> mají sezónně ukončované práce, které zvyšují podílové zastoupení osob s kratší evidencí. Nicméně struktura podle doby evidence se tímto pozitivním směrem mění i v meziročním srovnání. </w:t>
      </w:r>
      <w:r w:rsidR="00F251EB" w:rsidRPr="00F251EB">
        <w:rPr>
          <w:b/>
        </w:rPr>
        <w:t>Podíl dlouhodobě nezaměstnaných osob tak meziročně klesl o více jak 4,1 p. b. (k 31. 12. 2016 činil jejich podíl 37,8 %)</w:t>
      </w:r>
      <w:r w:rsidR="00FC536A">
        <w:t xml:space="preserve"> a </w:t>
      </w:r>
      <w:r w:rsidR="00F251EB">
        <w:t xml:space="preserve">rovněž meziročně vzrostlo zastoupení </w:t>
      </w:r>
      <w:proofErr w:type="spellStart"/>
      <w:r w:rsidR="00F251EB">
        <w:t>UoZ</w:t>
      </w:r>
      <w:proofErr w:type="spellEnd"/>
      <w:r w:rsidR="00F251EB">
        <w:t xml:space="preserve"> s dobou evidence do 3 měsíců, konkrétně o 4,3 p. b. Jedná se tedy o skutečně dlouhodobější trend. Vývoj struktury </w:t>
      </w:r>
      <w:proofErr w:type="spellStart"/>
      <w:r w:rsidR="00475321">
        <w:t>UoZ</w:t>
      </w:r>
      <w:proofErr w:type="spellEnd"/>
      <w:r w:rsidR="00475321">
        <w:t xml:space="preserve"> podle délky evidence zobrazuje </w:t>
      </w:r>
      <w:r w:rsidR="00B77F3C">
        <w:fldChar w:fldCharType="begin"/>
      </w:r>
      <w:r w:rsidR="00B77F3C">
        <w:instrText xml:space="preserve"> REF _Ref508372129 \h </w:instrText>
      </w:r>
      <w:r w:rsidR="00B77F3C">
        <w:fldChar w:fldCharType="separate"/>
      </w:r>
      <w:r w:rsidR="00F41CBA">
        <w:t xml:space="preserve">Graf č.: </w:t>
      </w:r>
      <w:r w:rsidR="00F41CBA">
        <w:rPr>
          <w:noProof/>
        </w:rPr>
        <w:t>6</w:t>
      </w:r>
      <w:r w:rsidR="00B77F3C">
        <w:fldChar w:fldCharType="end"/>
      </w:r>
      <w:r w:rsidR="00B77F3C">
        <w:t>,</w:t>
      </w:r>
      <w:r w:rsidR="00475321">
        <w:t xml:space="preserve"> a to v posledních dvou </w:t>
      </w:r>
      <w:r w:rsidR="00324849">
        <w:t>letech</w:t>
      </w:r>
      <w:r w:rsidR="00475321">
        <w:t xml:space="preserve"> za celou ČR, strukturu k 31. 12. 2017 podle krajů pak </w:t>
      </w:r>
      <w:r w:rsidR="00B77F3C">
        <w:fldChar w:fldCharType="begin"/>
      </w:r>
      <w:r w:rsidR="00B77F3C">
        <w:instrText xml:space="preserve"> REF _Ref508372148 \h </w:instrText>
      </w:r>
      <w:r w:rsidR="00B77F3C">
        <w:fldChar w:fldCharType="separate"/>
      </w:r>
      <w:r w:rsidR="00F41CBA">
        <w:t xml:space="preserve">Graf č.: </w:t>
      </w:r>
      <w:r w:rsidR="00F41CBA">
        <w:rPr>
          <w:noProof/>
        </w:rPr>
        <w:t>7</w:t>
      </w:r>
      <w:r w:rsidR="00B77F3C">
        <w:fldChar w:fldCharType="end"/>
      </w:r>
      <w:r w:rsidR="00475321">
        <w:t>.</w:t>
      </w:r>
      <w:r w:rsidR="00324849">
        <w:t xml:space="preserve"> </w:t>
      </w:r>
      <w:r w:rsidR="00324849" w:rsidRPr="007C73CF">
        <w:t xml:space="preserve">Rozboru dlouhodobé nezaměstnanosti je věnována samostatná </w:t>
      </w:r>
      <w:r w:rsidR="00C402D0">
        <w:t xml:space="preserve">část </w:t>
      </w:r>
      <w:r w:rsidR="00C402D0">
        <w:rPr>
          <w:highlight w:val="yellow"/>
        </w:rPr>
        <w:fldChar w:fldCharType="begin"/>
      </w:r>
      <w:r w:rsidR="00C402D0">
        <w:instrText xml:space="preserve"> REF _Ref508386294 \r \h </w:instrText>
      </w:r>
      <w:r w:rsidR="00C402D0">
        <w:rPr>
          <w:highlight w:val="yellow"/>
        </w:rPr>
      </w:r>
      <w:r w:rsidR="00C402D0">
        <w:rPr>
          <w:highlight w:val="yellow"/>
        </w:rPr>
        <w:fldChar w:fldCharType="separate"/>
      </w:r>
      <w:r w:rsidR="00F41CBA">
        <w:t>B)</w:t>
      </w:r>
      <w:r w:rsidR="00C402D0">
        <w:rPr>
          <w:highlight w:val="yellow"/>
        </w:rPr>
        <w:fldChar w:fldCharType="end"/>
      </w:r>
      <w:r w:rsidR="00C402D0">
        <w:t xml:space="preserve"> tohoto materiálu (str. </w:t>
      </w:r>
      <w:r w:rsidR="00C402D0">
        <w:fldChar w:fldCharType="begin"/>
      </w:r>
      <w:r w:rsidR="00C402D0">
        <w:instrText xml:space="preserve"> PAGEREF _Ref508386294 \h </w:instrText>
      </w:r>
      <w:r w:rsidR="00C402D0">
        <w:fldChar w:fldCharType="separate"/>
      </w:r>
      <w:r w:rsidR="00F41CBA">
        <w:rPr>
          <w:noProof/>
        </w:rPr>
        <w:t>24</w:t>
      </w:r>
      <w:r w:rsidR="00C402D0">
        <w:fldChar w:fldCharType="end"/>
      </w:r>
      <w:r w:rsidR="00C402D0">
        <w:t>)</w:t>
      </w:r>
      <w:r w:rsidR="007C73CF">
        <w:t>.</w:t>
      </w:r>
    </w:p>
    <w:p w:rsidR="00B77F3C" w:rsidRDefault="00B77F3C" w:rsidP="00B77F3C">
      <w:pPr>
        <w:pStyle w:val="Titulek"/>
        <w:keepNext/>
      </w:pPr>
      <w:bookmarkStart w:id="33" w:name="_Ref508372129"/>
      <w:bookmarkStart w:id="34" w:name="_Toc508704209"/>
      <w:r>
        <w:t xml:space="preserve">Graf č.: </w:t>
      </w:r>
      <w:r w:rsidR="007B53ED">
        <w:fldChar w:fldCharType="begin"/>
      </w:r>
      <w:r w:rsidR="007B53ED">
        <w:instrText xml:space="preserve"> SEQ Graf_č.: \* ARABIC </w:instrText>
      </w:r>
      <w:r w:rsidR="007B53ED">
        <w:fldChar w:fldCharType="separate"/>
      </w:r>
      <w:r w:rsidR="00F41CBA">
        <w:rPr>
          <w:noProof/>
        </w:rPr>
        <w:t>6</w:t>
      </w:r>
      <w:r w:rsidR="007B53ED">
        <w:rPr>
          <w:noProof/>
        </w:rPr>
        <w:fldChar w:fldCharType="end"/>
      </w:r>
      <w:bookmarkEnd w:id="33"/>
      <w:r>
        <w:t xml:space="preserve"> Vývoj struktury </w:t>
      </w:r>
      <w:proofErr w:type="spellStart"/>
      <w:r>
        <w:t>UoZ</w:t>
      </w:r>
      <w:proofErr w:type="spellEnd"/>
      <w:r>
        <w:t xml:space="preserve"> podle doby evidence</w:t>
      </w:r>
      <w:bookmarkEnd w:id="34"/>
    </w:p>
    <w:p w:rsidR="00044F8A" w:rsidRDefault="00475321" w:rsidP="0045648F">
      <w:pPr>
        <w:spacing w:before="0" w:after="200"/>
      </w:pPr>
      <w:r>
        <w:rPr>
          <w:noProof/>
          <w:lang w:eastAsia="cs-CZ"/>
        </w:rPr>
        <w:drawing>
          <wp:inline distT="0" distB="0" distL="0" distR="0" wp14:anchorId="321F4EDD" wp14:editId="76214BA6">
            <wp:extent cx="5762625" cy="1924050"/>
            <wp:effectExtent l="0" t="0" r="9525" b="19050"/>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77F3C" w:rsidRDefault="00B77F3C" w:rsidP="00B77F3C">
      <w:pPr>
        <w:pStyle w:val="Titulek"/>
        <w:keepNext/>
      </w:pPr>
      <w:bookmarkStart w:id="35" w:name="_Ref508372148"/>
      <w:bookmarkStart w:id="36" w:name="_Toc508704210"/>
      <w:r>
        <w:t xml:space="preserve">Graf č.: </w:t>
      </w:r>
      <w:r w:rsidR="007B53ED">
        <w:fldChar w:fldCharType="begin"/>
      </w:r>
      <w:r w:rsidR="007B53ED">
        <w:instrText xml:space="preserve"> SEQ Graf_č.: \* ARABIC </w:instrText>
      </w:r>
      <w:r w:rsidR="007B53ED">
        <w:fldChar w:fldCharType="separate"/>
      </w:r>
      <w:r w:rsidR="00F41CBA">
        <w:rPr>
          <w:noProof/>
        </w:rPr>
        <w:t>7</w:t>
      </w:r>
      <w:r w:rsidR="007B53ED">
        <w:rPr>
          <w:noProof/>
        </w:rPr>
        <w:fldChar w:fldCharType="end"/>
      </w:r>
      <w:bookmarkEnd w:id="35"/>
      <w:r>
        <w:t xml:space="preserve"> Struktura </w:t>
      </w:r>
      <w:proofErr w:type="spellStart"/>
      <w:r>
        <w:t>UoZ</w:t>
      </w:r>
      <w:proofErr w:type="spellEnd"/>
      <w:r>
        <w:t xml:space="preserve"> podle doby evidence v krajích k 31. 12. 2017</w:t>
      </w:r>
      <w:bookmarkEnd w:id="36"/>
    </w:p>
    <w:p w:rsidR="00475321" w:rsidRDefault="00475321" w:rsidP="0045648F">
      <w:pPr>
        <w:spacing w:before="0" w:after="200"/>
      </w:pPr>
      <w:r>
        <w:rPr>
          <w:noProof/>
          <w:lang w:eastAsia="cs-CZ"/>
        </w:rPr>
        <w:drawing>
          <wp:inline distT="0" distB="0" distL="0" distR="0" wp14:anchorId="76601790" wp14:editId="5F74DDAE">
            <wp:extent cx="5760720" cy="2958754"/>
            <wp:effectExtent l="0" t="0" r="11430" b="13335"/>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C06B1" w:rsidRDefault="00DC06B1" w:rsidP="007B5796">
      <w:pPr>
        <w:pStyle w:val="Nadpis3"/>
      </w:pPr>
      <w:bookmarkStart w:id="37" w:name="_Toc509474128"/>
      <w:r>
        <w:t>Struktura uchazečů o zaměstnání podle vzdělání</w:t>
      </w:r>
      <w:bookmarkEnd w:id="37"/>
    </w:p>
    <w:p w:rsidR="00324849" w:rsidRDefault="00324849" w:rsidP="00324849">
      <w:pPr>
        <w:spacing w:before="0" w:after="200"/>
      </w:pPr>
      <w:r>
        <w:t xml:space="preserve">Z pohledu vzdělanostní struktury nedošlo oproti stavu ke konci 1. pololetí 2017 k výraznějším změnám. </w:t>
      </w:r>
      <w:r w:rsidRPr="006E7A3D">
        <w:rPr>
          <w:b/>
        </w:rPr>
        <w:t xml:space="preserve">K nejvýraznější změně došlo u nejvíce zastoupené skupiny </w:t>
      </w:r>
      <w:proofErr w:type="spellStart"/>
      <w:r w:rsidRPr="006E7A3D">
        <w:rPr>
          <w:b/>
        </w:rPr>
        <w:t>UoZ</w:t>
      </w:r>
      <w:proofErr w:type="spellEnd"/>
      <w:r w:rsidRPr="006E7A3D">
        <w:rPr>
          <w:b/>
        </w:rPr>
        <w:t xml:space="preserve"> se středním odborným vzděláním s vyučením, </w:t>
      </w:r>
      <w:r w:rsidRPr="006E7A3D">
        <w:t>když jejich podíl mezi pololetími narostl o 2 p. b., meziročně však jen o 0,5 p. b.</w:t>
      </w:r>
      <w:r w:rsidRPr="006E7A3D">
        <w:rPr>
          <w:b/>
        </w:rPr>
        <w:t xml:space="preserve"> Podíl této skupiny na uchazečích o zaměstnání činí 36,3 %</w:t>
      </w:r>
      <w:r>
        <w:rPr>
          <w:b/>
        </w:rPr>
        <w:t xml:space="preserve">. Druhou nejčetnější skupinou jsou </w:t>
      </w:r>
      <w:proofErr w:type="spellStart"/>
      <w:r>
        <w:rPr>
          <w:b/>
        </w:rPr>
        <w:t>UoZ</w:t>
      </w:r>
      <w:proofErr w:type="spellEnd"/>
      <w:r>
        <w:rPr>
          <w:b/>
        </w:rPr>
        <w:t xml:space="preserve"> s nejvýše dosaženým ZŠ, a to s podílem 30,6 %.</w:t>
      </w:r>
      <w:r w:rsidRPr="006E7A3D">
        <w:t xml:space="preserve"> S ohledem na vysokou poptávku po zaměstnancích s nižším vzděláním </w:t>
      </w:r>
      <w:r>
        <w:t xml:space="preserve">však </w:t>
      </w:r>
      <w:r w:rsidRPr="006E7A3D">
        <w:t xml:space="preserve">mírně pokleslo zastoupení </w:t>
      </w:r>
      <w:r>
        <w:t>této skupiny</w:t>
      </w:r>
      <w:r w:rsidRPr="006E7A3D">
        <w:t xml:space="preserve"> (o 1 p. b.).</w:t>
      </w:r>
      <w:r>
        <w:t xml:space="preserve"> Vzdělanostní struktura velmi výrazně kopíruje míru zastoupení znevýhodněných osob v evidenci uchazečů o zaměstnání, což odpovídá vazbě mezi dosaženou kvalifikací a schopností uplatnit se na trhu práce. Vysoké zastoupení osob se základním vzděláním je patrné v Ústeckém a Karlovarském kraji. Specifickou vzdělanostní strukturu </w:t>
      </w:r>
      <w:proofErr w:type="spellStart"/>
      <w:r>
        <w:t>UoZ</w:t>
      </w:r>
      <w:proofErr w:type="spellEnd"/>
      <w:r>
        <w:t xml:space="preserve"> má hl. m. Praha, kde je významně vyšší přítomnost osob s VŠ v evidenci </w:t>
      </w:r>
      <w:proofErr w:type="spellStart"/>
      <w:r>
        <w:t>UoZ</w:t>
      </w:r>
      <w:proofErr w:type="spellEnd"/>
      <w:r>
        <w:t xml:space="preserve">, naopak výrazně nižší oproti průměru je zastoupení osob se ZŠ. Vzdělanostní strukturu </w:t>
      </w:r>
      <w:proofErr w:type="spellStart"/>
      <w:r>
        <w:t>UoZ</w:t>
      </w:r>
      <w:proofErr w:type="spellEnd"/>
      <w:r>
        <w:t xml:space="preserve"> zobrazuje </w:t>
      </w:r>
      <w:r>
        <w:fldChar w:fldCharType="begin"/>
      </w:r>
      <w:r>
        <w:instrText xml:space="preserve"> REF _Ref508369863 \h </w:instrText>
      </w:r>
      <w:r>
        <w:fldChar w:fldCharType="separate"/>
      </w:r>
      <w:r w:rsidR="00F41CBA">
        <w:t xml:space="preserve">Graf č.: </w:t>
      </w:r>
      <w:r w:rsidR="00F41CBA">
        <w:rPr>
          <w:noProof/>
        </w:rPr>
        <w:t>8</w:t>
      </w:r>
      <w:r>
        <w:fldChar w:fldCharType="end"/>
      </w:r>
      <w:r>
        <w:t>.</w:t>
      </w:r>
    </w:p>
    <w:p w:rsidR="00324849" w:rsidRDefault="00324849" w:rsidP="00324849">
      <w:pPr>
        <w:pStyle w:val="Titulek"/>
        <w:keepNext/>
      </w:pPr>
      <w:bookmarkStart w:id="38" w:name="_Ref508369863"/>
      <w:bookmarkStart w:id="39" w:name="_Toc508704211"/>
      <w:r>
        <w:t xml:space="preserve">Graf č.: </w:t>
      </w:r>
      <w:r w:rsidR="007B53ED">
        <w:fldChar w:fldCharType="begin"/>
      </w:r>
      <w:r w:rsidR="007B53ED">
        <w:instrText xml:space="preserve"> SEQ Graf_č.: \* ARABIC </w:instrText>
      </w:r>
      <w:r w:rsidR="007B53ED">
        <w:fldChar w:fldCharType="separate"/>
      </w:r>
      <w:r w:rsidR="00F41CBA">
        <w:rPr>
          <w:noProof/>
        </w:rPr>
        <w:t>8</w:t>
      </w:r>
      <w:r w:rsidR="007B53ED">
        <w:rPr>
          <w:noProof/>
        </w:rPr>
        <w:fldChar w:fldCharType="end"/>
      </w:r>
      <w:bookmarkEnd w:id="38"/>
      <w:r>
        <w:t xml:space="preserve"> Vzdělanostní struktura </w:t>
      </w:r>
      <w:proofErr w:type="spellStart"/>
      <w:r>
        <w:t>UoZ</w:t>
      </w:r>
      <w:proofErr w:type="spellEnd"/>
      <w:r>
        <w:t xml:space="preserve"> v krajích k 31. 12. 2017</w:t>
      </w:r>
      <w:bookmarkEnd w:id="39"/>
    </w:p>
    <w:p w:rsidR="00324849" w:rsidRDefault="00324849" w:rsidP="00324849">
      <w:pPr>
        <w:spacing w:before="0" w:after="200"/>
      </w:pPr>
      <w:r>
        <w:rPr>
          <w:noProof/>
          <w:lang w:eastAsia="cs-CZ"/>
        </w:rPr>
        <w:drawing>
          <wp:inline distT="0" distB="0" distL="0" distR="0" wp14:anchorId="21694B7B" wp14:editId="5F817D68">
            <wp:extent cx="5762625" cy="4162425"/>
            <wp:effectExtent l="0" t="0" r="9525" b="9525"/>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24849" w:rsidRDefault="00324849" w:rsidP="00324849">
      <w:pPr>
        <w:spacing w:before="0" w:after="200"/>
      </w:pPr>
      <w:r>
        <w:t>Vzhledem k zastoupení osob se základním vzděláním a osob vyučených mezi uchazeči o zaměstnání, tak v tomto ohledu alespoň částečně koreluje struktura uchazečů o zaměstnání s poptávkou po pracovní síle, tj. strukturou volných pracovních míst podle vzdělání, neboť rovněž mezi volnými pracovními místy jsou dominující pracovní místa s požadavkem na základní vzdělání či vyučení. S ohledem na problémy při obsazování volných pracovních míst, projevující se vysokým podílem dlouhodo</w:t>
      </w:r>
      <w:r w:rsidR="0070390E">
        <w:t>bě neobsazených pracovních míst</w:t>
      </w:r>
      <w:r>
        <w:t xml:space="preserve"> v hl. třídě zaměstnání </w:t>
      </w:r>
      <w:r>
        <w:rPr>
          <w:i/>
        </w:rPr>
        <w:t>řemeslníci</w:t>
      </w:r>
      <w:r>
        <w:t>, v níž lze očekávat právě požadavek na vyučení v příslušném oboru</w:t>
      </w:r>
      <w:r w:rsidRPr="00324849">
        <w:rPr>
          <w:b/>
        </w:rPr>
        <w:t>, lze usuzovat na nesoulad mezi kvalifikačními požadavky zaměstnavatelů a schopnostmi, dovednostmi a kompetencemi uchazečů o zaměstnání</w:t>
      </w:r>
      <w:r>
        <w:t>, a to i přes to, že stupeň vzdělání je odpovídající.</w:t>
      </w:r>
      <w:r w:rsidR="00FD0406">
        <w:t xml:space="preserve"> </w:t>
      </w:r>
    </w:p>
    <w:p w:rsidR="00FD0406" w:rsidRDefault="00FD0406" w:rsidP="00324849">
      <w:pPr>
        <w:spacing w:before="0" w:after="200"/>
      </w:pPr>
      <w:r>
        <w:fldChar w:fldCharType="begin"/>
      </w:r>
      <w:r>
        <w:instrText xml:space="preserve"> REF _Ref508376048 \h </w:instrText>
      </w:r>
      <w:r>
        <w:fldChar w:fldCharType="separate"/>
      </w:r>
      <w:r w:rsidR="00F41CBA">
        <w:t xml:space="preserve">Graf č.: </w:t>
      </w:r>
      <w:r w:rsidR="00F41CBA">
        <w:rPr>
          <w:noProof/>
        </w:rPr>
        <w:t>9</w:t>
      </w:r>
      <w:r>
        <w:fldChar w:fldCharType="end"/>
      </w:r>
      <w:r>
        <w:t xml:space="preserve"> zobrazuje vzájemný vztah mezi nabídkou a poptávkou na trhu práce z pohledu vzdělanostní struktury. Je z něj patrné, že zaměstnavatelé nejvýznamněji poptávají nízko kvalifikované profese, přičemž poptávka téměř dvojnásobně přesahuje nabídku. K 30. 6. 2017 byl</w:t>
      </w:r>
      <w:r w:rsidR="008F7C8B">
        <w:t>y</w:t>
      </w:r>
      <w:r>
        <w:t xml:space="preserve"> přitom </w:t>
      </w:r>
      <w:r w:rsidR="008F7C8B">
        <w:t>v této skupině nabídka a </w:t>
      </w:r>
      <w:r>
        <w:t>poptávk</w:t>
      </w:r>
      <w:r w:rsidR="008F7C8B">
        <w:t>a</w:t>
      </w:r>
      <w:r>
        <w:t xml:space="preserve"> prakticky vyrovnán</w:t>
      </w:r>
      <w:r w:rsidR="008F7C8B">
        <w:t>y</w:t>
      </w:r>
      <w:r>
        <w:t>, oproti tomu v případě vyučených je situace ke konci roku prakticky totožná s jeho polovinou a nedošlo u této skupiny k žádné změně.</w:t>
      </w:r>
    </w:p>
    <w:p w:rsidR="00FD0406" w:rsidRDefault="00FD0406" w:rsidP="00FD0406">
      <w:pPr>
        <w:pStyle w:val="Titulek"/>
        <w:keepNext/>
      </w:pPr>
      <w:bookmarkStart w:id="40" w:name="_Ref508376048"/>
      <w:bookmarkStart w:id="41" w:name="_Toc508704212"/>
      <w:r>
        <w:t xml:space="preserve">Graf č.: </w:t>
      </w:r>
      <w:r w:rsidR="007B53ED">
        <w:fldChar w:fldCharType="begin"/>
      </w:r>
      <w:r w:rsidR="007B53ED">
        <w:instrText xml:space="preserve"> SEQ Graf_č.: \* ARABIC </w:instrText>
      </w:r>
      <w:r w:rsidR="007B53ED">
        <w:fldChar w:fldCharType="separate"/>
      </w:r>
      <w:r w:rsidR="00F41CBA">
        <w:rPr>
          <w:noProof/>
        </w:rPr>
        <w:t>9</w:t>
      </w:r>
      <w:r w:rsidR="007B53ED">
        <w:rPr>
          <w:noProof/>
        </w:rPr>
        <w:fldChar w:fldCharType="end"/>
      </w:r>
      <w:bookmarkEnd w:id="40"/>
      <w:r>
        <w:t xml:space="preserve"> </w:t>
      </w:r>
      <w:r w:rsidRPr="008C4ADB">
        <w:t xml:space="preserve">Počet </w:t>
      </w:r>
      <w:proofErr w:type="spellStart"/>
      <w:r w:rsidRPr="008C4ADB">
        <w:t>UoZ</w:t>
      </w:r>
      <w:proofErr w:type="spellEnd"/>
      <w:r w:rsidRPr="008C4ADB">
        <w:t xml:space="preserve"> a VPM k 3</w:t>
      </w:r>
      <w:r>
        <w:t>1</w:t>
      </w:r>
      <w:r w:rsidRPr="008C4ADB">
        <w:t xml:space="preserve">. </w:t>
      </w:r>
      <w:r>
        <w:t>12</w:t>
      </w:r>
      <w:r w:rsidRPr="008C4ADB">
        <w:t>. 2017 a poč</w:t>
      </w:r>
      <w:r w:rsidR="00B85166">
        <w:t>e</w:t>
      </w:r>
      <w:r w:rsidRPr="008C4ADB">
        <w:t xml:space="preserve">t </w:t>
      </w:r>
      <w:proofErr w:type="spellStart"/>
      <w:r w:rsidRPr="008C4ADB">
        <w:t>UoZ</w:t>
      </w:r>
      <w:proofErr w:type="spellEnd"/>
      <w:r w:rsidRPr="008C4ADB">
        <w:t>/VPM</w:t>
      </w:r>
      <w:r w:rsidR="00FD572A">
        <w:t xml:space="preserve"> (pravá osa)</w:t>
      </w:r>
      <w:r w:rsidRPr="008C4ADB">
        <w:t xml:space="preserve"> k 3</w:t>
      </w:r>
      <w:r>
        <w:t>1</w:t>
      </w:r>
      <w:r w:rsidRPr="008C4ADB">
        <w:t xml:space="preserve">. </w:t>
      </w:r>
      <w:r>
        <w:t>12</w:t>
      </w:r>
      <w:r w:rsidRPr="008C4ADB">
        <w:t>. 2017 a 3</w:t>
      </w:r>
      <w:r>
        <w:t>0</w:t>
      </w:r>
      <w:r w:rsidRPr="008C4ADB">
        <w:t xml:space="preserve">. </w:t>
      </w:r>
      <w:r>
        <w:t>6</w:t>
      </w:r>
      <w:r w:rsidRPr="008C4ADB">
        <w:t>. 201</w:t>
      </w:r>
      <w:r>
        <w:t>7</w:t>
      </w:r>
      <w:r w:rsidRPr="008C4ADB">
        <w:t xml:space="preserve"> podle vzdělání</w:t>
      </w:r>
      <w:bookmarkEnd w:id="41"/>
    </w:p>
    <w:p w:rsidR="00FD0406" w:rsidRPr="00324849" w:rsidRDefault="00FD572A" w:rsidP="00324849">
      <w:pPr>
        <w:spacing w:before="0" w:after="200"/>
      </w:pPr>
      <w:r>
        <w:rPr>
          <w:noProof/>
          <w:lang w:eastAsia="cs-CZ"/>
        </w:rPr>
        <w:drawing>
          <wp:inline distT="0" distB="0" distL="0" distR="0">
            <wp:extent cx="5686425" cy="2705100"/>
            <wp:effectExtent l="0" t="0" r="9525" b="0"/>
            <wp:docPr id="17" name="Obrázek 17" descr="cid:image002.png@01D3C1D5.01EA3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 2" descr="cid:image002.png@01D3C1D5.01EA3F40"/>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5686425" cy="2705100"/>
                    </a:xfrm>
                    <a:prstGeom prst="rect">
                      <a:avLst/>
                    </a:prstGeom>
                    <a:noFill/>
                    <a:ln>
                      <a:noFill/>
                    </a:ln>
                  </pic:spPr>
                </pic:pic>
              </a:graphicData>
            </a:graphic>
          </wp:inline>
        </w:drawing>
      </w:r>
    </w:p>
    <w:tbl>
      <w:tblPr>
        <w:tblW w:w="9006" w:type="dxa"/>
        <w:tblInd w:w="70" w:type="dxa"/>
        <w:tblLayout w:type="fixed"/>
        <w:tblCellMar>
          <w:left w:w="70" w:type="dxa"/>
          <w:right w:w="70" w:type="dxa"/>
        </w:tblCellMar>
        <w:tblLook w:val="04A0" w:firstRow="1" w:lastRow="0" w:firstColumn="1" w:lastColumn="0" w:noHBand="0" w:noVBand="1"/>
      </w:tblPr>
      <w:tblGrid>
        <w:gridCol w:w="269"/>
        <w:gridCol w:w="4673"/>
        <w:gridCol w:w="289"/>
        <w:gridCol w:w="3775"/>
      </w:tblGrid>
      <w:tr w:rsidR="00FD0406" w:rsidRPr="00FD0406" w:rsidTr="006C6EEE">
        <w:trPr>
          <w:trHeight w:val="242"/>
        </w:trPr>
        <w:tc>
          <w:tcPr>
            <w:tcW w:w="269" w:type="dxa"/>
            <w:shd w:val="clear" w:color="auto" w:fill="auto"/>
            <w:noWrap/>
            <w:vAlign w:val="center"/>
            <w:hideMark/>
          </w:tcPr>
          <w:p w:rsidR="00FD0406" w:rsidRPr="00FD0406" w:rsidRDefault="00FD0406" w:rsidP="00FD0406">
            <w:pPr>
              <w:spacing w:before="0" w:after="0"/>
              <w:jc w:val="left"/>
              <w:rPr>
                <w:rFonts w:eastAsia="Times New Roman" w:cs="Arial"/>
                <w:color w:val="000000"/>
                <w:sz w:val="16"/>
                <w:lang w:eastAsia="cs-CZ"/>
              </w:rPr>
            </w:pPr>
            <w:r w:rsidRPr="00FD0406">
              <w:rPr>
                <w:rFonts w:eastAsia="Times New Roman" w:cs="Arial"/>
                <w:color w:val="000000"/>
                <w:sz w:val="16"/>
                <w:lang w:eastAsia="cs-CZ"/>
              </w:rPr>
              <w:t>A</w:t>
            </w:r>
          </w:p>
        </w:tc>
        <w:tc>
          <w:tcPr>
            <w:tcW w:w="4673" w:type="dxa"/>
            <w:shd w:val="clear" w:color="auto" w:fill="auto"/>
            <w:noWrap/>
            <w:vAlign w:val="center"/>
          </w:tcPr>
          <w:p w:rsidR="00FD0406" w:rsidRPr="00FD0406" w:rsidRDefault="00FD0406" w:rsidP="00FD0406">
            <w:pPr>
              <w:spacing w:before="0" w:after="0"/>
              <w:jc w:val="left"/>
              <w:rPr>
                <w:rFonts w:eastAsia="Times New Roman" w:cs="Arial"/>
                <w:color w:val="000000"/>
                <w:sz w:val="16"/>
                <w:lang w:eastAsia="cs-CZ"/>
              </w:rPr>
            </w:pPr>
            <w:r w:rsidRPr="00FD0406">
              <w:rPr>
                <w:rFonts w:eastAsia="Times New Roman" w:cs="Arial"/>
                <w:color w:val="000000"/>
                <w:sz w:val="16"/>
                <w:lang w:eastAsia="cs-CZ"/>
              </w:rPr>
              <w:t>Bez vzdělání</w:t>
            </w:r>
          </w:p>
        </w:tc>
        <w:tc>
          <w:tcPr>
            <w:tcW w:w="289" w:type="dxa"/>
            <w:shd w:val="clear" w:color="auto" w:fill="auto"/>
            <w:vAlign w:val="center"/>
          </w:tcPr>
          <w:p w:rsidR="00FD0406" w:rsidRPr="00FD0406" w:rsidRDefault="00FD0406" w:rsidP="00FD0406">
            <w:pPr>
              <w:spacing w:before="0" w:after="0"/>
              <w:jc w:val="right"/>
              <w:rPr>
                <w:rFonts w:eastAsia="Times New Roman" w:cs="Arial"/>
                <w:color w:val="000000"/>
                <w:sz w:val="16"/>
                <w:lang w:eastAsia="cs-CZ"/>
              </w:rPr>
            </w:pPr>
            <w:r w:rsidRPr="00FD0406">
              <w:rPr>
                <w:rFonts w:eastAsia="Times New Roman" w:cs="Arial"/>
                <w:color w:val="000000"/>
                <w:sz w:val="16"/>
                <w:lang w:eastAsia="cs-CZ"/>
              </w:rPr>
              <w:t>L</w:t>
            </w:r>
          </w:p>
        </w:tc>
        <w:tc>
          <w:tcPr>
            <w:tcW w:w="3775" w:type="dxa"/>
            <w:shd w:val="clear" w:color="auto" w:fill="auto"/>
            <w:vAlign w:val="center"/>
          </w:tcPr>
          <w:p w:rsidR="00FD0406" w:rsidRPr="00FD0406" w:rsidRDefault="00FD0406" w:rsidP="00FD0406">
            <w:pPr>
              <w:spacing w:before="0" w:after="0"/>
              <w:jc w:val="left"/>
              <w:rPr>
                <w:rFonts w:eastAsia="Times New Roman" w:cs="Arial"/>
                <w:color w:val="000000"/>
                <w:sz w:val="16"/>
                <w:lang w:eastAsia="cs-CZ"/>
              </w:rPr>
            </w:pPr>
            <w:r w:rsidRPr="00FD0406">
              <w:rPr>
                <w:rFonts w:eastAsia="Times New Roman" w:cs="Arial"/>
                <w:color w:val="000000"/>
                <w:sz w:val="16"/>
                <w:lang w:eastAsia="cs-CZ"/>
              </w:rPr>
              <w:t>Úplné střední odborné vzdělání s vyučením i maturitou</w:t>
            </w:r>
          </w:p>
        </w:tc>
      </w:tr>
      <w:tr w:rsidR="00FD0406" w:rsidRPr="00FD0406" w:rsidTr="006C6EEE">
        <w:trPr>
          <w:trHeight w:val="242"/>
        </w:trPr>
        <w:tc>
          <w:tcPr>
            <w:tcW w:w="269" w:type="dxa"/>
            <w:shd w:val="clear" w:color="auto" w:fill="auto"/>
            <w:noWrap/>
            <w:vAlign w:val="center"/>
            <w:hideMark/>
          </w:tcPr>
          <w:p w:rsidR="00FD0406" w:rsidRPr="00FD0406" w:rsidRDefault="00FD0406" w:rsidP="00FD0406">
            <w:pPr>
              <w:spacing w:before="0" w:after="0"/>
              <w:jc w:val="left"/>
              <w:rPr>
                <w:rFonts w:eastAsia="Times New Roman" w:cs="Arial"/>
                <w:color w:val="000000"/>
                <w:sz w:val="16"/>
                <w:lang w:eastAsia="cs-CZ"/>
              </w:rPr>
            </w:pPr>
            <w:r w:rsidRPr="00FD0406">
              <w:rPr>
                <w:rFonts w:eastAsia="Times New Roman" w:cs="Arial"/>
                <w:color w:val="000000"/>
                <w:sz w:val="16"/>
                <w:lang w:eastAsia="cs-CZ"/>
              </w:rPr>
              <w:t>B</w:t>
            </w:r>
          </w:p>
        </w:tc>
        <w:tc>
          <w:tcPr>
            <w:tcW w:w="4673" w:type="dxa"/>
            <w:shd w:val="clear" w:color="auto" w:fill="auto"/>
            <w:noWrap/>
            <w:vAlign w:val="center"/>
          </w:tcPr>
          <w:p w:rsidR="00FD0406" w:rsidRPr="00FD0406" w:rsidRDefault="00FD0406" w:rsidP="00FD0406">
            <w:pPr>
              <w:spacing w:before="0" w:after="0"/>
              <w:jc w:val="left"/>
              <w:rPr>
                <w:rFonts w:eastAsia="Times New Roman" w:cs="Arial"/>
                <w:color w:val="000000"/>
                <w:sz w:val="16"/>
                <w:lang w:eastAsia="cs-CZ"/>
              </w:rPr>
            </w:pPr>
            <w:r w:rsidRPr="00FD0406">
              <w:rPr>
                <w:rFonts w:eastAsia="Times New Roman" w:cs="Arial"/>
                <w:color w:val="000000"/>
                <w:sz w:val="16"/>
                <w:lang w:eastAsia="cs-CZ"/>
              </w:rPr>
              <w:t>Neúplné základní vzdělání</w:t>
            </w:r>
          </w:p>
        </w:tc>
        <w:tc>
          <w:tcPr>
            <w:tcW w:w="289" w:type="dxa"/>
            <w:shd w:val="clear" w:color="auto" w:fill="auto"/>
            <w:vAlign w:val="center"/>
          </w:tcPr>
          <w:p w:rsidR="00FD0406" w:rsidRPr="00FD0406" w:rsidRDefault="00FD0406" w:rsidP="00FD0406">
            <w:pPr>
              <w:spacing w:before="0" w:after="0"/>
              <w:jc w:val="right"/>
              <w:rPr>
                <w:rFonts w:eastAsia="Times New Roman" w:cs="Arial"/>
                <w:color w:val="000000"/>
                <w:sz w:val="16"/>
                <w:lang w:eastAsia="cs-CZ"/>
              </w:rPr>
            </w:pPr>
            <w:r w:rsidRPr="00FD0406">
              <w:rPr>
                <w:rFonts w:eastAsia="Times New Roman" w:cs="Arial"/>
                <w:color w:val="000000"/>
                <w:sz w:val="16"/>
                <w:lang w:eastAsia="cs-CZ"/>
              </w:rPr>
              <w:t>M</w:t>
            </w:r>
          </w:p>
        </w:tc>
        <w:tc>
          <w:tcPr>
            <w:tcW w:w="3775" w:type="dxa"/>
            <w:shd w:val="clear" w:color="auto" w:fill="auto"/>
            <w:vAlign w:val="center"/>
          </w:tcPr>
          <w:p w:rsidR="00FD0406" w:rsidRPr="00FD0406" w:rsidRDefault="00FD0406" w:rsidP="00FD0406">
            <w:pPr>
              <w:spacing w:before="0" w:after="0"/>
              <w:jc w:val="left"/>
              <w:rPr>
                <w:rFonts w:eastAsia="Times New Roman" w:cs="Arial"/>
                <w:color w:val="000000"/>
                <w:sz w:val="16"/>
                <w:lang w:eastAsia="cs-CZ"/>
              </w:rPr>
            </w:pPr>
            <w:r w:rsidRPr="00FD0406">
              <w:rPr>
                <w:rFonts w:eastAsia="Times New Roman" w:cs="Arial"/>
                <w:color w:val="000000"/>
                <w:sz w:val="16"/>
                <w:lang w:eastAsia="cs-CZ"/>
              </w:rPr>
              <w:t>Úplné střední vzdělání s maturitou (bez vyučení)</w:t>
            </w:r>
          </w:p>
        </w:tc>
      </w:tr>
      <w:tr w:rsidR="00FD0406" w:rsidRPr="00FD0406" w:rsidTr="006C6EEE">
        <w:trPr>
          <w:trHeight w:val="242"/>
        </w:trPr>
        <w:tc>
          <w:tcPr>
            <w:tcW w:w="269" w:type="dxa"/>
            <w:shd w:val="clear" w:color="auto" w:fill="auto"/>
            <w:noWrap/>
            <w:vAlign w:val="center"/>
            <w:hideMark/>
          </w:tcPr>
          <w:p w:rsidR="00FD0406" w:rsidRPr="00FD0406" w:rsidRDefault="00FD0406" w:rsidP="00FD0406">
            <w:pPr>
              <w:spacing w:before="0" w:after="0"/>
              <w:jc w:val="left"/>
              <w:rPr>
                <w:rFonts w:eastAsia="Times New Roman" w:cs="Arial"/>
                <w:color w:val="000000"/>
                <w:sz w:val="16"/>
                <w:lang w:eastAsia="cs-CZ"/>
              </w:rPr>
            </w:pPr>
            <w:r w:rsidRPr="00FD0406">
              <w:rPr>
                <w:rFonts w:eastAsia="Times New Roman" w:cs="Arial"/>
                <w:color w:val="000000"/>
                <w:sz w:val="16"/>
                <w:lang w:eastAsia="cs-CZ"/>
              </w:rPr>
              <w:t>C</w:t>
            </w:r>
          </w:p>
        </w:tc>
        <w:tc>
          <w:tcPr>
            <w:tcW w:w="4673" w:type="dxa"/>
            <w:shd w:val="clear" w:color="auto" w:fill="auto"/>
            <w:noWrap/>
            <w:vAlign w:val="center"/>
          </w:tcPr>
          <w:p w:rsidR="00FD0406" w:rsidRPr="00FD0406" w:rsidRDefault="00FD0406" w:rsidP="00FD0406">
            <w:pPr>
              <w:spacing w:before="0" w:after="0"/>
              <w:jc w:val="left"/>
              <w:rPr>
                <w:rFonts w:eastAsia="Times New Roman" w:cs="Arial"/>
                <w:color w:val="000000"/>
                <w:sz w:val="16"/>
                <w:lang w:eastAsia="cs-CZ"/>
              </w:rPr>
            </w:pPr>
            <w:r w:rsidRPr="00FD0406">
              <w:rPr>
                <w:rFonts w:eastAsia="Times New Roman" w:cs="Arial"/>
                <w:color w:val="000000"/>
                <w:sz w:val="16"/>
                <w:lang w:eastAsia="cs-CZ"/>
              </w:rPr>
              <w:t>Základní vzdělání</w:t>
            </w:r>
          </w:p>
        </w:tc>
        <w:tc>
          <w:tcPr>
            <w:tcW w:w="289" w:type="dxa"/>
            <w:shd w:val="clear" w:color="auto" w:fill="auto"/>
            <w:vAlign w:val="center"/>
          </w:tcPr>
          <w:p w:rsidR="00FD0406" w:rsidRPr="00FD0406" w:rsidRDefault="00FD0406" w:rsidP="00FD0406">
            <w:pPr>
              <w:spacing w:before="0" w:after="0"/>
              <w:jc w:val="right"/>
              <w:rPr>
                <w:rFonts w:eastAsia="Times New Roman" w:cs="Arial"/>
                <w:color w:val="000000"/>
                <w:sz w:val="16"/>
                <w:lang w:eastAsia="cs-CZ"/>
              </w:rPr>
            </w:pPr>
            <w:r w:rsidRPr="00FD0406">
              <w:rPr>
                <w:rFonts w:eastAsia="Times New Roman" w:cs="Arial"/>
                <w:color w:val="000000"/>
                <w:sz w:val="16"/>
                <w:lang w:eastAsia="cs-CZ"/>
              </w:rPr>
              <w:t>N</w:t>
            </w:r>
          </w:p>
        </w:tc>
        <w:tc>
          <w:tcPr>
            <w:tcW w:w="3775" w:type="dxa"/>
            <w:shd w:val="clear" w:color="auto" w:fill="auto"/>
            <w:vAlign w:val="center"/>
          </w:tcPr>
          <w:p w:rsidR="00FD0406" w:rsidRPr="00FD0406" w:rsidRDefault="00FD0406" w:rsidP="00FD0406">
            <w:pPr>
              <w:spacing w:before="0" w:after="0"/>
              <w:jc w:val="left"/>
              <w:rPr>
                <w:rFonts w:eastAsia="Times New Roman" w:cs="Arial"/>
                <w:color w:val="000000"/>
                <w:sz w:val="16"/>
                <w:lang w:eastAsia="cs-CZ"/>
              </w:rPr>
            </w:pPr>
            <w:r w:rsidRPr="00FD0406">
              <w:rPr>
                <w:rFonts w:eastAsia="Times New Roman" w:cs="Arial"/>
                <w:color w:val="000000"/>
                <w:sz w:val="16"/>
                <w:lang w:eastAsia="cs-CZ"/>
              </w:rPr>
              <w:t>Vyšší odborné vzdělání</w:t>
            </w:r>
          </w:p>
        </w:tc>
      </w:tr>
      <w:tr w:rsidR="00FD0406" w:rsidRPr="00FD0406" w:rsidTr="006C6EEE">
        <w:trPr>
          <w:trHeight w:val="242"/>
        </w:trPr>
        <w:tc>
          <w:tcPr>
            <w:tcW w:w="269" w:type="dxa"/>
            <w:shd w:val="clear" w:color="auto" w:fill="auto"/>
            <w:noWrap/>
            <w:vAlign w:val="center"/>
            <w:hideMark/>
          </w:tcPr>
          <w:p w:rsidR="00FD0406" w:rsidRPr="00FD0406" w:rsidRDefault="00FD0406" w:rsidP="00FD0406">
            <w:pPr>
              <w:spacing w:before="0" w:after="0"/>
              <w:jc w:val="left"/>
              <w:rPr>
                <w:rFonts w:eastAsia="Times New Roman" w:cs="Arial"/>
                <w:color w:val="000000"/>
                <w:sz w:val="16"/>
                <w:lang w:eastAsia="cs-CZ"/>
              </w:rPr>
            </w:pPr>
            <w:r w:rsidRPr="00FD0406">
              <w:rPr>
                <w:rFonts w:eastAsia="Times New Roman" w:cs="Arial"/>
                <w:color w:val="000000"/>
                <w:sz w:val="16"/>
                <w:lang w:eastAsia="cs-CZ"/>
              </w:rPr>
              <w:t>D</w:t>
            </w:r>
          </w:p>
        </w:tc>
        <w:tc>
          <w:tcPr>
            <w:tcW w:w="4673" w:type="dxa"/>
            <w:shd w:val="clear" w:color="auto" w:fill="auto"/>
            <w:noWrap/>
            <w:vAlign w:val="center"/>
          </w:tcPr>
          <w:p w:rsidR="00FD0406" w:rsidRPr="00FD0406" w:rsidRDefault="00FD0406" w:rsidP="00FD0406">
            <w:pPr>
              <w:spacing w:before="0" w:after="0"/>
              <w:jc w:val="left"/>
              <w:rPr>
                <w:rFonts w:eastAsia="Times New Roman" w:cs="Arial"/>
                <w:color w:val="000000"/>
                <w:sz w:val="16"/>
                <w:lang w:eastAsia="cs-CZ"/>
              </w:rPr>
            </w:pPr>
            <w:r w:rsidRPr="00FD0406">
              <w:rPr>
                <w:rFonts w:eastAsia="Times New Roman" w:cs="Arial"/>
                <w:color w:val="000000"/>
                <w:sz w:val="16"/>
                <w:lang w:eastAsia="cs-CZ"/>
              </w:rPr>
              <w:t>Nižší střední vzdělání</w:t>
            </w:r>
          </w:p>
        </w:tc>
        <w:tc>
          <w:tcPr>
            <w:tcW w:w="289" w:type="dxa"/>
            <w:shd w:val="clear" w:color="auto" w:fill="auto"/>
            <w:vAlign w:val="center"/>
          </w:tcPr>
          <w:p w:rsidR="00FD0406" w:rsidRPr="00FD0406" w:rsidRDefault="00FD0406" w:rsidP="00FD0406">
            <w:pPr>
              <w:spacing w:before="0" w:after="0"/>
              <w:jc w:val="right"/>
              <w:rPr>
                <w:rFonts w:eastAsia="Times New Roman" w:cs="Arial"/>
                <w:color w:val="000000"/>
                <w:sz w:val="16"/>
                <w:lang w:eastAsia="cs-CZ"/>
              </w:rPr>
            </w:pPr>
            <w:r w:rsidRPr="00FD0406">
              <w:rPr>
                <w:rFonts w:eastAsia="Times New Roman" w:cs="Arial"/>
                <w:color w:val="000000"/>
                <w:sz w:val="16"/>
                <w:lang w:eastAsia="cs-CZ"/>
              </w:rPr>
              <w:t>P</w:t>
            </w:r>
          </w:p>
        </w:tc>
        <w:tc>
          <w:tcPr>
            <w:tcW w:w="3775" w:type="dxa"/>
            <w:shd w:val="clear" w:color="auto" w:fill="auto"/>
            <w:vAlign w:val="center"/>
          </w:tcPr>
          <w:p w:rsidR="00FD0406" w:rsidRPr="00FD0406" w:rsidRDefault="00FD0406" w:rsidP="00FD0406">
            <w:pPr>
              <w:spacing w:before="0" w:after="0"/>
              <w:jc w:val="left"/>
              <w:rPr>
                <w:rFonts w:eastAsia="Times New Roman" w:cs="Arial"/>
                <w:color w:val="000000"/>
                <w:sz w:val="16"/>
                <w:lang w:eastAsia="cs-CZ"/>
              </w:rPr>
            </w:pPr>
            <w:r w:rsidRPr="00FD0406">
              <w:rPr>
                <w:rFonts w:eastAsia="Times New Roman" w:cs="Arial"/>
                <w:color w:val="000000"/>
                <w:sz w:val="16"/>
                <w:lang w:eastAsia="cs-CZ"/>
              </w:rPr>
              <w:t>Vyšší odborné vzdělání v konzervatoři</w:t>
            </w:r>
          </w:p>
        </w:tc>
      </w:tr>
      <w:tr w:rsidR="00FD0406" w:rsidRPr="00FD0406" w:rsidTr="006C6EEE">
        <w:trPr>
          <w:trHeight w:val="242"/>
        </w:trPr>
        <w:tc>
          <w:tcPr>
            <w:tcW w:w="269" w:type="dxa"/>
            <w:shd w:val="clear" w:color="auto" w:fill="auto"/>
            <w:noWrap/>
            <w:vAlign w:val="center"/>
            <w:hideMark/>
          </w:tcPr>
          <w:p w:rsidR="00FD0406" w:rsidRPr="00FD0406" w:rsidRDefault="00FD0406" w:rsidP="00FD0406">
            <w:pPr>
              <w:spacing w:before="0" w:after="0"/>
              <w:jc w:val="left"/>
              <w:rPr>
                <w:rFonts w:eastAsia="Times New Roman" w:cs="Arial"/>
                <w:color w:val="000000"/>
                <w:sz w:val="16"/>
                <w:lang w:eastAsia="cs-CZ"/>
              </w:rPr>
            </w:pPr>
            <w:r w:rsidRPr="00FD0406">
              <w:rPr>
                <w:rFonts w:eastAsia="Times New Roman" w:cs="Arial"/>
                <w:color w:val="000000"/>
                <w:sz w:val="16"/>
                <w:lang w:eastAsia="cs-CZ"/>
              </w:rPr>
              <w:t>E</w:t>
            </w:r>
          </w:p>
        </w:tc>
        <w:tc>
          <w:tcPr>
            <w:tcW w:w="4673" w:type="dxa"/>
            <w:shd w:val="clear" w:color="auto" w:fill="auto"/>
            <w:noWrap/>
            <w:vAlign w:val="center"/>
          </w:tcPr>
          <w:p w:rsidR="00FD0406" w:rsidRPr="00FD0406" w:rsidRDefault="00FD0406" w:rsidP="00FD0406">
            <w:pPr>
              <w:spacing w:before="0" w:after="0"/>
              <w:jc w:val="left"/>
              <w:rPr>
                <w:rFonts w:eastAsia="Times New Roman" w:cs="Arial"/>
                <w:color w:val="000000"/>
                <w:sz w:val="16"/>
                <w:lang w:eastAsia="cs-CZ"/>
              </w:rPr>
            </w:pPr>
            <w:r w:rsidRPr="00FD0406">
              <w:rPr>
                <w:rFonts w:eastAsia="Times New Roman" w:cs="Arial"/>
                <w:color w:val="000000"/>
                <w:sz w:val="16"/>
                <w:lang w:eastAsia="cs-CZ"/>
              </w:rPr>
              <w:t>Nižší střední odborné vzdělání</w:t>
            </w:r>
          </w:p>
        </w:tc>
        <w:tc>
          <w:tcPr>
            <w:tcW w:w="289" w:type="dxa"/>
            <w:shd w:val="clear" w:color="auto" w:fill="auto"/>
            <w:vAlign w:val="center"/>
          </w:tcPr>
          <w:p w:rsidR="00FD0406" w:rsidRPr="00FD0406" w:rsidRDefault="00FD0406" w:rsidP="00FD0406">
            <w:pPr>
              <w:spacing w:before="0" w:after="0"/>
              <w:jc w:val="right"/>
              <w:rPr>
                <w:rFonts w:eastAsia="Times New Roman" w:cs="Arial"/>
                <w:color w:val="000000"/>
                <w:sz w:val="16"/>
                <w:lang w:eastAsia="cs-CZ"/>
              </w:rPr>
            </w:pPr>
            <w:r w:rsidRPr="00FD0406">
              <w:rPr>
                <w:rFonts w:eastAsia="Times New Roman" w:cs="Arial"/>
                <w:color w:val="000000"/>
                <w:sz w:val="16"/>
                <w:lang w:eastAsia="cs-CZ"/>
              </w:rPr>
              <w:t>R</w:t>
            </w:r>
          </w:p>
        </w:tc>
        <w:tc>
          <w:tcPr>
            <w:tcW w:w="3775" w:type="dxa"/>
            <w:shd w:val="clear" w:color="auto" w:fill="auto"/>
            <w:vAlign w:val="center"/>
          </w:tcPr>
          <w:p w:rsidR="00FD0406" w:rsidRPr="00FD0406" w:rsidRDefault="00FD0406" w:rsidP="00FD0406">
            <w:pPr>
              <w:spacing w:before="0" w:after="0"/>
              <w:jc w:val="left"/>
              <w:rPr>
                <w:rFonts w:eastAsia="Times New Roman" w:cs="Arial"/>
                <w:color w:val="000000"/>
                <w:sz w:val="16"/>
                <w:lang w:eastAsia="cs-CZ"/>
              </w:rPr>
            </w:pPr>
            <w:r w:rsidRPr="00FD0406">
              <w:rPr>
                <w:rFonts w:eastAsia="Times New Roman" w:cs="Arial"/>
                <w:color w:val="000000"/>
                <w:sz w:val="16"/>
                <w:lang w:eastAsia="cs-CZ"/>
              </w:rPr>
              <w:t>Vysokoškolské bakalářské vzdělání</w:t>
            </w:r>
          </w:p>
        </w:tc>
      </w:tr>
      <w:tr w:rsidR="00FD0406" w:rsidRPr="00FD0406" w:rsidTr="006C6EEE">
        <w:trPr>
          <w:trHeight w:val="242"/>
        </w:trPr>
        <w:tc>
          <w:tcPr>
            <w:tcW w:w="269" w:type="dxa"/>
            <w:shd w:val="clear" w:color="auto" w:fill="auto"/>
            <w:noWrap/>
            <w:vAlign w:val="center"/>
            <w:hideMark/>
          </w:tcPr>
          <w:p w:rsidR="00FD0406" w:rsidRPr="00FD0406" w:rsidRDefault="00FD0406" w:rsidP="00FD0406">
            <w:pPr>
              <w:spacing w:before="0" w:after="0"/>
              <w:jc w:val="left"/>
              <w:rPr>
                <w:rFonts w:eastAsia="Times New Roman" w:cs="Arial"/>
                <w:color w:val="000000"/>
                <w:sz w:val="16"/>
                <w:lang w:eastAsia="cs-CZ"/>
              </w:rPr>
            </w:pPr>
            <w:r w:rsidRPr="00FD0406">
              <w:rPr>
                <w:rFonts w:eastAsia="Times New Roman" w:cs="Arial"/>
                <w:color w:val="000000"/>
                <w:sz w:val="16"/>
                <w:lang w:eastAsia="cs-CZ"/>
              </w:rPr>
              <w:t>H</w:t>
            </w:r>
          </w:p>
        </w:tc>
        <w:tc>
          <w:tcPr>
            <w:tcW w:w="4673" w:type="dxa"/>
            <w:shd w:val="clear" w:color="auto" w:fill="auto"/>
            <w:noWrap/>
            <w:vAlign w:val="center"/>
          </w:tcPr>
          <w:p w:rsidR="00FD0406" w:rsidRPr="00FD0406" w:rsidRDefault="00FD0406" w:rsidP="00FD0406">
            <w:pPr>
              <w:spacing w:before="0" w:after="0"/>
              <w:jc w:val="left"/>
              <w:rPr>
                <w:rFonts w:eastAsia="Times New Roman" w:cs="Arial"/>
                <w:color w:val="000000"/>
                <w:sz w:val="16"/>
                <w:lang w:eastAsia="cs-CZ"/>
              </w:rPr>
            </w:pPr>
            <w:r w:rsidRPr="00FD0406">
              <w:rPr>
                <w:rFonts w:eastAsia="Times New Roman" w:cs="Arial"/>
                <w:color w:val="000000"/>
                <w:sz w:val="16"/>
                <w:lang w:eastAsia="cs-CZ"/>
              </w:rPr>
              <w:t>Střední odborné vzdělání s výučním listem</w:t>
            </w:r>
          </w:p>
        </w:tc>
        <w:tc>
          <w:tcPr>
            <w:tcW w:w="289" w:type="dxa"/>
            <w:shd w:val="clear" w:color="auto" w:fill="auto"/>
            <w:vAlign w:val="center"/>
          </w:tcPr>
          <w:p w:rsidR="00FD0406" w:rsidRPr="00FD0406" w:rsidRDefault="00FD0406" w:rsidP="00FD0406">
            <w:pPr>
              <w:spacing w:before="0" w:after="0"/>
              <w:jc w:val="right"/>
              <w:rPr>
                <w:rFonts w:eastAsia="Times New Roman" w:cs="Arial"/>
                <w:color w:val="000000"/>
                <w:sz w:val="16"/>
                <w:lang w:eastAsia="cs-CZ"/>
              </w:rPr>
            </w:pPr>
            <w:r w:rsidRPr="00FD0406">
              <w:rPr>
                <w:rFonts w:eastAsia="Times New Roman" w:cs="Arial"/>
                <w:color w:val="000000"/>
                <w:sz w:val="16"/>
                <w:lang w:eastAsia="cs-CZ"/>
              </w:rPr>
              <w:t>S</w:t>
            </w:r>
          </w:p>
        </w:tc>
        <w:tc>
          <w:tcPr>
            <w:tcW w:w="3775" w:type="dxa"/>
            <w:shd w:val="clear" w:color="auto" w:fill="auto"/>
            <w:vAlign w:val="center"/>
          </w:tcPr>
          <w:p w:rsidR="00FD0406" w:rsidRPr="00FD0406" w:rsidRDefault="00FD0406" w:rsidP="00FD0406">
            <w:pPr>
              <w:spacing w:before="0" w:after="0"/>
              <w:jc w:val="left"/>
              <w:rPr>
                <w:rFonts w:eastAsia="Times New Roman" w:cs="Arial"/>
                <w:color w:val="000000"/>
                <w:sz w:val="16"/>
                <w:lang w:eastAsia="cs-CZ"/>
              </w:rPr>
            </w:pPr>
            <w:r w:rsidRPr="00FD0406">
              <w:rPr>
                <w:rFonts w:eastAsia="Times New Roman" w:cs="Arial"/>
                <w:color w:val="000000"/>
                <w:sz w:val="16"/>
                <w:lang w:eastAsia="cs-CZ"/>
              </w:rPr>
              <w:t>Vysokoškolské magisterské vzdělání</w:t>
            </w:r>
          </w:p>
        </w:tc>
      </w:tr>
      <w:tr w:rsidR="00FD0406" w:rsidRPr="00FD0406" w:rsidTr="006C6EEE">
        <w:trPr>
          <w:trHeight w:val="242"/>
        </w:trPr>
        <w:tc>
          <w:tcPr>
            <w:tcW w:w="269" w:type="dxa"/>
            <w:shd w:val="clear" w:color="auto" w:fill="auto"/>
            <w:noWrap/>
            <w:vAlign w:val="center"/>
            <w:hideMark/>
          </w:tcPr>
          <w:p w:rsidR="00FD0406" w:rsidRPr="00FD0406" w:rsidRDefault="00FD0406" w:rsidP="00FD0406">
            <w:pPr>
              <w:spacing w:before="0" w:after="0"/>
              <w:jc w:val="left"/>
              <w:rPr>
                <w:rFonts w:eastAsia="Times New Roman" w:cs="Arial"/>
                <w:color w:val="000000"/>
                <w:sz w:val="16"/>
                <w:lang w:eastAsia="cs-CZ"/>
              </w:rPr>
            </w:pPr>
            <w:r w:rsidRPr="00FD0406">
              <w:rPr>
                <w:rFonts w:eastAsia="Times New Roman" w:cs="Arial"/>
                <w:color w:val="000000"/>
                <w:sz w:val="16"/>
                <w:lang w:eastAsia="cs-CZ"/>
              </w:rPr>
              <w:t>J</w:t>
            </w:r>
          </w:p>
        </w:tc>
        <w:tc>
          <w:tcPr>
            <w:tcW w:w="4673" w:type="dxa"/>
            <w:shd w:val="clear" w:color="auto" w:fill="auto"/>
            <w:noWrap/>
            <w:vAlign w:val="center"/>
          </w:tcPr>
          <w:p w:rsidR="00FD0406" w:rsidRPr="00FD0406" w:rsidRDefault="00FD0406" w:rsidP="00FD0406">
            <w:pPr>
              <w:spacing w:before="0" w:after="0"/>
              <w:jc w:val="left"/>
              <w:rPr>
                <w:rFonts w:eastAsia="Times New Roman" w:cs="Arial"/>
                <w:color w:val="000000"/>
                <w:sz w:val="16"/>
                <w:lang w:eastAsia="cs-CZ"/>
              </w:rPr>
            </w:pPr>
            <w:r w:rsidRPr="00FD0406">
              <w:rPr>
                <w:rFonts w:eastAsia="Times New Roman" w:cs="Arial"/>
                <w:color w:val="000000"/>
                <w:sz w:val="16"/>
                <w:lang w:eastAsia="cs-CZ"/>
              </w:rPr>
              <w:t>Střední nebo střední odborné vzdělání bez maturity i výučního listu</w:t>
            </w:r>
          </w:p>
        </w:tc>
        <w:tc>
          <w:tcPr>
            <w:tcW w:w="289" w:type="dxa"/>
            <w:shd w:val="clear" w:color="auto" w:fill="auto"/>
            <w:vAlign w:val="center"/>
          </w:tcPr>
          <w:p w:rsidR="00FD0406" w:rsidRPr="00FD0406" w:rsidRDefault="00FD0406" w:rsidP="00FD0406">
            <w:pPr>
              <w:spacing w:before="0" w:after="0"/>
              <w:jc w:val="right"/>
              <w:rPr>
                <w:rFonts w:eastAsia="Times New Roman" w:cs="Arial"/>
                <w:color w:val="000000"/>
                <w:sz w:val="16"/>
                <w:lang w:eastAsia="cs-CZ"/>
              </w:rPr>
            </w:pPr>
            <w:r w:rsidRPr="00FD0406">
              <w:rPr>
                <w:rFonts w:eastAsia="Times New Roman" w:cs="Arial"/>
                <w:color w:val="000000"/>
                <w:sz w:val="16"/>
                <w:lang w:eastAsia="cs-CZ"/>
              </w:rPr>
              <w:t>T</w:t>
            </w:r>
          </w:p>
        </w:tc>
        <w:tc>
          <w:tcPr>
            <w:tcW w:w="3775" w:type="dxa"/>
            <w:shd w:val="clear" w:color="auto" w:fill="auto"/>
            <w:vAlign w:val="center"/>
          </w:tcPr>
          <w:p w:rsidR="00FD0406" w:rsidRPr="00FD0406" w:rsidRDefault="00FD0406" w:rsidP="00FD0406">
            <w:pPr>
              <w:spacing w:before="0" w:after="0"/>
              <w:jc w:val="left"/>
              <w:rPr>
                <w:rFonts w:eastAsia="Times New Roman" w:cs="Arial"/>
                <w:color w:val="000000"/>
                <w:sz w:val="16"/>
                <w:lang w:eastAsia="cs-CZ"/>
              </w:rPr>
            </w:pPr>
            <w:r w:rsidRPr="00FD0406">
              <w:rPr>
                <w:rFonts w:eastAsia="Times New Roman" w:cs="Arial"/>
                <w:color w:val="000000"/>
                <w:sz w:val="16"/>
                <w:lang w:eastAsia="cs-CZ"/>
              </w:rPr>
              <w:t>Vysokoškolské doktorské vzdělání</w:t>
            </w:r>
          </w:p>
        </w:tc>
      </w:tr>
      <w:tr w:rsidR="00FD0406" w:rsidRPr="00FD0406" w:rsidTr="006C6EEE">
        <w:trPr>
          <w:trHeight w:val="242"/>
        </w:trPr>
        <w:tc>
          <w:tcPr>
            <w:tcW w:w="269" w:type="dxa"/>
            <w:shd w:val="clear" w:color="auto" w:fill="auto"/>
            <w:noWrap/>
            <w:vAlign w:val="center"/>
            <w:hideMark/>
          </w:tcPr>
          <w:p w:rsidR="00FD0406" w:rsidRPr="00FD0406" w:rsidRDefault="00FD0406" w:rsidP="00FD0406">
            <w:pPr>
              <w:spacing w:before="0" w:after="0"/>
              <w:jc w:val="left"/>
              <w:rPr>
                <w:rFonts w:eastAsia="Times New Roman" w:cs="Arial"/>
                <w:color w:val="000000"/>
                <w:sz w:val="16"/>
                <w:lang w:eastAsia="cs-CZ"/>
              </w:rPr>
            </w:pPr>
            <w:r w:rsidRPr="00FD0406">
              <w:rPr>
                <w:rFonts w:eastAsia="Times New Roman" w:cs="Arial"/>
                <w:color w:val="000000"/>
                <w:sz w:val="16"/>
                <w:lang w:eastAsia="cs-CZ"/>
              </w:rPr>
              <w:t>K</w:t>
            </w:r>
          </w:p>
        </w:tc>
        <w:tc>
          <w:tcPr>
            <w:tcW w:w="4673" w:type="dxa"/>
            <w:shd w:val="clear" w:color="auto" w:fill="auto"/>
            <w:noWrap/>
            <w:vAlign w:val="center"/>
          </w:tcPr>
          <w:p w:rsidR="00FD0406" w:rsidRPr="00FD0406" w:rsidRDefault="00FD0406" w:rsidP="00FD0406">
            <w:pPr>
              <w:spacing w:before="0" w:after="0"/>
              <w:jc w:val="left"/>
              <w:rPr>
                <w:rFonts w:eastAsia="Times New Roman" w:cs="Arial"/>
                <w:color w:val="000000"/>
                <w:sz w:val="16"/>
                <w:lang w:eastAsia="cs-CZ"/>
              </w:rPr>
            </w:pPr>
            <w:r w:rsidRPr="00FD0406">
              <w:rPr>
                <w:rFonts w:eastAsia="Times New Roman" w:cs="Arial"/>
                <w:color w:val="000000"/>
                <w:sz w:val="16"/>
                <w:lang w:eastAsia="cs-CZ"/>
              </w:rPr>
              <w:t>Úplné střední všeobecné vzdělání</w:t>
            </w:r>
          </w:p>
        </w:tc>
        <w:tc>
          <w:tcPr>
            <w:tcW w:w="289" w:type="dxa"/>
            <w:shd w:val="clear" w:color="auto" w:fill="auto"/>
            <w:vAlign w:val="center"/>
          </w:tcPr>
          <w:p w:rsidR="00FD0406" w:rsidRPr="00FD0406" w:rsidRDefault="00FD0406" w:rsidP="00FD0406">
            <w:pPr>
              <w:spacing w:before="0" w:after="0"/>
              <w:jc w:val="left"/>
              <w:rPr>
                <w:rFonts w:eastAsia="Times New Roman" w:cs="Arial"/>
                <w:color w:val="000000"/>
                <w:sz w:val="16"/>
                <w:lang w:eastAsia="cs-CZ"/>
              </w:rPr>
            </w:pPr>
          </w:p>
        </w:tc>
        <w:tc>
          <w:tcPr>
            <w:tcW w:w="3775" w:type="dxa"/>
            <w:shd w:val="clear" w:color="auto" w:fill="auto"/>
            <w:vAlign w:val="center"/>
          </w:tcPr>
          <w:p w:rsidR="00FD0406" w:rsidRPr="00FD0406" w:rsidRDefault="00FD0406" w:rsidP="00FD0406">
            <w:pPr>
              <w:spacing w:before="0" w:after="0"/>
              <w:jc w:val="left"/>
              <w:rPr>
                <w:rFonts w:eastAsia="Times New Roman" w:cs="Arial"/>
                <w:color w:val="000000"/>
                <w:sz w:val="16"/>
                <w:lang w:eastAsia="cs-CZ"/>
              </w:rPr>
            </w:pPr>
          </w:p>
        </w:tc>
      </w:tr>
    </w:tbl>
    <w:p w:rsidR="00FD0406" w:rsidRDefault="00DC06B1" w:rsidP="007B5796">
      <w:pPr>
        <w:pStyle w:val="Nadpis3"/>
      </w:pPr>
      <w:bookmarkStart w:id="42" w:name="_Toc509474129"/>
      <w:r>
        <w:t>Výkon „nekolidujícího“ zaměstnání a dosažitelní uchazeči o zaměstnání</w:t>
      </w:r>
      <w:bookmarkEnd w:id="42"/>
    </w:p>
    <w:p w:rsidR="00DC06B1" w:rsidRDefault="00DC06B1" w:rsidP="00DC06B1">
      <w:r>
        <w:t>Jednou z bariér, která byla Analýzou nabídky a poptávky na trhu práce identifikována jako limitující faktor pro vyšší harmonizaci mezi nabídkou a poptávkou na trhu práce, byl výkon tzv. nekolidujícího zaměstnání</w:t>
      </w:r>
      <w:r>
        <w:rPr>
          <w:rStyle w:val="Znakapoznpodarou"/>
        </w:rPr>
        <w:footnoteReference w:id="9"/>
      </w:r>
      <w:r>
        <w:t>. Výkon této činnosti je umožněn z důvodu poskytnutí možnosti uchazeči o zaměstnání příležitostnou činností zlepšit své ekonomické postavení, popřípadě udržení praco</w:t>
      </w:r>
      <w:r w:rsidR="00B576F7">
        <w:t>vních návyků. Při dlouhodobém a </w:t>
      </w:r>
      <w:r>
        <w:t>soustavném výkonu takovéhoto nekolidujícíh</w:t>
      </w:r>
      <w:r w:rsidR="00B576F7">
        <w:t>o zaměstnání, však může dojít k </w:t>
      </w:r>
      <w:r>
        <w:t xml:space="preserve">„uzamčení“ uchazeče </w:t>
      </w:r>
      <w:r w:rsidR="008F7C8B">
        <w:t>a zabránění</w:t>
      </w:r>
      <w:r>
        <w:t xml:space="preserve"> jeho opětovnému návratu na trh práce. Výkon nekolidujícího zaměstnání může rovněž vést, zejména při dlouhodobějším charakteru, k výkonu takovéto činnosti v rámci šedé ekonomiky. Ve svém důsledku tak nadužívání</w:t>
      </w:r>
      <w:r w:rsidR="008F7C8B">
        <w:t>,</w:t>
      </w:r>
      <w:r>
        <w:t xml:space="preserve"> či přesněji zneužívání</w:t>
      </w:r>
      <w:r w:rsidR="008F7C8B">
        <w:t>,</w:t>
      </w:r>
      <w:r>
        <w:t xml:space="preserve"> institutu nekolidujícího z</w:t>
      </w:r>
      <w:r w:rsidR="008F7C8B">
        <w:t>aměstnání vede na jedné straně</w:t>
      </w:r>
      <w:r>
        <w:t xml:space="preserve"> ke zhoršení situace uchazeče o zaměstnání (výkon takovéto činnosti vzhledem ke svému rozsahu nelze označit za kvalitní a stabilní zaměstnání), tak na straně druhé „blokuje“ část disponibilní pracovní síly pro uplatnění se na trhu práce</w:t>
      </w:r>
      <w:r w:rsidR="00B576F7">
        <w:t xml:space="preserve">. Z tohoto důvodu bylo přikročeno k úpravě § 25, odst. 3 zákona o zaměstnanosti a tzv. nekolidující zaměstnání není možné </w:t>
      </w:r>
      <w:r w:rsidR="008F7C8B">
        <w:t>nadále vykonávat na základě dohody o </w:t>
      </w:r>
      <w:r w:rsidR="00B576F7">
        <w:t>provedení práce.</w:t>
      </w:r>
      <w:r w:rsidR="00B32003">
        <w:rPr>
          <w:rStyle w:val="Znakapoznpodarou"/>
        </w:rPr>
        <w:footnoteReference w:id="10"/>
      </w:r>
      <w:r w:rsidR="00B576F7">
        <w:t xml:space="preserve"> Přijetí této nové právní úpravy se pozitivně projevilo v poklesu vykonávaného nekolidujícího zaměstnání, a to zejména od října 2017, kdy skončilo tříměsíční přechodné období, ve kterém bylo umožněno uchazečům o zaměstnání nekolidující zaměstnání vykonávané na základě dohody o provedení práce buď ukončit či transformovat na pracovní poměr, potažmo dohodu o pracovní činnosti</w:t>
      </w:r>
      <w:r w:rsidR="008F7C8B">
        <w:t>,</w:t>
      </w:r>
      <w:r w:rsidR="00B576F7">
        <w:t xml:space="preserve"> anebo ukončit evidenci v evidenci uchazečů o zaměstnání. Dopady změny z</w:t>
      </w:r>
      <w:r w:rsidR="00C24AD8">
        <w:t xml:space="preserve">obrazuje </w:t>
      </w:r>
      <w:r w:rsidR="005758F4">
        <w:fldChar w:fldCharType="begin"/>
      </w:r>
      <w:r w:rsidR="005758F4">
        <w:instrText xml:space="preserve"> REF _Ref508379571 \h </w:instrText>
      </w:r>
      <w:r w:rsidR="005758F4">
        <w:fldChar w:fldCharType="separate"/>
      </w:r>
      <w:r w:rsidR="00F41CBA">
        <w:t xml:space="preserve">Graf č.: </w:t>
      </w:r>
      <w:r w:rsidR="00F41CBA">
        <w:rPr>
          <w:noProof/>
        </w:rPr>
        <w:t>10</w:t>
      </w:r>
      <w:r w:rsidR="005758F4">
        <w:fldChar w:fldCharType="end"/>
      </w:r>
      <w:r w:rsidR="005758F4">
        <w:t>.</w:t>
      </w:r>
      <w:r w:rsidR="006C6EEE">
        <w:t xml:space="preserve"> Počty </w:t>
      </w:r>
      <w:proofErr w:type="spellStart"/>
      <w:r w:rsidR="006C6EEE">
        <w:t>UoZ</w:t>
      </w:r>
      <w:proofErr w:type="spellEnd"/>
      <w:r w:rsidR="006C6EEE">
        <w:t xml:space="preserve"> vykonávající nekolidující zaměstnání podle krajů pak ukazuje </w:t>
      </w:r>
      <w:r w:rsidR="006C6EEE">
        <w:fldChar w:fldCharType="begin"/>
      </w:r>
      <w:r w:rsidR="006C6EEE">
        <w:instrText xml:space="preserve"> REF _Ref508381588 \h </w:instrText>
      </w:r>
      <w:r w:rsidR="006C6EEE">
        <w:fldChar w:fldCharType="separate"/>
      </w:r>
      <w:r w:rsidR="00F41CBA">
        <w:t xml:space="preserve">Tabulka </w:t>
      </w:r>
      <w:r w:rsidR="00F41CBA">
        <w:rPr>
          <w:noProof/>
        </w:rPr>
        <w:t>6</w:t>
      </w:r>
      <w:r w:rsidR="006C6EEE">
        <w:fldChar w:fldCharType="end"/>
      </w:r>
      <w:r w:rsidR="006C6EEE">
        <w:t>.</w:t>
      </w:r>
    </w:p>
    <w:p w:rsidR="005758F4" w:rsidRDefault="005758F4" w:rsidP="005758F4">
      <w:pPr>
        <w:pStyle w:val="Titulek"/>
        <w:keepNext/>
      </w:pPr>
      <w:bookmarkStart w:id="43" w:name="_Ref508379571"/>
      <w:bookmarkStart w:id="44" w:name="_Toc508704213"/>
      <w:r>
        <w:t xml:space="preserve">Graf č.: </w:t>
      </w:r>
      <w:r w:rsidR="007B53ED">
        <w:fldChar w:fldCharType="begin"/>
      </w:r>
      <w:r w:rsidR="007B53ED">
        <w:instrText xml:space="preserve"> SEQ Graf_č.: \* ARABIC </w:instrText>
      </w:r>
      <w:r w:rsidR="007B53ED">
        <w:fldChar w:fldCharType="separate"/>
      </w:r>
      <w:r w:rsidR="00F41CBA">
        <w:rPr>
          <w:noProof/>
        </w:rPr>
        <w:t>10</w:t>
      </w:r>
      <w:r w:rsidR="007B53ED">
        <w:rPr>
          <w:noProof/>
        </w:rPr>
        <w:fldChar w:fldCharType="end"/>
      </w:r>
      <w:bookmarkEnd w:id="43"/>
      <w:r>
        <w:t xml:space="preserve"> Vývoj počtu a podílu </w:t>
      </w:r>
      <w:proofErr w:type="spellStart"/>
      <w:r>
        <w:t>UoZ</w:t>
      </w:r>
      <w:proofErr w:type="spellEnd"/>
      <w:r>
        <w:t xml:space="preserve"> vykonávajících nekolidující zaměstnání</w:t>
      </w:r>
      <w:bookmarkEnd w:id="44"/>
    </w:p>
    <w:p w:rsidR="005758F4" w:rsidRDefault="005758F4" w:rsidP="00DC06B1">
      <w:r>
        <w:rPr>
          <w:noProof/>
          <w:lang w:eastAsia="cs-CZ"/>
        </w:rPr>
        <w:drawing>
          <wp:inline distT="0" distB="0" distL="0" distR="0" wp14:anchorId="23C945D9" wp14:editId="7B894A47">
            <wp:extent cx="5657850" cy="2762250"/>
            <wp:effectExtent l="0" t="0" r="19050" b="19050"/>
            <wp:docPr id="12" name="Graf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2D68DD" w:rsidRDefault="005758F4" w:rsidP="00DC06B1">
      <w:r>
        <w:t>V průběžné zprávě za 1. pololetí roku 2017 bylo poukázáno na skutečnost, že v poslední době</w:t>
      </w:r>
      <w:r w:rsidR="008F7C8B">
        <w:t>,</w:t>
      </w:r>
      <w:r>
        <w:t xml:space="preserve"> s tím jak klesá celkový počet uchazečů o zaměstnání, stoupá podíl </w:t>
      </w:r>
      <w:r w:rsidR="00F82F2D">
        <w:t xml:space="preserve">tzv. </w:t>
      </w:r>
      <w:r>
        <w:t>nedosažitelných uchazečů o zaměstnání</w:t>
      </w:r>
      <w:r w:rsidR="00F82F2D">
        <w:t>, tj. těch, kteří z objektivních důvodů nemohou okamžitě nastoupit do zaměstnání (z důvodu pracovní neschopnosti, účasti na rekvalifikačním kurzu, výkonu krátkodobého zaměstnání</w:t>
      </w:r>
      <w:r w:rsidR="00F82F2D">
        <w:rPr>
          <w:rStyle w:val="Znakapoznpodarou"/>
        </w:rPr>
        <w:footnoteReference w:id="11"/>
      </w:r>
      <w:r w:rsidR="00F82F2D">
        <w:t xml:space="preserve"> apod., viz poznámka č. </w:t>
      </w:r>
      <w:r w:rsidR="00F82F2D">
        <w:fldChar w:fldCharType="begin"/>
      </w:r>
      <w:r w:rsidR="00F82F2D">
        <w:instrText xml:space="preserve"> NOTEREF _Ref508380172 \h </w:instrText>
      </w:r>
      <w:r w:rsidR="00F82F2D">
        <w:fldChar w:fldCharType="separate"/>
      </w:r>
      <w:r w:rsidR="00F41CBA">
        <w:t>6</w:t>
      </w:r>
      <w:r w:rsidR="00F82F2D">
        <w:fldChar w:fldCharType="end"/>
      </w:r>
      <w:r w:rsidR="00F82F2D">
        <w:t>).</w:t>
      </w:r>
      <w:r w:rsidR="002D68DD">
        <w:t xml:space="preserve"> Tento trend pokračoval i v 2. polovině roku, absolutní počet nedosažitelných uchazečů osciloval mezi 20 až 22 tisíci uchazeči. Skupina těchto uchazečů o zaměstnání reálně snižuje objem dostupné pracovní síly. Tento nepříznivý trend byl nicméně kompenzován právě úbytkem uchazečů o zaměstnání vykonávajících nekolidující zaměstnání (nejedná se o krátkodobé zaměstnání, které je zahrnováno do nedosažitelných </w:t>
      </w:r>
      <w:proofErr w:type="spellStart"/>
      <w:r w:rsidR="002D68DD">
        <w:t>UoZ</w:t>
      </w:r>
      <w:proofErr w:type="spellEnd"/>
      <w:r w:rsidR="002D68DD">
        <w:t xml:space="preserve">), a které lze jistým způsobem rovněž považovat za nedosažitelné, resp. nelze je s ohledem na výkon nekolidujícího zaměstnání považovat za osoby schopné okamžitého nástupu do zaměstnání. Objem „reálně dostupných“ </w:t>
      </w:r>
      <w:proofErr w:type="spellStart"/>
      <w:r w:rsidR="002D68DD">
        <w:t>UoZ</w:t>
      </w:r>
      <w:proofErr w:type="spellEnd"/>
      <w:r w:rsidR="002D68DD">
        <w:t xml:space="preserve"> se proto v 2. polovině roku zvyšoval, jak zobrazuje </w:t>
      </w:r>
      <w:r w:rsidR="006C6EEE">
        <w:fldChar w:fldCharType="begin"/>
      </w:r>
      <w:r w:rsidR="006C6EEE">
        <w:instrText xml:space="preserve"> REF _Ref508381627 \h </w:instrText>
      </w:r>
      <w:r w:rsidR="006C6EEE">
        <w:fldChar w:fldCharType="separate"/>
      </w:r>
      <w:r w:rsidR="00F41CBA">
        <w:t xml:space="preserve">Graf č.: </w:t>
      </w:r>
      <w:r w:rsidR="00F41CBA">
        <w:rPr>
          <w:noProof/>
        </w:rPr>
        <w:t>11</w:t>
      </w:r>
      <w:r w:rsidR="006C6EEE">
        <w:fldChar w:fldCharType="end"/>
      </w:r>
      <w:r w:rsidR="002D68DD">
        <w:t>.</w:t>
      </w:r>
    </w:p>
    <w:p w:rsidR="002D68DD" w:rsidRDefault="002D68DD" w:rsidP="002D68DD">
      <w:pPr>
        <w:pStyle w:val="Titulek"/>
        <w:keepNext/>
      </w:pPr>
      <w:bookmarkStart w:id="45" w:name="_Ref508381627"/>
      <w:bookmarkStart w:id="46" w:name="_Toc508704214"/>
      <w:r>
        <w:t xml:space="preserve">Graf č.: </w:t>
      </w:r>
      <w:r w:rsidR="007B53ED">
        <w:fldChar w:fldCharType="begin"/>
      </w:r>
      <w:r w:rsidR="007B53ED">
        <w:instrText xml:space="preserve"> SEQ Graf_č.: \* ARABIC </w:instrText>
      </w:r>
      <w:r w:rsidR="007B53ED">
        <w:fldChar w:fldCharType="separate"/>
      </w:r>
      <w:r w:rsidR="00F41CBA">
        <w:rPr>
          <w:noProof/>
        </w:rPr>
        <w:t>11</w:t>
      </w:r>
      <w:r w:rsidR="007B53ED">
        <w:rPr>
          <w:noProof/>
        </w:rPr>
        <w:fldChar w:fldCharType="end"/>
      </w:r>
      <w:bookmarkEnd w:id="45"/>
      <w:r>
        <w:t xml:space="preserve"> Vývoj počtu </w:t>
      </w:r>
      <w:proofErr w:type="spellStart"/>
      <w:r>
        <w:t>UoZ</w:t>
      </w:r>
      <w:proofErr w:type="spellEnd"/>
      <w:r>
        <w:t xml:space="preserve"> a jejich "dosažitelnost"</w:t>
      </w:r>
      <w:bookmarkEnd w:id="46"/>
    </w:p>
    <w:p w:rsidR="00B576F7" w:rsidRPr="00DC06B1" w:rsidRDefault="002D68DD" w:rsidP="00DC06B1">
      <w:r>
        <w:rPr>
          <w:noProof/>
          <w:lang w:eastAsia="cs-CZ"/>
        </w:rPr>
        <w:drawing>
          <wp:inline distT="0" distB="0" distL="0" distR="0" wp14:anchorId="5CF38BB0" wp14:editId="0642CF8F">
            <wp:extent cx="5705475" cy="2981325"/>
            <wp:effectExtent l="0" t="0" r="9525" b="9525"/>
            <wp:docPr id="13" name="Graf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F82F2D">
        <w:t xml:space="preserve">  </w:t>
      </w:r>
    </w:p>
    <w:p w:rsidR="006C6EEE" w:rsidRDefault="006C6EEE" w:rsidP="006C6EEE">
      <w:pPr>
        <w:pStyle w:val="Titulek"/>
        <w:keepNext/>
      </w:pPr>
      <w:bookmarkStart w:id="47" w:name="_Ref508381588"/>
      <w:bookmarkStart w:id="48" w:name="_Toc508704224"/>
      <w:r>
        <w:t xml:space="preserve">Tabulka </w:t>
      </w:r>
      <w:r w:rsidR="007B53ED">
        <w:fldChar w:fldCharType="begin"/>
      </w:r>
      <w:r w:rsidR="007B53ED">
        <w:instrText xml:space="preserve"> SEQ Tabulka \* ARABIC </w:instrText>
      </w:r>
      <w:r w:rsidR="007B53ED">
        <w:fldChar w:fldCharType="separate"/>
      </w:r>
      <w:r w:rsidR="00F41CBA">
        <w:rPr>
          <w:noProof/>
        </w:rPr>
        <w:t>6</w:t>
      </w:r>
      <w:r w:rsidR="007B53ED">
        <w:rPr>
          <w:noProof/>
        </w:rPr>
        <w:fldChar w:fldCharType="end"/>
      </w:r>
      <w:bookmarkEnd w:id="47"/>
      <w:r>
        <w:t xml:space="preserve"> Počty a podíly </w:t>
      </w:r>
      <w:proofErr w:type="spellStart"/>
      <w:r>
        <w:t>UoZ</w:t>
      </w:r>
      <w:proofErr w:type="spellEnd"/>
      <w:r>
        <w:t xml:space="preserve"> vykonávajících nekolidující zaměstnání podle krajů</w:t>
      </w:r>
      <w:bookmarkEnd w:id="48"/>
    </w:p>
    <w:tbl>
      <w:tblPr>
        <w:tblW w:w="9021" w:type="dxa"/>
        <w:tblInd w:w="60" w:type="dxa"/>
        <w:tblCellMar>
          <w:left w:w="70" w:type="dxa"/>
          <w:right w:w="70" w:type="dxa"/>
        </w:tblCellMar>
        <w:tblLook w:val="04A0" w:firstRow="1" w:lastRow="0" w:firstColumn="1" w:lastColumn="0" w:noHBand="0" w:noVBand="1"/>
      </w:tblPr>
      <w:tblGrid>
        <w:gridCol w:w="1440"/>
        <w:gridCol w:w="1548"/>
        <w:gridCol w:w="1448"/>
        <w:gridCol w:w="1568"/>
        <w:gridCol w:w="1437"/>
        <w:gridCol w:w="1580"/>
      </w:tblGrid>
      <w:tr w:rsidR="006C6EEE" w:rsidRPr="001B60FA" w:rsidTr="002F556E">
        <w:trPr>
          <w:trHeight w:val="42"/>
        </w:trPr>
        <w:tc>
          <w:tcPr>
            <w:tcW w:w="1440" w:type="dxa"/>
            <w:tcBorders>
              <w:top w:val="single" w:sz="8" w:space="0" w:color="auto"/>
              <w:left w:val="single" w:sz="8" w:space="0" w:color="auto"/>
              <w:bottom w:val="nil"/>
              <w:right w:val="nil"/>
            </w:tcBorders>
            <w:shd w:val="clear" w:color="auto" w:fill="auto"/>
            <w:noWrap/>
            <w:vAlign w:val="bottom"/>
            <w:hideMark/>
          </w:tcPr>
          <w:p w:rsidR="006C6EEE" w:rsidRPr="001B60FA" w:rsidRDefault="006C6EEE" w:rsidP="006C6EEE">
            <w:pPr>
              <w:spacing w:before="0" w:after="0"/>
              <w:jc w:val="left"/>
              <w:rPr>
                <w:rFonts w:ascii="Calibri" w:eastAsia="Times New Roman" w:hAnsi="Calibri" w:cs="Times New Roman"/>
                <w:color w:val="000000"/>
                <w:sz w:val="22"/>
                <w:lang w:eastAsia="cs-CZ"/>
              </w:rPr>
            </w:pPr>
            <w:r w:rsidRPr="001B60FA">
              <w:rPr>
                <w:rFonts w:ascii="Calibri" w:eastAsia="Times New Roman" w:hAnsi="Calibri" w:cs="Times New Roman"/>
                <w:color w:val="000000"/>
                <w:sz w:val="22"/>
                <w:lang w:eastAsia="cs-CZ"/>
              </w:rPr>
              <w:t> </w:t>
            </w:r>
          </w:p>
        </w:tc>
        <w:tc>
          <w:tcPr>
            <w:tcW w:w="1548" w:type="dxa"/>
            <w:tcBorders>
              <w:top w:val="single" w:sz="8" w:space="0" w:color="auto"/>
              <w:left w:val="single" w:sz="4" w:space="0" w:color="auto"/>
              <w:bottom w:val="nil"/>
              <w:right w:val="single" w:sz="8" w:space="0" w:color="auto"/>
            </w:tcBorders>
            <w:shd w:val="clear" w:color="auto" w:fill="auto"/>
            <w:noWrap/>
            <w:vAlign w:val="bottom"/>
            <w:hideMark/>
          </w:tcPr>
          <w:p w:rsidR="006C6EEE" w:rsidRPr="001B60FA" w:rsidRDefault="006C6EEE" w:rsidP="006C6EEE">
            <w:pPr>
              <w:spacing w:before="0" w:after="0"/>
              <w:jc w:val="center"/>
              <w:rPr>
                <w:rFonts w:ascii="Calibri" w:eastAsia="Times New Roman" w:hAnsi="Calibri" w:cs="Times New Roman"/>
                <w:b/>
                <w:bCs/>
                <w:color w:val="000000"/>
                <w:sz w:val="22"/>
                <w:lang w:eastAsia="cs-CZ"/>
              </w:rPr>
            </w:pPr>
            <w:proofErr w:type="spellStart"/>
            <w:r w:rsidRPr="001B60FA">
              <w:rPr>
                <w:rFonts w:ascii="Calibri" w:eastAsia="Times New Roman" w:hAnsi="Calibri" w:cs="Times New Roman"/>
                <w:b/>
                <w:bCs/>
                <w:color w:val="000000"/>
                <w:sz w:val="22"/>
                <w:lang w:eastAsia="cs-CZ"/>
              </w:rPr>
              <w:t>UoZ</w:t>
            </w:r>
            <w:proofErr w:type="spellEnd"/>
            <w:r w:rsidRPr="001B60FA">
              <w:rPr>
                <w:rFonts w:ascii="Calibri" w:eastAsia="Times New Roman" w:hAnsi="Calibri" w:cs="Times New Roman"/>
                <w:b/>
                <w:bCs/>
                <w:color w:val="000000"/>
                <w:sz w:val="22"/>
                <w:lang w:eastAsia="cs-CZ"/>
              </w:rPr>
              <w:t xml:space="preserve"> </w:t>
            </w:r>
          </w:p>
        </w:tc>
        <w:tc>
          <w:tcPr>
            <w:tcW w:w="6033" w:type="dxa"/>
            <w:gridSpan w:val="4"/>
            <w:tcBorders>
              <w:top w:val="single" w:sz="8" w:space="0" w:color="auto"/>
              <w:left w:val="nil"/>
              <w:bottom w:val="single" w:sz="4" w:space="0" w:color="auto"/>
              <w:right w:val="single" w:sz="8" w:space="0" w:color="000000"/>
            </w:tcBorders>
            <w:shd w:val="clear" w:color="auto" w:fill="auto"/>
            <w:noWrap/>
            <w:vAlign w:val="bottom"/>
            <w:hideMark/>
          </w:tcPr>
          <w:p w:rsidR="006C6EEE" w:rsidRPr="001B60FA" w:rsidRDefault="006C6EEE" w:rsidP="006C6EEE">
            <w:pPr>
              <w:spacing w:before="0" w:after="0"/>
              <w:jc w:val="center"/>
              <w:rPr>
                <w:rFonts w:ascii="Calibri" w:eastAsia="Times New Roman" w:hAnsi="Calibri" w:cs="Times New Roman"/>
                <w:b/>
                <w:bCs/>
                <w:color w:val="000000"/>
                <w:sz w:val="22"/>
                <w:lang w:eastAsia="cs-CZ"/>
              </w:rPr>
            </w:pPr>
            <w:proofErr w:type="spellStart"/>
            <w:r w:rsidRPr="001B60FA">
              <w:rPr>
                <w:rFonts w:ascii="Calibri" w:eastAsia="Times New Roman" w:hAnsi="Calibri" w:cs="Times New Roman"/>
                <w:b/>
                <w:bCs/>
                <w:color w:val="000000"/>
                <w:sz w:val="22"/>
                <w:lang w:eastAsia="cs-CZ"/>
              </w:rPr>
              <w:t>UoZ</w:t>
            </w:r>
            <w:proofErr w:type="spellEnd"/>
            <w:r w:rsidRPr="001B60FA">
              <w:rPr>
                <w:rFonts w:ascii="Calibri" w:eastAsia="Times New Roman" w:hAnsi="Calibri" w:cs="Times New Roman"/>
                <w:b/>
                <w:bCs/>
                <w:color w:val="000000"/>
                <w:sz w:val="22"/>
                <w:lang w:eastAsia="cs-CZ"/>
              </w:rPr>
              <w:t xml:space="preserve"> vykonávající nekolidující zaměstnání k:</w:t>
            </w:r>
          </w:p>
        </w:tc>
      </w:tr>
      <w:tr w:rsidR="006C6EEE" w:rsidRPr="001B60FA" w:rsidTr="006C6EEE">
        <w:trPr>
          <w:trHeight w:val="42"/>
        </w:trPr>
        <w:tc>
          <w:tcPr>
            <w:tcW w:w="1440" w:type="dxa"/>
            <w:tcBorders>
              <w:top w:val="nil"/>
              <w:left w:val="single" w:sz="8" w:space="0" w:color="auto"/>
              <w:bottom w:val="nil"/>
              <w:right w:val="nil"/>
            </w:tcBorders>
            <w:shd w:val="clear" w:color="auto" w:fill="auto"/>
            <w:noWrap/>
            <w:vAlign w:val="center"/>
            <w:hideMark/>
          </w:tcPr>
          <w:p w:rsidR="006C6EEE" w:rsidRPr="00975FB2" w:rsidRDefault="006C6EEE" w:rsidP="006C6EEE">
            <w:pPr>
              <w:spacing w:before="0" w:after="0"/>
              <w:jc w:val="center"/>
              <w:rPr>
                <w:rFonts w:eastAsia="Times New Roman" w:cs="Arial"/>
                <w:b/>
                <w:bCs/>
                <w:color w:val="000000"/>
                <w:sz w:val="20"/>
                <w:szCs w:val="20"/>
                <w:lang w:eastAsia="cs-CZ"/>
              </w:rPr>
            </w:pPr>
            <w:r w:rsidRPr="00975FB2">
              <w:rPr>
                <w:rFonts w:eastAsia="Times New Roman" w:cs="Arial"/>
                <w:b/>
                <w:bCs/>
                <w:color w:val="000000"/>
                <w:sz w:val="20"/>
                <w:szCs w:val="20"/>
                <w:lang w:eastAsia="cs-CZ"/>
              </w:rPr>
              <w:t>Kraj</w:t>
            </w:r>
          </w:p>
        </w:tc>
        <w:tc>
          <w:tcPr>
            <w:tcW w:w="1548" w:type="dxa"/>
            <w:tcBorders>
              <w:top w:val="nil"/>
              <w:left w:val="single" w:sz="4" w:space="0" w:color="auto"/>
              <w:bottom w:val="nil"/>
              <w:right w:val="single" w:sz="8" w:space="0" w:color="auto"/>
            </w:tcBorders>
            <w:shd w:val="clear" w:color="auto" w:fill="auto"/>
            <w:noWrap/>
            <w:vAlign w:val="bottom"/>
            <w:hideMark/>
          </w:tcPr>
          <w:p w:rsidR="006C6EEE" w:rsidRPr="00975FB2" w:rsidRDefault="006C6EEE" w:rsidP="006C6EEE">
            <w:pPr>
              <w:spacing w:before="0" w:after="0"/>
              <w:jc w:val="center"/>
              <w:rPr>
                <w:rFonts w:eastAsia="Times New Roman" w:cs="Arial"/>
                <w:b/>
                <w:bCs/>
                <w:color w:val="000000"/>
                <w:sz w:val="20"/>
                <w:szCs w:val="20"/>
                <w:lang w:eastAsia="cs-CZ"/>
              </w:rPr>
            </w:pPr>
            <w:r w:rsidRPr="00975FB2">
              <w:rPr>
                <w:rFonts w:eastAsia="Times New Roman" w:cs="Arial"/>
                <w:b/>
                <w:bCs/>
                <w:color w:val="000000"/>
                <w:sz w:val="20"/>
                <w:szCs w:val="20"/>
                <w:lang w:eastAsia="cs-CZ"/>
              </w:rPr>
              <w:t>celkem k:</w:t>
            </w:r>
          </w:p>
        </w:tc>
        <w:tc>
          <w:tcPr>
            <w:tcW w:w="3016" w:type="dxa"/>
            <w:gridSpan w:val="2"/>
            <w:tcBorders>
              <w:top w:val="single" w:sz="4" w:space="0" w:color="auto"/>
              <w:left w:val="nil"/>
              <w:bottom w:val="single" w:sz="4" w:space="0" w:color="auto"/>
              <w:right w:val="single" w:sz="4" w:space="0" w:color="auto"/>
            </w:tcBorders>
            <w:shd w:val="clear" w:color="auto" w:fill="auto"/>
            <w:noWrap/>
            <w:vAlign w:val="bottom"/>
            <w:hideMark/>
          </w:tcPr>
          <w:p w:rsidR="006C6EEE" w:rsidRPr="00975FB2" w:rsidRDefault="006C6EEE" w:rsidP="006C6EEE">
            <w:pPr>
              <w:spacing w:before="0" w:after="0"/>
              <w:jc w:val="center"/>
              <w:rPr>
                <w:rFonts w:eastAsia="Times New Roman" w:cs="Arial"/>
                <w:color w:val="000000"/>
                <w:sz w:val="20"/>
                <w:szCs w:val="20"/>
                <w:lang w:eastAsia="cs-CZ"/>
              </w:rPr>
            </w:pPr>
            <w:r w:rsidRPr="00975FB2">
              <w:rPr>
                <w:rFonts w:eastAsia="Times New Roman" w:cs="Arial"/>
                <w:color w:val="000000"/>
                <w:sz w:val="20"/>
                <w:szCs w:val="20"/>
                <w:lang w:eastAsia="cs-CZ"/>
              </w:rPr>
              <w:t>3</w:t>
            </w:r>
            <w:r>
              <w:rPr>
                <w:rFonts w:eastAsia="Times New Roman" w:cs="Arial"/>
                <w:color w:val="000000"/>
                <w:sz w:val="20"/>
                <w:szCs w:val="20"/>
                <w:lang w:eastAsia="cs-CZ"/>
              </w:rPr>
              <w:t>0</w:t>
            </w:r>
            <w:r w:rsidRPr="00975FB2">
              <w:rPr>
                <w:rFonts w:eastAsia="Times New Roman" w:cs="Arial"/>
                <w:color w:val="000000"/>
                <w:sz w:val="20"/>
                <w:szCs w:val="20"/>
                <w:lang w:eastAsia="cs-CZ"/>
              </w:rPr>
              <w:t xml:space="preserve">. </w:t>
            </w:r>
            <w:r>
              <w:rPr>
                <w:rFonts w:eastAsia="Times New Roman" w:cs="Arial"/>
                <w:color w:val="000000"/>
                <w:sz w:val="20"/>
                <w:szCs w:val="20"/>
                <w:lang w:eastAsia="cs-CZ"/>
              </w:rPr>
              <w:t>6</w:t>
            </w:r>
            <w:r w:rsidRPr="00975FB2">
              <w:rPr>
                <w:rFonts w:eastAsia="Times New Roman" w:cs="Arial"/>
                <w:color w:val="000000"/>
                <w:sz w:val="20"/>
                <w:szCs w:val="20"/>
                <w:lang w:eastAsia="cs-CZ"/>
              </w:rPr>
              <w:t>. 201</w:t>
            </w:r>
            <w:r>
              <w:rPr>
                <w:rFonts w:eastAsia="Times New Roman" w:cs="Arial"/>
                <w:color w:val="000000"/>
                <w:sz w:val="20"/>
                <w:szCs w:val="20"/>
                <w:lang w:eastAsia="cs-CZ"/>
              </w:rPr>
              <w:t>7</w:t>
            </w:r>
          </w:p>
        </w:tc>
        <w:tc>
          <w:tcPr>
            <w:tcW w:w="3017" w:type="dxa"/>
            <w:gridSpan w:val="2"/>
            <w:tcBorders>
              <w:top w:val="single" w:sz="4" w:space="0" w:color="auto"/>
              <w:left w:val="nil"/>
              <w:bottom w:val="single" w:sz="4" w:space="0" w:color="auto"/>
              <w:right w:val="single" w:sz="8" w:space="0" w:color="000000"/>
            </w:tcBorders>
            <w:shd w:val="clear" w:color="auto" w:fill="auto"/>
            <w:noWrap/>
            <w:vAlign w:val="bottom"/>
            <w:hideMark/>
          </w:tcPr>
          <w:p w:rsidR="006C6EEE" w:rsidRPr="00975FB2" w:rsidRDefault="006C6EEE" w:rsidP="006C6EEE">
            <w:pPr>
              <w:spacing w:before="0" w:after="0"/>
              <w:jc w:val="center"/>
              <w:rPr>
                <w:rFonts w:eastAsia="Times New Roman" w:cs="Arial"/>
                <w:color w:val="000000"/>
                <w:sz w:val="20"/>
                <w:szCs w:val="20"/>
                <w:lang w:eastAsia="cs-CZ"/>
              </w:rPr>
            </w:pPr>
            <w:r w:rsidRPr="00975FB2">
              <w:rPr>
                <w:rFonts w:eastAsia="Times New Roman" w:cs="Arial"/>
                <w:color w:val="000000"/>
                <w:sz w:val="20"/>
                <w:szCs w:val="20"/>
                <w:lang w:eastAsia="cs-CZ"/>
              </w:rPr>
              <w:t>3</w:t>
            </w:r>
            <w:r>
              <w:rPr>
                <w:rFonts w:eastAsia="Times New Roman" w:cs="Arial"/>
                <w:color w:val="000000"/>
                <w:sz w:val="20"/>
                <w:szCs w:val="20"/>
                <w:lang w:eastAsia="cs-CZ"/>
              </w:rPr>
              <w:t>1</w:t>
            </w:r>
            <w:r w:rsidRPr="00975FB2">
              <w:rPr>
                <w:rFonts w:eastAsia="Times New Roman" w:cs="Arial"/>
                <w:color w:val="000000"/>
                <w:sz w:val="20"/>
                <w:szCs w:val="20"/>
                <w:lang w:eastAsia="cs-CZ"/>
              </w:rPr>
              <w:t xml:space="preserve">. </w:t>
            </w:r>
            <w:r>
              <w:rPr>
                <w:rFonts w:eastAsia="Times New Roman" w:cs="Arial"/>
                <w:color w:val="000000"/>
                <w:sz w:val="20"/>
                <w:szCs w:val="20"/>
                <w:lang w:eastAsia="cs-CZ"/>
              </w:rPr>
              <w:t>12</w:t>
            </w:r>
            <w:r w:rsidRPr="00975FB2">
              <w:rPr>
                <w:rFonts w:eastAsia="Times New Roman" w:cs="Arial"/>
                <w:color w:val="000000"/>
                <w:sz w:val="20"/>
                <w:szCs w:val="20"/>
                <w:lang w:eastAsia="cs-CZ"/>
              </w:rPr>
              <w:t>. 2017</w:t>
            </w:r>
          </w:p>
        </w:tc>
      </w:tr>
      <w:tr w:rsidR="006C6EEE" w:rsidRPr="001B60FA" w:rsidTr="006C6EEE">
        <w:trPr>
          <w:trHeight w:val="44"/>
        </w:trPr>
        <w:tc>
          <w:tcPr>
            <w:tcW w:w="1440" w:type="dxa"/>
            <w:tcBorders>
              <w:top w:val="nil"/>
              <w:left w:val="single" w:sz="8" w:space="0" w:color="auto"/>
              <w:bottom w:val="single" w:sz="8" w:space="0" w:color="auto"/>
              <w:right w:val="nil"/>
            </w:tcBorders>
            <w:shd w:val="clear" w:color="auto" w:fill="auto"/>
            <w:noWrap/>
            <w:vAlign w:val="bottom"/>
            <w:hideMark/>
          </w:tcPr>
          <w:p w:rsidR="006C6EEE" w:rsidRPr="00975FB2" w:rsidRDefault="006C6EEE" w:rsidP="006C6EEE">
            <w:pPr>
              <w:spacing w:before="0" w:after="0"/>
              <w:jc w:val="left"/>
              <w:rPr>
                <w:rFonts w:eastAsia="Times New Roman" w:cs="Arial"/>
                <w:color w:val="000000"/>
                <w:sz w:val="20"/>
                <w:szCs w:val="20"/>
                <w:lang w:eastAsia="cs-CZ"/>
              </w:rPr>
            </w:pPr>
            <w:r w:rsidRPr="00975FB2">
              <w:rPr>
                <w:rFonts w:eastAsia="Times New Roman" w:cs="Arial"/>
                <w:color w:val="000000"/>
                <w:sz w:val="20"/>
                <w:szCs w:val="20"/>
                <w:lang w:eastAsia="cs-CZ"/>
              </w:rPr>
              <w:t> </w:t>
            </w:r>
          </w:p>
        </w:tc>
        <w:tc>
          <w:tcPr>
            <w:tcW w:w="1548" w:type="dxa"/>
            <w:tcBorders>
              <w:top w:val="nil"/>
              <w:left w:val="single" w:sz="4" w:space="0" w:color="auto"/>
              <w:bottom w:val="single" w:sz="8" w:space="0" w:color="auto"/>
              <w:right w:val="single" w:sz="8" w:space="0" w:color="auto"/>
            </w:tcBorders>
            <w:shd w:val="clear" w:color="auto" w:fill="auto"/>
            <w:noWrap/>
            <w:vAlign w:val="bottom"/>
            <w:hideMark/>
          </w:tcPr>
          <w:p w:rsidR="006C6EEE" w:rsidRPr="00975FB2" w:rsidRDefault="006C6EEE" w:rsidP="006C6EEE">
            <w:pPr>
              <w:spacing w:before="0" w:after="0"/>
              <w:jc w:val="center"/>
              <w:rPr>
                <w:rFonts w:eastAsia="Times New Roman" w:cs="Arial"/>
                <w:color w:val="000000"/>
                <w:sz w:val="20"/>
                <w:szCs w:val="20"/>
                <w:lang w:eastAsia="cs-CZ"/>
              </w:rPr>
            </w:pPr>
            <w:r>
              <w:rPr>
                <w:rFonts w:eastAsia="Times New Roman" w:cs="Arial"/>
                <w:color w:val="000000"/>
                <w:sz w:val="20"/>
                <w:szCs w:val="20"/>
                <w:lang w:eastAsia="cs-CZ"/>
              </w:rPr>
              <w:t>31</w:t>
            </w:r>
            <w:r w:rsidRPr="00975FB2">
              <w:rPr>
                <w:rFonts w:eastAsia="Times New Roman" w:cs="Arial"/>
                <w:color w:val="000000"/>
                <w:sz w:val="20"/>
                <w:szCs w:val="20"/>
                <w:lang w:eastAsia="cs-CZ"/>
              </w:rPr>
              <w:t xml:space="preserve">. </w:t>
            </w:r>
            <w:r>
              <w:rPr>
                <w:rFonts w:eastAsia="Times New Roman" w:cs="Arial"/>
                <w:color w:val="000000"/>
                <w:sz w:val="20"/>
                <w:szCs w:val="20"/>
                <w:lang w:eastAsia="cs-CZ"/>
              </w:rPr>
              <w:t>12</w:t>
            </w:r>
            <w:r w:rsidRPr="00975FB2">
              <w:rPr>
                <w:rFonts w:eastAsia="Times New Roman" w:cs="Arial"/>
                <w:color w:val="000000"/>
                <w:sz w:val="20"/>
                <w:szCs w:val="20"/>
                <w:lang w:eastAsia="cs-CZ"/>
              </w:rPr>
              <w:t>. 2017</w:t>
            </w:r>
          </w:p>
        </w:tc>
        <w:tc>
          <w:tcPr>
            <w:tcW w:w="1448" w:type="dxa"/>
            <w:tcBorders>
              <w:top w:val="nil"/>
              <w:left w:val="nil"/>
              <w:bottom w:val="single" w:sz="8" w:space="0" w:color="auto"/>
              <w:right w:val="single" w:sz="4" w:space="0" w:color="auto"/>
            </w:tcBorders>
            <w:shd w:val="clear" w:color="auto" w:fill="auto"/>
            <w:noWrap/>
            <w:vAlign w:val="bottom"/>
            <w:hideMark/>
          </w:tcPr>
          <w:p w:rsidR="006C6EEE" w:rsidRPr="00975FB2" w:rsidRDefault="006C6EEE" w:rsidP="006C6EEE">
            <w:pPr>
              <w:spacing w:before="0" w:after="0"/>
              <w:jc w:val="center"/>
              <w:rPr>
                <w:rFonts w:eastAsia="Times New Roman" w:cs="Arial"/>
                <w:color w:val="000000"/>
                <w:sz w:val="20"/>
                <w:szCs w:val="20"/>
                <w:lang w:eastAsia="cs-CZ"/>
              </w:rPr>
            </w:pPr>
            <w:r w:rsidRPr="00975FB2">
              <w:rPr>
                <w:rFonts w:eastAsia="Times New Roman" w:cs="Arial"/>
                <w:color w:val="000000"/>
                <w:sz w:val="20"/>
                <w:szCs w:val="20"/>
                <w:lang w:eastAsia="cs-CZ"/>
              </w:rPr>
              <w:t>počet</w:t>
            </w:r>
          </w:p>
        </w:tc>
        <w:tc>
          <w:tcPr>
            <w:tcW w:w="1568" w:type="dxa"/>
            <w:tcBorders>
              <w:top w:val="nil"/>
              <w:left w:val="single" w:sz="4" w:space="0" w:color="auto"/>
              <w:bottom w:val="single" w:sz="8" w:space="0" w:color="auto"/>
              <w:right w:val="single" w:sz="4" w:space="0" w:color="auto"/>
            </w:tcBorders>
            <w:shd w:val="clear" w:color="auto" w:fill="auto"/>
            <w:noWrap/>
            <w:vAlign w:val="bottom"/>
            <w:hideMark/>
          </w:tcPr>
          <w:p w:rsidR="006C6EEE" w:rsidRPr="00975FB2" w:rsidRDefault="006C6EEE" w:rsidP="006C6EEE">
            <w:pPr>
              <w:spacing w:before="0" w:after="0"/>
              <w:jc w:val="center"/>
              <w:rPr>
                <w:rFonts w:eastAsia="Times New Roman" w:cs="Arial"/>
                <w:color w:val="000000"/>
                <w:sz w:val="20"/>
                <w:szCs w:val="20"/>
                <w:lang w:eastAsia="cs-CZ"/>
              </w:rPr>
            </w:pPr>
            <w:r w:rsidRPr="00975FB2">
              <w:rPr>
                <w:rFonts w:eastAsia="Times New Roman" w:cs="Arial"/>
                <w:color w:val="000000"/>
                <w:sz w:val="20"/>
                <w:szCs w:val="20"/>
                <w:lang w:eastAsia="cs-CZ"/>
              </w:rPr>
              <w:t>podíl</w:t>
            </w:r>
          </w:p>
        </w:tc>
        <w:tc>
          <w:tcPr>
            <w:tcW w:w="1437" w:type="dxa"/>
            <w:tcBorders>
              <w:top w:val="nil"/>
              <w:left w:val="nil"/>
              <w:bottom w:val="single" w:sz="8" w:space="0" w:color="auto"/>
              <w:right w:val="single" w:sz="4" w:space="0" w:color="auto"/>
            </w:tcBorders>
            <w:shd w:val="clear" w:color="auto" w:fill="auto"/>
            <w:noWrap/>
            <w:vAlign w:val="bottom"/>
            <w:hideMark/>
          </w:tcPr>
          <w:p w:rsidR="006C6EEE" w:rsidRPr="00975FB2" w:rsidRDefault="006C6EEE" w:rsidP="006C6EEE">
            <w:pPr>
              <w:spacing w:before="0" w:after="0"/>
              <w:jc w:val="center"/>
              <w:rPr>
                <w:rFonts w:eastAsia="Times New Roman" w:cs="Arial"/>
                <w:color w:val="000000"/>
                <w:sz w:val="20"/>
                <w:szCs w:val="20"/>
                <w:lang w:eastAsia="cs-CZ"/>
              </w:rPr>
            </w:pPr>
            <w:r w:rsidRPr="00975FB2">
              <w:rPr>
                <w:rFonts w:eastAsia="Times New Roman" w:cs="Arial"/>
                <w:color w:val="000000"/>
                <w:sz w:val="20"/>
                <w:szCs w:val="20"/>
                <w:lang w:eastAsia="cs-CZ"/>
              </w:rPr>
              <w:t>počet</w:t>
            </w:r>
          </w:p>
        </w:tc>
        <w:tc>
          <w:tcPr>
            <w:tcW w:w="1580" w:type="dxa"/>
            <w:tcBorders>
              <w:top w:val="nil"/>
              <w:left w:val="nil"/>
              <w:bottom w:val="single" w:sz="8" w:space="0" w:color="auto"/>
              <w:right w:val="single" w:sz="8" w:space="0" w:color="auto"/>
            </w:tcBorders>
            <w:shd w:val="clear" w:color="auto" w:fill="auto"/>
            <w:noWrap/>
            <w:vAlign w:val="bottom"/>
            <w:hideMark/>
          </w:tcPr>
          <w:p w:rsidR="006C6EEE" w:rsidRPr="00975FB2" w:rsidRDefault="006C6EEE" w:rsidP="006C6EEE">
            <w:pPr>
              <w:spacing w:before="0" w:after="0"/>
              <w:jc w:val="center"/>
              <w:rPr>
                <w:rFonts w:eastAsia="Times New Roman" w:cs="Arial"/>
                <w:color w:val="000000"/>
                <w:sz w:val="20"/>
                <w:szCs w:val="20"/>
                <w:lang w:eastAsia="cs-CZ"/>
              </w:rPr>
            </w:pPr>
            <w:r w:rsidRPr="00975FB2">
              <w:rPr>
                <w:rFonts w:eastAsia="Times New Roman" w:cs="Arial"/>
                <w:color w:val="000000"/>
                <w:sz w:val="20"/>
                <w:szCs w:val="20"/>
                <w:lang w:eastAsia="cs-CZ"/>
              </w:rPr>
              <w:t>podíl</w:t>
            </w:r>
          </w:p>
        </w:tc>
      </w:tr>
      <w:tr w:rsidR="006C6EEE" w:rsidRPr="001B60FA" w:rsidTr="006C6EEE">
        <w:trPr>
          <w:trHeight w:val="42"/>
        </w:trPr>
        <w:tc>
          <w:tcPr>
            <w:tcW w:w="14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C6EEE" w:rsidRPr="00975FB2" w:rsidRDefault="006C6EEE" w:rsidP="006C6EEE">
            <w:pPr>
              <w:spacing w:before="0" w:after="0"/>
              <w:jc w:val="center"/>
              <w:rPr>
                <w:rFonts w:eastAsia="Times New Roman" w:cs="Arial"/>
                <w:color w:val="000000"/>
                <w:sz w:val="20"/>
                <w:szCs w:val="20"/>
                <w:lang w:eastAsia="cs-CZ"/>
              </w:rPr>
            </w:pPr>
            <w:r w:rsidRPr="00975FB2">
              <w:rPr>
                <w:rFonts w:eastAsia="Times New Roman" w:cs="Arial"/>
                <w:color w:val="000000"/>
                <w:sz w:val="20"/>
                <w:szCs w:val="20"/>
                <w:lang w:eastAsia="cs-CZ"/>
              </w:rPr>
              <w:t>Praha</w:t>
            </w:r>
          </w:p>
        </w:tc>
        <w:tc>
          <w:tcPr>
            <w:tcW w:w="1548" w:type="dxa"/>
            <w:tcBorders>
              <w:top w:val="single" w:sz="8" w:space="0" w:color="auto"/>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21 787</w:t>
            </w:r>
          </w:p>
        </w:tc>
        <w:tc>
          <w:tcPr>
            <w:tcW w:w="1448" w:type="dxa"/>
            <w:tcBorders>
              <w:top w:val="single" w:sz="8" w:space="0" w:color="auto"/>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2 233</w:t>
            </w:r>
          </w:p>
        </w:tc>
        <w:tc>
          <w:tcPr>
            <w:tcW w:w="1568" w:type="dxa"/>
            <w:tcBorders>
              <w:top w:val="nil"/>
              <w:left w:val="single" w:sz="4" w:space="0" w:color="auto"/>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8,52%</w:t>
            </w:r>
          </w:p>
        </w:tc>
        <w:tc>
          <w:tcPr>
            <w:tcW w:w="1437"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904</w:t>
            </w:r>
          </w:p>
        </w:tc>
        <w:tc>
          <w:tcPr>
            <w:tcW w:w="1580" w:type="dxa"/>
            <w:tcBorders>
              <w:top w:val="nil"/>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4,15%</w:t>
            </w:r>
          </w:p>
        </w:tc>
      </w:tr>
      <w:tr w:rsidR="006C6EEE" w:rsidRPr="001B60FA" w:rsidTr="006C6EEE">
        <w:trPr>
          <w:trHeight w:val="42"/>
        </w:trPr>
        <w:tc>
          <w:tcPr>
            <w:tcW w:w="14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C6EEE" w:rsidRPr="00975FB2" w:rsidRDefault="006C6EEE" w:rsidP="006C6EEE">
            <w:pPr>
              <w:spacing w:before="0" w:after="0"/>
              <w:jc w:val="center"/>
              <w:rPr>
                <w:rFonts w:eastAsia="Times New Roman" w:cs="Arial"/>
                <w:color w:val="000000"/>
                <w:sz w:val="20"/>
                <w:szCs w:val="20"/>
                <w:lang w:eastAsia="cs-CZ"/>
              </w:rPr>
            </w:pPr>
            <w:r w:rsidRPr="00975FB2">
              <w:rPr>
                <w:rFonts w:eastAsia="Times New Roman" w:cs="Arial"/>
                <w:color w:val="000000"/>
                <w:sz w:val="20"/>
                <w:szCs w:val="20"/>
                <w:lang w:eastAsia="cs-CZ"/>
              </w:rPr>
              <w:t>SČK</w:t>
            </w:r>
          </w:p>
        </w:tc>
        <w:tc>
          <w:tcPr>
            <w:tcW w:w="1548" w:type="dxa"/>
            <w:tcBorders>
              <w:top w:val="single" w:sz="4" w:space="0" w:color="auto"/>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29 370</w:t>
            </w:r>
          </w:p>
        </w:tc>
        <w:tc>
          <w:tcPr>
            <w:tcW w:w="1448"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3 186</w:t>
            </w:r>
          </w:p>
        </w:tc>
        <w:tc>
          <w:tcPr>
            <w:tcW w:w="1568" w:type="dxa"/>
            <w:tcBorders>
              <w:top w:val="single" w:sz="4" w:space="0" w:color="auto"/>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10,32%</w:t>
            </w:r>
          </w:p>
        </w:tc>
        <w:tc>
          <w:tcPr>
            <w:tcW w:w="1437" w:type="dxa"/>
            <w:tcBorders>
              <w:top w:val="single" w:sz="4" w:space="0" w:color="auto"/>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1 214</w:t>
            </w:r>
          </w:p>
        </w:tc>
        <w:tc>
          <w:tcPr>
            <w:tcW w:w="1580" w:type="dxa"/>
            <w:tcBorders>
              <w:top w:val="single" w:sz="4" w:space="0" w:color="auto"/>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4,13%</w:t>
            </w:r>
          </w:p>
        </w:tc>
      </w:tr>
      <w:tr w:rsidR="006C6EEE" w:rsidRPr="001B60FA" w:rsidTr="006C6EEE">
        <w:trPr>
          <w:trHeight w:val="42"/>
        </w:trPr>
        <w:tc>
          <w:tcPr>
            <w:tcW w:w="1440" w:type="dxa"/>
            <w:tcBorders>
              <w:top w:val="nil"/>
              <w:left w:val="single" w:sz="8" w:space="0" w:color="auto"/>
              <w:bottom w:val="single" w:sz="4" w:space="0" w:color="auto"/>
              <w:right w:val="single" w:sz="4" w:space="0" w:color="auto"/>
            </w:tcBorders>
            <w:shd w:val="clear" w:color="auto" w:fill="auto"/>
            <w:noWrap/>
            <w:vAlign w:val="bottom"/>
            <w:hideMark/>
          </w:tcPr>
          <w:p w:rsidR="006C6EEE" w:rsidRPr="00975FB2" w:rsidRDefault="006C6EEE" w:rsidP="006C6EEE">
            <w:pPr>
              <w:spacing w:before="0" w:after="0"/>
              <w:jc w:val="center"/>
              <w:rPr>
                <w:rFonts w:eastAsia="Times New Roman" w:cs="Arial"/>
                <w:color w:val="000000"/>
                <w:sz w:val="20"/>
                <w:szCs w:val="20"/>
                <w:lang w:eastAsia="cs-CZ"/>
              </w:rPr>
            </w:pPr>
            <w:r w:rsidRPr="00975FB2">
              <w:rPr>
                <w:rFonts w:eastAsia="Times New Roman" w:cs="Arial"/>
                <w:color w:val="000000"/>
                <w:sz w:val="20"/>
                <w:szCs w:val="20"/>
                <w:lang w:eastAsia="cs-CZ"/>
              </w:rPr>
              <w:t>JČK</w:t>
            </w:r>
          </w:p>
        </w:tc>
        <w:tc>
          <w:tcPr>
            <w:tcW w:w="1548" w:type="dxa"/>
            <w:tcBorders>
              <w:top w:val="nil"/>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14 112</w:t>
            </w:r>
          </w:p>
        </w:tc>
        <w:tc>
          <w:tcPr>
            <w:tcW w:w="1448"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1 441</w:t>
            </w:r>
          </w:p>
        </w:tc>
        <w:tc>
          <w:tcPr>
            <w:tcW w:w="1568"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11,14%</w:t>
            </w:r>
          </w:p>
        </w:tc>
        <w:tc>
          <w:tcPr>
            <w:tcW w:w="1437"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535</w:t>
            </w:r>
          </w:p>
        </w:tc>
        <w:tc>
          <w:tcPr>
            <w:tcW w:w="1580" w:type="dxa"/>
            <w:tcBorders>
              <w:top w:val="nil"/>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3,79%</w:t>
            </w:r>
          </w:p>
        </w:tc>
      </w:tr>
      <w:tr w:rsidR="006C6EEE" w:rsidRPr="001B60FA" w:rsidTr="006C6EEE">
        <w:trPr>
          <w:trHeight w:val="42"/>
        </w:trPr>
        <w:tc>
          <w:tcPr>
            <w:tcW w:w="1440" w:type="dxa"/>
            <w:tcBorders>
              <w:top w:val="nil"/>
              <w:left w:val="single" w:sz="8" w:space="0" w:color="auto"/>
              <w:bottom w:val="single" w:sz="4" w:space="0" w:color="auto"/>
              <w:right w:val="single" w:sz="4" w:space="0" w:color="auto"/>
            </w:tcBorders>
            <w:shd w:val="clear" w:color="auto" w:fill="auto"/>
            <w:noWrap/>
            <w:vAlign w:val="bottom"/>
            <w:hideMark/>
          </w:tcPr>
          <w:p w:rsidR="006C6EEE" w:rsidRPr="00975FB2" w:rsidRDefault="006C6EEE" w:rsidP="006C6EEE">
            <w:pPr>
              <w:spacing w:before="0" w:after="0"/>
              <w:jc w:val="center"/>
              <w:rPr>
                <w:rFonts w:eastAsia="Times New Roman" w:cs="Arial"/>
                <w:color w:val="000000"/>
                <w:sz w:val="20"/>
                <w:szCs w:val="20"/>
                <w:lang w:eastAsia="cs-CZ"/>
              </w:rPr>
            </w:pPr>
            <w:r w:rsidRPr="00975FB2">
              <w:rPr>
                <w:rFonts w:eastAsia="Times New Roman" w:cs="Arial"/>
                <w:color w:val="000000"/>
                <w:sz w:val="20"/>
                <w:szCs w:val="20"/>
                <w:lang w:eastAsia="cs-CZ"/>
              </w:rPr>
              <w:t>PLK</w:t>
            </w:r>
          </w:p>
        </w:tc>
        <w:tc>
          <w:tcPr>
            <w:tcW w:w="1548" w:type="dxa"/>
            <w:tcBorders>
              <w:top w:val="nil"/>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10 517</w:t>
            </w:r>
          </w:p>
        </w:tc>
        <w:tc>
          <w:tcPr>
            <w:tcW w:w="1448"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838</w:t>
            </w:r>
          </w:p>
        </w:tc>
        <w:tc>
          <w:tcPr>
            <w:tcW w:w="1568"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7,84%</w:t>
            </w:r>
          </w:p>
        </w:tc>
        <w:tc>
          <w:tcPr>
            <w:tcW w:w="1437"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279</w:t>
            </w:r>
          </w:p>
        </w:tc>
        <w:tc>
          <w:tcPr>
            <w:tcW w:w="1580" w:type="dxa"/>
            <w:tcBorders>
              <w:top w:val="nil"/>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2,65%</w:t>
            </w:r>
          </w:p>
        </w:tc>
      </w:tr>
      <w:tr w:rsidR="006C6EEE" w:rsidRPr="001B60FA" w:rsidTr="006C6EEE">
        <w:trPr>
          <w:trHeight w:val="42"/>
        </w:trPr>
        <w:tc>
          <w:tcPr>
            <w:tcW w:w="1440" w:type="dxa"/>
            <w:tcBorders>
              <w:top w:val="nil"/>
              <w:left w:val="single" w:sz="8" w:space="0" w:color="auto"/>
              <w:bottom w:val="single" w:sz="4" w:space="0" w:color="auto"/>
              <w:right w:val="single" w:sz="4" w:space="0" w:color="auto"/>
            </w:tcBorders>
            <w:shd w:val="clear" w:color="auto" w:fill="auto"/>
            <w:noWrap/>
            <w:vAlign w:val="bottom"/>
            <w:hideMark/>
          </w:tcPr>
          <w:p w:rsidR="006C6EEE" w:rsidRPr="00975FB2" w:rsidRDefault="006C6EEE" w:rsidP="006C6EEE">
            <w:pPr>
              <w:spacing w:before="0" w:after="0"/>
              <w:jc w:val="center"/>
              <w:rPr>
                <w:rFonts w:eastAsia="Times New Roman" w:cs="Arial"/>
                <w:color w:val="000000"/>
                <w:sz w:val="20"/>
                <w:szCs w:val="20"/>
                <w:lang w:eastAsia="cs-CZ"/>
              </w:rPr>
            </w:pPr>
            <w:r w:rsidRPr="00975FB2">
              <w:rPr>
                <w:rFonts w:eastAsia="Times New Roman" w:cs="Arial"/>
                <w:color w:val="000000"/>
                <w:sz w:val="20"/>
                <w:szCs w:val="20"/>
                <w:lang w:eastAsia="cs-CZ"/>
              </w:rPr>
              <w:t>KVK</w:t>
            </w:r>
          </w:p>
        </w:tc>
        <w:tc>
          <w:tcPr>
            <w:tcW w:w="1548" w:type="dxa"/>
            <w:tcBorders>
              <w:top w:val="nil"/>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7 488</w:t>
            </w:r>
          </w:p>
        </w:tc>
        <w:tc>
          <w:tcPr>
            <w:tcW w:w="1448"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858</w:t>
            </w:r>
          </w:p>
        </w:tc>
        <w:tc>
          <w:tcPr>
            <w:tcW w:w="1568"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9,89%</w:t>
            </w:r>
          </w:p>
        </w:tc>
        <w:tc>
          <w:tcPr>
            <w:tcW w:w="1437"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246</w:t>
            </w:r>
          </w:p>
        </w:tc>
        <w:tc>
          <w:tcPr>
            <w:tcW w:w="1580" w:type="dxa"/>
            <w:tcBorders>
              <w:top w:val="nil"/>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3,29%</w:t>
            </w:r>
          </w:p>
        </w:tc>
      </w:tr>
      <w:tr w:rsidR="006C6EEE" w:rsidRPr="001B60FA" w:rsidTr="006C6EEE">
        <w:trPr>
          <w:trHeight w:val="42"/>
        </w:trPr>
        <w:tc>
          <w:tcPr>
            <w:tcW w:w="1440" w:type="dxa"/>
            <w:tcBorders>
              <w:top w:val="nil"/>
              <w:left w:val="single" w:sz="8" w:space="0" w:color="auto"/>
              <w:bottom w:val="single" w:sz="4" w:space="0" w:color="auto"/>
              <w:right w:val="single" w:sz="4" w:space="0" w:color="auto"/>
            </w:tcBorders>
            <w:shd w:val="clear" w:color="auto" w:fill="auto"/>
            <w:noWrap/>
            <w:vAlign w:val="bottom"/>
            <w:hideMark/>
          </w:tcPr>
          <w:p w:rsidR="006C6EEE" w:rsidRPr="00975FB2" w:rsidRDefault="006C6EEE" w:rsidP="006C6EEE">
            <w:pPr>
              <w:spacing w:before="0" w:after="0"/>
              <w:jc w:val="center"/>
              <w:rPr>
                <w:rFonts w:eastAsia="Times New Roman" w:cs="Arial"/>
                <w:color w:val="000000"/>
                <w:sz w:val="20"/>
                <w:szCs w:val="20"/>
                <w:lang w:eastAsia="cs-CZ"/>
              </w:rPr>
            </w:pPr>
            <w:r w:rsidRPr="00975FB2">
              <w:rPr>
                <w:rFonts w:eastAsia="Times New Roman" w:cs="Arial"/>
                <w:color w:val="000000"/>
                <w:sz w:val="20"/>
                <w:szCs w:val="20"/>
                <w:lang w:eastAsia="cs-CZ"/>
              </w:rPr>
              <w:t>ULK</w:t>
            </w:r>
          </w:p>
        </w:tc>
        <w:tc>
          <w:tcPr>
            <w:tcW w:w="1548" w:type="dxa"/>
            <w:tcBorders>
              <w:top w:val="nil"/>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31 522</w:t>
            </w:r>
          </w:p>
        </w:tc>
        <w:tc>
          <w:tcPr>
            <w:tcW w:w="1448"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4 167</w:t>
            </w:r>
          </w:p>
        </w:tc>
        <w:tc>
          <w:tcPr>
            <w:tcW w:w="1568"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11,35%</w:t>
            </w:r>
          </w:p>
        </w:tc>
        <w:tc>
          <w:tcPr>
            <w:tcW w:w="1437"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1 703</w:t>
            </w:r>
          </w:p>
        </w:tc>
        <w:tc>
          <w:tcPr>
            <w:tcW w:w="1580" w:type="dxa"/>
            <w:tcBorders>
              <w:top w:val="nil"/>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5,40%</w:t>
            </w:r>
          </w:p>
        </w:tc>
      </w:tr>
      <w:tr w:rsidR="006C6EEE" w:rsidRPr="001B60FA" w:rsidTr="006C6EEE">
        <w:trPr>
          <w:trHeight w:val="42"/>
        </w:trPr>
        <w:tc>
          <w:tcPr>
            <w:tcW w:w="1440" w:type="dxa"/>
            <w:tcBorders>
              <w:top w:val="nil"/>
              <w:left w:val="single" w:sz="8" w:space="0" w:color="auto"/>
              <w:bottom w:val="single" w:sz="4" w:space="0" w:color="auto"/>
              <w:right w:val="single" w:sz="4" w:space="0" w:color="auto"/>
            </w:tcBorders>
            <w:shd w:val="clear" w:color="auto" w:fill="auto"/>
            <w:noWrap/>
            <w:vAlign w:val="bottom"/>
            <w:hideMark/>
          </w:tcPr>
          <w:p w:rsidR="006C6EEE" w:rsidRPr="00975FB2" w:rsidRDefault="006C6EEE" w:rsidP="006C6EEE">
            <w:pPr>
              <w:spacing w:before="0" w:after="0"/>
              <w:jc w:val="center"/>
              <w:rPr>
                <w:rFonts w:eastAsia="Times New Roman" w:cs="Arial"/>
                <w:color w:val="000000"/>
                <w:sz w:val="20"/>
                <w:szCs w:val="20"/>
                <w:lang w:eastAsia="cs-CZ"/>
              </w:rPr>
            </w:pPr>
            <w:r w:rsidRPr="00975FB2">
              <w:rPr>
                <w:rFonts w:eastAsia="Times New Roman" w:cs="Arial"/>
                <w:color w:val="000000"/>
                <w:sz w:val="20"/>
                <w:szCs w:val="20"/>
                <w:lang w:eastAsia="cs-CZ"/>
              </w:rPr>
              <w:t>LBK</w:t>
            </w:r>
          </w:p>
        </w:tc>
        <w:tc>
          <w:tcPr>
            <w:tcW w:w="1548" w:type="dxa"/>
            <w:tcBorders>
              <w:top w:val="nil"/>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11 861</w:t>
            </w:r>
          </w:p>
        </w:tc>
        <w:tc>
          <w:tcPr>
            <w:tcW w:w="1448"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1 522</w:t>
            </w:r>
          </w:p>
        </w:tc>
        <w:tc>
          <w:tcPr>
            <w:tcW w:w="1568"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11,87%</w:t>
            </w:r>
          </w:p>
        </w:tc>
        <w:tc>
          <w:tcPr>
            <w:tcW w:w="1437"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598</w:t>
            </w:r>
          </w:p>
        </w:tc>
        <w:tc>
          <w:tcPr>
            <w:tcW w:w="1580" w:type="dxa"/>
            <w:tcBorders>
              <w:top w:val="nil"/>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5,04%</w:t>
            </w:r>
          </w:p>
        </w:tc>
      </w:tr>
      <w:tr w:rsidR="006C6EEE" w:rsidRPr="001B60FA" w:rsidTr="006C6EEE">
        <w:trPr>
          <w:trHeight w:val="42"/>
        </w:trPr>
        <w:tc>
          <w:tcPr>
            <w:tcW w:w="1440" w:type="dxa"/>
            <w:tcBorders>
              <w:top w:val="nil"/>
              <w:left w:val="single" w:sz="8" w:space="0" w:color="auto"/>
              <w:bottom w:val="single" w:sz="4" w:space="0" w:color="auto"/>
              <w:right w:val="single" w:sz="4" w:space="0" w:color="auto"/>
            </w:tcBorders>
            <w:shd w:val="clear" w:color="auto" w:fill="auto"/>
            <w:noWrap/>
            <w:vAlign w:val="bottom"/>
            <w:hideMark/>
          </w:tcPr>
          <w:p w:rsidR="006C6EEE" w:rsidRPr="00975FB2" w:rsidRDefault="006C6EEE" w:rsidP="006C6EEE">
            <w:pPr>
              <w:spacing w:before="0" w:after="0"/>
              <w:jc w:val="center"/>
              <w:rPr>
                <w:rFonts w:eastAsia="Times New Roman" w:cs="Arial"/>
                <w:color w:val="000000"/>
                <w:sz w:val="20"/>
                <w:szCs w:val="20"/>
                <w:lang w:eastAsia="cs-CZ"/>
              </w:rPr>
            </w:pPr>
            <w:r w:rsidRPr="00975FB2">
              <w:rPr>
                <w:rFonts w:eastAsia="Times New Roman" w:cs="Arial"/>
                <w:color w:val="000000"/>
                <w:sz w:val="20"/>
                <w:szCs w:val="20"/>
                <w:lang w:eastAsia="cs-CZ"/>
              </w:rPr>
              <w:t>KHK</w:t>
            </w:r>
          </w:p>
        </w:tc>
        <w:tc>
          <w:tcPr>
            <w:tcW w:w="1548" w:type="dxa"/>
            <w:tcBorders>
              <w:top w:val="nil"/>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10 483</w:t>
            </w:r>
          </w:p>
        </w:tc>
        <w:tc>
          <w:tcPr>
            <w:tcW w:w="1448"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1 212</w:t>
            </w:r>
          </w:p>
        </w:tc>
        <w:tc>
          <w:tcPr>
            <w:tcW w:w="1568"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11,48%</w:t>
            </w:r>
          </w:p>
        </w:tc>
        <w:tc>
          <w:tcPr>
            <w:tcW w:w="1437"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489</w:t>
            </w:r>
          </w:p>
        </w:tc>
        <w:tc>
          <w:tcPr>
            <w:tcW w:w="1580" w:type="dxa"/>
            <w:tcBorders>
              <w:top w:val="nil"/>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4,66%</w:t>
            </w:r>
          </w:p>
        </w:tc>
      </w:tr>
      <w:tr w:rsidR="006C6EEE" w:rsidRPr="001B60FA" w:rsidTr="006C6EEE">
        <w:trPr>
          <w:trHeight w:val="42"/>
        </w:trPr>
        <w:tc>
          <w:tcPr>
            <w:tcW w:w="1440" w:type="dxa"/>
            <w:tcBorders>
              <w:top w:val="nil"/>
              <w:left w:val="single" w:sz="8" w:space="0" w:color="auto"/>
              <w:bottom w:val="single" w:sz="4" w:space="0" w:color="auto"/>
              <w:right w:val="single" w:sz="4" w:space="0" w:color="auto"/>
            </w:tcBorders>
            <w:shd w:val="clear" w:color="auto" w:fill="auto"/>
            <w:noWrap/>
            <w:vAlign w:val="bottom"/>
            <w:hideMark/>
          </w:tcPr>
          <w:p w:rsidR="006C6EEE" w:rsidRPr="00975FB2" w:rsidRDefault="006C6EEE" w:rsidP="006C6EEE">
            <w:pPr>
              <w:spacing w:before="0" w:after="0"/>
              <w:jc w:val="center"/>
              <w:rPr>
                <w:rFonts w:eastAsia="Times New Roman" w:cs="Arial"/>
                <w:color w:val="000000"/>
                <w:sz w:val="20"/>
                <w:szCs w:val="20"/>
                <w:lang w:eastAsia="cs-CZ"/>
              </w:rPr>
            </w:pPr>
            <w:r w:rsidRPr="00975FB2">
              <w:rPr>
                <w:rFonts w:eastAsia="Times New Roman" w:cs="Arial"/>
                <w:color w:val="000000"/>
                <w:sz w:val="20"/>
                <w:szCs w:val="20"/>
                <w:lang w:eastAsia="cs-CZ"/>
              </w:rPr>
              <w:t>PBK</w:t>
            </w:r>
          </w:p>
        </w:tc>
        <w:tc>
          <w:tcPr>
            <w:tcW w:w="1548" w:type="dxa"/>
            <w:tcBorders>
              <w:top w:val="nil"/>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10 152</w:t>
            </w:r>
          </w:p>
        </w:tc>
        <w:tc>
          <w:tcPr>
            <w:tcW w:w="1448"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1 015</w:t>
            </w:r>
          </w:p>
        </w:tc>
        <w:tc>
          <w:tcPr>
            <w:tcW w:w="1568"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10,38%</w:t>
            </w:r>
          </w:p>
        </w:tc>
        <w:tc>
          <w:tcPr>
            <w:tcW w:w="1437"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380</w:t>
            </w:r>
          </w:p>
        </w:tc>
        <w:tc>
          <w:tcPr>
            <w:tcW w:w="1580" w:type="dxa"/>
            <w:tcBorders>
              <w:top w:val="nil"/>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3,74%</w:t>
            </w:r>
          </w:p>
        </w:tc>
      </w:tr>
      <w:tr w:rsidR="006C6EEE" w:rsidRPr="001B60FA" w:rsidTr="006C6EEE">
        <w:trPr>
          <w:trHeight w:val="42"/>
        </w:trPr>
        <w:tc>
          <w:tcPr>
            <w:tcW w:w="1440" w:type="dxa"/>
            <w:tcBorders>
              <w:top w:val="nil"/>
              <w:left w:val="single" w:sz="8" w:space="0" w:color="auto"/>
              <w:bottom w:val="single" w:sz="4" w:space="0" w:color="auto"/>
              <w:right w:val="single" w:sz="4" w:space="0" w:color="auto"/>
            </w:tcBorders>
            <w:shd w:val="clear" w:color="auto" w:fill="auto"/>
            <w:noWrap/>
            <w:vAlign w:val="bottom"/>
            <w:hideMark/>
          </w:tcPr>
          <w:p w:rsidR="006C6EEE" w:rsidRPr="00975FB2" w:rsidRDefault="006C6EEE" w:rsidP="006C6EEE">
            <w:pPr>
              <w:spacing w:before="0" w:after="0"/>
              <w:jc w:val="center"/>
              <w:rPr>
                <w:rFonts w:eastAsia="Times New Roman" w:cs="Arial"/>
                <w:color w:val="000000"/>
                <w:sz w:val="20"/>
                <w:szCs w:val="20"/>
                <w:lang w:eastAsia="cs-CZ"/>
              </w:rPr>
            </w:pPr>
            <w:r w:rsidRPr="00975FB2">
              <w:rPr>
                <w:rFonts w:eastAsia="Times New Roman" w:cs="Arial"/>
                <w:color w:val="000000"/>
                <w:sz w:val="20"/>
                <w:szCs w:val="20"/>
                <w:lang w:eastAsia="cs-CZ"/>
              </w:rPr>
              <w:t>VYS</w:t>
            </w:r>
          </w:p>
        </w:tc>
        <w:tc>
          <w:tcPr>
            <w:tcW w:w="1548" w:type="dxa"/>
            <w:tcBorders>
              <w:top w:val="nil"/>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12 992</w:t>
            </w:r>
          </w:p>
        </w:tc>
        <w:tc>
          <w:tcPr>
            <w:tcW w:w="1448"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1 593</w:t>
            </w:r>
          </w:p>
        </w:tc>
        <w:tc>
          <w:tcPr>
            <w:tcW w:w="1568"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13,31%</w:t>
            </w:r>
          </w:p>
        </w:tc>
        <w:tc>
          <w:tcPr>
            <w:tcW w:w="1437"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692</w:t>
            </w:r>
          </w:p>
        </w:tc>
        <w:tc>
          <w:tcPr>
            <w:tcW w:w="1580" w:type="dxa"/>
            <w:tcBorders>
              <w:top w:val="nil"/>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5,33%</w:t>
            </w:r>
          </w:p>
        </w:tc>
      </w:tr>
      <w:tr w:rsidR="006C6EEE" w:rsidRPr="001B60FA" w:rsidTr="006C6EEE">
        <w:trPr>
          <w:trHeight w:val="42"/>
        </w:trPr>
        <w:tc>
          <w:tcPr>
            <w:tcW w:w="1440" w:type="dxa"/>
            <w:tcBorders>
              <w:top w:val="nil"/>
              <w:left w:val="single" w:sz="8" w:space="0" w:color="auto"/>
              <w:bottom w:val="single" w:sz="4" w:space="0" w:color="auto"/>
              <w:right w:val="single" w:sz="4" w:space="0" w:color="auto"/>
            </w:tcBorders>
            <w:shd w:val="clear" w:color="auto" w:fill="auto"/>
            <w:noWrap/>
            <w:vAlign w:val="bottom"/>
            <w:hideMark/>
          </w:tcPr>
          <w:p w:rsidR="006C6EEE" w:rsidRPr="00975FB2" w:rsidRDefault="006C6EEE" w:rsidP="006C6EEE">
            <w:pPr>
              <w:spacing w:before="0" w:after="0"/>
              <w:jc w:val="center"/>
              <w:rPr>
                <w:rFonts w:eastAsia="Times New Roman" w:cs="Arial"/>
                <w:color w:val="000000"/>
                <w:sz w:val="20"/>
                <w:szCs w:val="20"/>
                <w:lang w:eastAsia="cs-CZ"/>
              </w:rPr>
            </w:pPr>
            <w:r w:rsidRPr="00975FB2">
              <w:rPr>
                <w:rFonts w:eastAsia="Times New Roman" w:cs="Arial"/>
                <w:color w:val="000000"/>
                <w:sz w:val="20"/>
                <w:szCs w:val="20"/>
                <w:lang w:eastAsia="cs-CZ"/>
              </w:rPr>
              <w:t>JMK</w:t>
            </w:r>
          </w:p>
        </w:tc>
        <w:tc>
          <w:tcPr>
            <w:tcW w:w="1548" w:type="dxa"/>
            <w:tcBorders>
              <w:top w:val="nil"/>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37 290</w:t>
            </w:r>
          </w:p>
        </w:tc>
        <w:tc>
          <w:tcPr>
            <w:tcW w:w="1448"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4 713</w:t>
            </w:r>
          </w:p>
        </w:tc>
        <w:tc>
          <w:tcPr>
            <w:tcW w:w="1568"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12,39%</w:t>
            </w:r>
          </w:p>
        </w:tc>
        <w:tc>
          <w:tcPr>
            <w:tcW w:w="1437"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1 976</w:t>
            </w:r>
          </w:p>
        </w:tc>
        <w:tc>
          <w:tcPr>
            <w:tcW w:w="1580" w:type="dxa"/>
            <w:tcBorders>
              <w:top w:val="nil"/>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5,30%</w:t>
            </w:r>
          </w:p>
        </w:tc>
      </w:tr>
      <w:tr w:rsidR="006C6EEE" w:rsidRPr="001B60FA" w:rsidTr="006C6EEE">
        <w:trPr>
          <w:trHeight w:val="42"/>
        </w:trPr>
        <w:tc>
          <w:tcPr>
            <w:tcW w:w="1440" w:type="dxa"/>
            <w:tcBorders>
              <w:top w:val="nil"/>
              <w:left w:val="single" w:sz="8" w:space="0" w:color="auto"/>
              <w:bottom w:val="single" w:sz="4" w:space="0" w:color="auto"/>
              <w:right w:val="single" w:sz="4" w:space="0" w:color="auto"/>
            </w:tcBorders>
            <w:shd w:val="clear" w:color="auto" w:fill="auto"/>
            <w:noWrap/>
            <w:vAlign w:val="bottom"/>
            <w:hideMark/>
          </w:tcPr>
          <w:p w:rsidR="006C6EEE" w:rsidRPr="00975FB2" w:rsidRDefault="006C6EEE" w:rsidP="006C6EEE">
            <w:pPr>
              <w:spacing w:before="0" w:after="0"/>
              <w:jc w:val="center"/>
              <w:rPr>
                <w:rFonts w:eastAsia="Times New Roman" w:cs="Arial"/>
                <w:color w:val="000000"/>
                <w:sz w:val="20"/>
                <w:szCs w:val="20"/>
                <w:lang w:eastAsia="cs-CZ"/>
              </w:rPr>
            </w:pPr>
            <w:r w:rsidRPr="00975FB2">
              <w:rPr>
                <w:rFonts w:eastAsia="Times New Roman" w:cs="Arial"/>
                <w:color w:val="000000"/>
                <w:sz w:val="20"/>
                <w:szCs w:val="20"/>
                <w:lang w:eastAsia="cs-CZ"/>
              </w:rPr>
              <w:t>OLK</w:t>
            </w:r>
          </w:p>
        </w:tc>
        <w:tc>
          <w:tcPr>
            <w:tcW w:w="1548" w:type="dxa"/>
            <w:tcBorders>
              <w:top w:val="nil"/>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19 519</w:t>
            </w:r>
          </w:p>
        </w:tc>
        <w:tc>
          <w:tcPr>
            <w:tcW w:w="1448"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2 654</w:t>
            </w:r>
          </w:p>
        </w:tc>
        <w:tc>
          <w:tcPr>
            <w:tcW w:w="1568"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13,34%</w:t>
            </w:r>
          </w:p>
        </w:tc>
        <w:tc>
          <w:tcPr>
            <w:tcW w:w="1437"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1 042</w:t>
            </w:r>
          </w:p>
        </w:tc>
        <w:tc>
          <w:tcPr>
            <w:tcW w:w="1580" w:type="dxa"/>
            <w:tcBorders>
              <w:top w:val="nil"/>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5,34%</w:t>
            </w:r>
          </w:p>
        </w:tc>
      </w:tr>
      <w:tr w:rsidR="006C6EEE" w:rsidRPr="001B60FA" w:rsidTr="006C6EEE">
        <w:trPr>
          <w:trHeight w:val="42"/>
        </w:trPr>
        <w:tc>
          <w:tcPr>
            <w:tcW w:w="1440" w:type="dxa"/>
            <w:tcBorders>
              <w:top w:val="nil"/>
              <w:left w:val="single" w:sz="8" w:space="0" w:color="auto"/>
              <w:bottom w:val="single" w:sz="4" w:space="0" w:color="auto"/>
              <w:right w:val="single" w:sz="4" w:space="0" w:color="auto"/>
            </w:tcBorders>
            <w:shd w:val="clear" w:color="auto" w:fill="auto"/>
            <w:noWrap/>
            <w:vAlign w:val="bottom"/>
            <w:hideMark/>
          </w:tcPr>
          <w:p w:rsidR="006C6EEE" w:rsidRPr="00975FB2" w:rsidRDefault="006C6EEE" w:rsidP="006C6EEE">
            <w:pPr>
              <w:spacing w:before="0" w:after="0"/>
              <w:jc w:val="center"/>
              <w:rPr>
                <w:rFonts w:eastAsia="Times New Roman" w:cs="Arial"/>
                <w:color w:val="000000"/>
                <w:sz w:val="20"/>
                <w:szCs w:val="20"/>
                <w:lang w:eastAsia="cs-CZ"/>
              </w:rPr>
            </w:pPr>
            <w:r w:rsidRPr="00975FB2">
              <w:rPr>
                <w:rFonts w:eastAsia="Times New Roman" w:cs="Arial"/>
                <w:color w:val="000000"/>
                <w:sz w:val="20"/>
                <w:szCs w:val="20"/>
                <w:lang w:eastAsia="cs-CZ"/>
              </w:rPr>
              <w:t>ZLK</w:t>
            </w:r>
          </w:p>
        </w:tc>
        <w:tc>
          <w:tcPr>
            <w:tcW w:w="1548" w:type="dxa"/>
            <w:tcBorders>
              <w:top w:val="nil"/>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14 040</w:t>
            </w:r>
          </w:p>
        </w:tc>
        <w:tc>
          <w:tcPr>
            <w:tcW w:w="1448"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1 885</w:t>
            </w:r>
          </w:p>
        </w:tc>
        <w:tc>
          <w:tcPr>
            <w:tcW w:w="1568"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13,22%</w:t>
            </w:r>
          </w:p>
        </w:tc>
        <w:tc>
          <w:tcPr>
            <w:tcW w:w="1437" w:type="dxa"/>
            <w:tcBorders>
              <w:top w:val="nil"/>
              <w:left w:val="nil"/>
              <w:bottom w:val="single" w:sz="4"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794</w:t>
            </w:r>
          </w:p>
        </w:tc>
        <w:tc>
          <w:tcPr>
            <w:tcW w:w="1580" w:type="dxa"/>
            <w:tcBorders>
              <w:top w:val="nil"/>
              <w:left w:val="nil"/>
              <w:bottom w:val="single" w:sz="4"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5,66%</w:t>
            </w:r>
          </w:p>
        </w:tc>
      </w:tr>
      <w:tr w:rsidR="006C6EEE" w:rsidRPr="001B60FA" w:rsidTr="006C6EEE">
        <w:trPr>
          <w:trHeight w:val="44"/>
        </w:trPr>
        <w:tc>
          <w:tcPr>
            <w:tcW w:w="1440" w:type="dxa"/>
            <w:tcBorders>
              <w:top w:val="nil"/>
              <w:left w:val="single" w:sz="8" w:space="0" w:color="auto"/>
              <w:bottom w:val="single" w:sz="8" w:space="0" w:color="auto"/>
              <w:right w:val="single" w:sz="4" w:space="0" w:color="auto"/>
            </w:tcBorders>
            <w:shd w:val="clear" w:color="auto" w:fill="auto"/>
            <w:noWrap/>
            <w:vAlign w:val="bottom"/>
            <w:hideMark/>
          </w:tcPr>
          <w:p w:rsidR="006C6EEE" w:rsidRPr="00975FB2" w:rsidRDefault="006C6EEE" w:rsidP="006C6EEE">
            <w:pPr>
              <w:spacing w:before="0" w:after="0"/>
              <w:jc w:val="center"/>
              <w:rPr>
                <w:rFonts w:eastAsia="Times New Roman" w:cs="Arial"/>
                <w:color w:val="000000"/>
                <w:sz w:val="20"/>
                <w:szCs w:val="20"/>
                <w:lang w:eastAsia="cs-CZ"/>
              </w:rPr>
            </w:pPr>
            <w:r w:rsidRPr="00975FB2">
              <w:rPr>
                <w:rFonts w:eastAsia="Times New Roman" w:cs="Arial"/>
                <w:color w:val="000000"/>
                <w:sz w:val="20"/>
                <w:szCs w:val="20"/>
                <w:lang w:eastAsia="cs-CZ"/>
              </w:rPr>
              <w:t>MSK</w:t>
            </w:r>
          </w:p>
        </w:tc>
        <w:tc>
          <w:tcPr>
            <w:tcW w:w="1548" w:type="dxa"/>
            <w:tcBorders>
              <w:top w:val="nil"/>
              <w:left w:val="nil"/>
              <w:bottom w:val="single" w:sz="8"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49 487</w:t>
            </w:r>
          </w:p>
        </w:tc>
        <w:tc>
          <w:tcPr>
            <w:tcW w:w="1448" w:type="dxa"/>
            <w:tcBorders>
              <w:top w:val="nil"/>
              <w:left w:val="nil"/>
              <w:bottom w:val="single" w:sz="8"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7 991</w:t>
            </w:r>
          </w:p>
        </w:tc>
        <w:tc>
          <w:tcPr>
            <w:tcW w:w="1568" w:type="dxa"/>
            <w:tcBorders>
              <w:top w:val="nil"/>
              <w:left w:val="single" w:sz="4" w:space="0" w:color="auto"/>
              <w:bottom w:val="single" w:sz="8"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14,80%</w:t>
            </w:r>
          </w:p>
        </w:tc>
        <w:tc>
          <w:tcPr>
            <w:tcW w:w="1437" w:type="dxa"/>
            <w:tcBorders>
              <w:top w:val="nil"/>
              <w:left w:val="nil"/>
              <w:bottom w:val="single" w:sz="8"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3 394</w:t>
            </w:r>
          </w:p>
        </w:tc>
        <w:tc>
          <w:tcPr>
            <w:tcW w:w="1580" w:type="dxa"/>
            <w:tcBorders>
              <w:top w:val="nil"/>
              <w:left w:val="nil"/>
              <w:bottom w:val="single" w:sz="8"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color w:val="000000"/>
                <w:sz w:val="22"/>
              </w:rPr>
            </w:pPr>
            <w:r>
              <w:rPr>
                <w:rFonts w:ascii="Calibri" w:hAnsi="Calibri"/>
                <w:color w:val="000000"/>
                <w:sz w:val="22"/>
              </w:rPr>
              <w:t>6,86%</w:t>
            </w:r>
          </w:p>
        </w:tc>
      </w:tr>
      <w:tr w:rsidR="006C6EEE" w:rsidRPr="001B60FA" w:rsidTr="006C6EEE">
        <w:trPr>
          <w:trHeight w:val="44"/>
        </w:trPr>
        <w:tc>
          <w:tcPr>
            <w:tcW w:w="14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C6EEE" w:rsidRPr="00975FB2" w:rsidRDefault="006C6EEE" w:rsidP="006C6EEE">
            <w:pPr>
              <w:spacing w:before="0" w:after="0"/>
              <w:jc w:val="center"/>
              <w:rPr>
                <w:rFonts w:eastAsia="Times New Roman" w:cs="Arial"/>
                <w:b/>
                <w:bCs/>
                <w:color w:val="000000"/>
                <w:sz w:val="20"/>
                <w:szCs w:val="20"/>
                <w:lang w:eastAsia="cs-CZ"/>
              </w:rPr>
            </w:pPr>
            <w:r w:rsidRPr="00975FB2">
              <w:rPr>
                <w:rFonts w:eastAsia="Times New Roman" w:cs="Arial"/>
                <w:b/>
                <w:bCs/>
                <w:color w:val="000000"/>
                <w:sz w:val="20"/>
                <w:szCs w:val="20"/>
                <w:lang w:eastAsia="cs-CZ"/>
              </w:rPr>
              <w:t>ČR</w:t>
            </w:r>
          </w:p>
        </w:tc>
        <w:tc>
          <w:tcPr>
            <w:tcW w:w="1548" w:type="dxa"/>
            <w:tcBorders>
              <w:top w:val="single" w:sz="8" w:space="0" w:color="auto"/>
              <w:left w:val="nil"/>
              <w:bottom w:val="single" w:sz="8"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b/>
                <w:bCs/>
                <w:color w:val="000000"/>
                <w:sz w:val="22"/>
              </w:rPr>
            </w:pPr>
            <w:r>
              <w:rPr>
                <w:rFonts w:ascii="Calibri" w:hAnsi="Calibri"/>
                <w:b/>
                <w:bCs/>
                <w:color w:val="000000"/>
                <w:sz w:val="22"/>
              </w:rPr>
              <w:t>280 620</w:t>
            </w:r>
          </w:p>
        </w:tc>
        <w:tc>
          <w:tcPr>
            <w:tcW w:w="1448" w:type="dxa"/>
            <w:tcBorders>
              <w:top w:val="single" w:sz="8" w:space="0" w:color="auto"/>
              <w:left w:val="nil"/>
              <w:bottom w:val="single" w:sz="8"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b/>
                <w:bCs/>
                <w:color w:val="000000"/>
                <w:sz w:val="22"/>
              </w:rPr>
            </w:pPr>
            <w:r>
              <w:rPr>
                <w:rFonts w:ascii="Calibri" w:hAnsi="Calibri"/>
                <w:b/>
                <w:bCs/>
                <w:color w:val="000000"/>
                <w:sz w:val="22"/>
              </w:rPr>
              <w:t>35 308</w:t>
            </w:r>
          </w:p>
        </w:tc>
        <w:tc>
          <w:tcPr>
            <w:tcW w:w="1568" w:type="dxa"/>
            <w:tcBorders>
              <w:top w:val="single" w:sz="8" w:space="0" w:color="auto"/>
              <w:left w:val="nil"/>
              <w:bottom w:val="single" w:sz="8"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b/>
                <w:bCs/>
                <w:color w:val="000000"/>
                <w:sz w:val="22"/>
              </w:rPr>
            </w:pPr>
            <w:r>
              <w:rPr>
                <w:rFonts w:ascii="Calibri" w:hAnsi="Calibri"/>
                <w:b/>
                <w:bCs/>
                <w:color w:val="000000"/>
                <w:sz w:val="22"/>
              </w:rPr>
              <w:t>11,87%</w:t>
            </w:r>
          </w:p>
        </w:tc>
        <w:tc>
          <w:tcPr>
            <w:tcW w:w="1437" w:type="dxa"/>
            <w:tcBorders>
              <w:top w:val="single" w:sz="8" w:space="0" w:color="auto"/>
              <w:left w:val="nil"/>
              <w:bottom w:val="single" w:sz="8" w:space="0" w:color="auto"/>
              <w:right w:val="single" w:sz="4" w:space="0" w:color="auto"/>
            </w:tcBorders>
            <w:shd w:val="clear" w:color="auto" w:fill="auto"/>
            <w:noWrap/>
            <w:vAlign w:val="bottom"/>
          </w:tcPr>
          <w:p w:rsidR="006C6EEE" w:rsidRDefault="006C6EEE" w:rsidP="006C6EEE">
            <w:pPr>
              <w:spacing w:before="0" w:after="0"/>
              <w:jc w:val="right"/>
              <w:rPr>
                <w:rFonts w:ascii="Calibri" w:hAnsi="Calibri"/>
                <w:b/>
                <w:bCs/>
                <w:color w:val="000000"/>
                <w:sz w:val="22"/>
              </w:rPr>
            </w:pPr>
            <w:r>
              <w:rPr>
                <w:rFonts w:ascii="Calibri" w:hAnsi="Calibri"/>
                <w:b/>
                <w:bCs/>
                <w:color w:val="000000"/>
                <w:sz w:val="22"/>
              </w:rPr>
              <w:t>14 246</w:t>
            </w:r>
          </w:p>
        </w:tc>
        <w:tc>
          <w:tcPr>
            <w:tcW w:w="1580" w:type="dxa"/>
            <w:tcBorders>
              <w:top w:val="single" w:sz="8" w:space="0" w:color="auto"/>
              <w:left w:val="nil"/>
              <w:bottom w:val="single" w:sz="8" w:space="0" w:color="auto"/>
              <w:right w:val="single" w:sz="8" w:space="0" w:color="auto"/>
            </w:tcBorders>
            <w:shd w:val="clear" w:color="auto" w:fill="auto"/>
            <w:noWrap/>
            <w:vAlign w:val="bottom"/>
          </w:tcPr>
          <w:p w:rsidR="006C6EEE" w:rsidRDefault="006C6EEE" w:rsidP="006C6EEE">
            <w:pPr>
              <w:spacing w:before="0" w:after="0"/>
              <w:jc w:val="right"/>
              <w:rPr>
                <w:rFonts w:ascii="Calibri" w:hAnsi="Calibri"/>
                <w:b/>
                <w:bCs/>
                <w:color w:val="000000"/>
                <w:sz w:val="22"/>
              </w:rPr>
            </w:pPr>
            <w:r>
              <w:rPr>
                <w:rFonts w:ascii="Calibri" w:hAnsi="Calibri"/>
                <w:b/>
                <w:bCs/>
                <w:color w:val="000000"/>
                <w:sz w:val="22"/>
              </w:rPr>
              <w:t>5,08%</w:t>
            </w:r>
          </w:p>
        </w:tc>
      </w:tr>
    </w:tbl>
    <w:p w:rsidR="00044F8A" w:rsidRDefault="00044F8A" w:rsidP="0045648F">
      <w:pPr>
        <w:spacing w:before="0" w:after="200"/>
      </w:pPr>
    </w:p>
    <w:p w:rsidR="002150C3" w:rsidRPr="002150C3" w:rsidRDefault="006C6EEE" w:rsidP="006C6EEE">
      <w:pPr>
        <w:pStyle w:val="Nadpis2"/>
        <w:rPr>
          <w:sz w:val="28"/>
          <w:szCs w:val="28"/>
        </w:rPr>
      </w:pPr>
      <w:bookmarkStart w:id="49" w:name="_Toc509474130"/>
      <w:r>
        <w:t>Porovnání nabídky a poptávky</w:t>
      </w:r>
      <w:r w:rsidR="002150C3">
        <w:t xml:space="preserve"> (profese)</w:t>
      </w:r>
      <w:bookmarkEnd w:id="49"/>
    </w:p>
    <w:p w:rsidR="002150C3" w:rsidRDefault="002150C3" w:rsidP="002150C3">
      <w:r>
        <w:t>Porovnávání nabídky a poptávky bylo v zásadě předmětem již předcházejících kapitol, níže uvádíme proto výčet nejčastěji poptávaných profesí mezi hlášenými volnými pracovními místy a taktéž nejčastěji zastoupené profese mezi uchazeči o zaměstnání. Jednoduchým</w:t>
      </w:r>
      <w:r w:rsidR="008F7C8B">
        <w:t xml:space="preserve"> ukazatelem umožňujícím získat</w:t>
      </w:r>
      <w:r>
        <w:t xml:space="preserve"> přehled o harmonizaci mezi nabídkou a poptávkou je počet uchazečů o zaměstnání připadajících na jedno volné pracovní místo hlášené v téže kategorii.</w:t>
      </w:r>
    </w:p>
    <w:p w:rsidR="00312E06" w:rsidRDefault="002150C3" w:rsidP="002150C3">
      <w:r>
        <w:t xml:space="preserve">Mezi sledovanými obdobími poklesl počet </w:t>
      </w:r>
      <w:proofErr w:type="spellStart"/>
      <w:r>
        <w:t>UoZ</w:t>
      </w:r>
      <w:proofErr w:type="spellEnd"/>
      <w:r>
        <w:t xml:space="preserve"> připadajícími na 1 VPM z 1,6 na 1,3. Při meziročním srovnání je pak zřetelná vysoká dynamika trhu práce v roce 2017, neboť </w:t>
      </w:r>
      <w:r w:rsidRPr="002150C3">
        <w:rPr>
          <w:b/>
        </w:rPr>
        <w:t xml:space="preserve">ukazatel </w:t>
      </w:r>
      <w:proofErr w:type="spellStart"/>
      <w:r w:rsidRPr="002150C3">
        <w:rPr>
          <w:b/>
        </w:rPr>
        <w:t>UoZ</w:t>
      </w:r>
      <w:proofErr w:type="spellEnd"/>
      <w:r w:rsidRPr="002150C3">
        <w:rPr>
          <w:b/>
        </w:rPr>
        <w:t>/VPM klesl mezi 31. 12. 2016 a 31. 12. 2017 z hodnoty 2,</w:t>
      </w:r>
      <w:r w:rsidR="00044175">
        <w:rPr>
          <w:b/>
        </w:rPr>
        <w:t>9</w:t>
      </w:r>
      <w:r w:rsidRPr="002150C3">
        <w:rPr>
          <w:b/>
        </w:rPr>
        <w:t xml:space="preserve"> na zmiňovanou hladinu 1,3.</w:t>
      </w:r>
      <w:r>
        <w:t xml:space="preserve"> Tento trend svědčí o postupném vyčerpávání dostupné pracovní síly z řad uchazečů o zaměstnání (nikoliv však z celé populace v produktivním věku). </w:t>
      </w:r>
      <w:r>
        <w:rPr>
          <w:b/>
        </w:rPr>
        <w:t xml:space="preserve">Zejména v některých profesích je citelný nedostatek vhodné pracovní síly z řad </w:t>
      </w:r>
      <w:proofErr w:type="spellStart"/>
      <w:r>
        <w:rPr>
          <w:b/>
        </w:rPr>
        <w:t>UoZ</w:t>
      </w:r>
      <w:proofErr w:type="spellEnd"/>
      <w:r>
        <w:rPr>
          <w:b/>
        </w:rPr>
        <w:t>, když počet hlášených VPM převyšuje, a to mnohdy několikanásobně, počet uchazečů o zaměstnání.</w:t>
      </w:r>
      <w:r w:rsidR="00312E06">
        <w:t xml:space="preserve"> Vývoj počtu </w:t>
      </w:r>
      <w:proofErr w:type="spellStart"/>
      <w:r w:rsidR="00312E06">
        <w:t>UoZ</w:t>
      </w:r>
      <w:proofErr w:type="spellEnd"/>
      <w:r w:rsidR="00312E06">
        <w:t>/VPM podle hl. tříd zaměstnání zobrazuje</w:t>
      </w:r>
      <w:r w:rsidR="00EE42FF">
        <w:t xml:space="preserve"> </w:t>
      </w:r>
      <w:r w:rsidR="00EE42FF">
        <w:fldChar w:fldCharType="begin"/>
      </w:r>
      <w:r w:rsidR="00EE42FF">
        <w:instrText xml:space="preserve"> REF _Ref508383277 \h </w:instrText>
      </w:r>
      <w:r w:rsidR="00EE42FF">
        <w:fldChar w:fldCharType="separate"/>
      </w:r>
      <w:r w:rsidR="00F41CBA">
        <w:rPr>
          <w:b/>
          <w:bCs/>
        </w:rPr>
        <w:t>Chyba! Nenalezen zdroj odkazů.</w:t>
      </w:r>
      <w:r w:rsidR="00EE42FF">
        <w:fldChar w:fldCharType="end"/>
      </w:r>
      <w:r w:rsidR="00EE42FF">
        <w:t>.</w:t>
      </w:r>
    </w:p>
    <w:p w:rsidR="00B85166" w:rsidRDefault="00B85166" w:rsidP="00B85166">
      <w:pPr>
        <w:pStyle w:val="Titulek"/>
        <w:keepNext/>
      </w:pPr>
      <w:r>
        <w:t xml:space="preserve">Graf č.: </w:t>
      </w:r>
      <w:r w:rsidR="007B53ED">
        <w:fldChar w:fldCharType="begin"/>
      </w:r>
      <w:r w:rsidR="007B53ED">
        <w:instrText xml:space="preserve"> SEQ Graf_č.: \* ARABIC </w:instrText>
      </w:r>
      <w:r w:rsidR="007B53ED">
        <w:fldChar w:fldCharType="separate"/>
      </w:r>
      <w:r w:rsidR="00F41CBA">
        <w:rPr>
          <w:noProof/>
        </w:rPr>
        <w:t>12</w:t>
      </w:r>
      <w:r w:rsidR="007B53ED">
        <w:rPr>
          <w:noProof/>
        </w:rPr>
        <w:fldChar w:fldCharType="end"/>
      </w:r>
      <w:r>
        <w:t xml:space="preserve"> </w:t>
      </w:r>
      <w:r w:rsidRPr="00E143EC">
        <w:t xml:space="preserve">Počet </w:t>
      </w:r>
      <w:proofErr w:type="spellStart"/>
      <w:r w:rsidRPr="00E143EC">
        <w:t>UoZ</w:t>
      </w:r>
      <w:proofErr w:type="spellEnd"/>
      <w:r w:rsidRPr="00E143EC">
        <w:t>/VPM podle hl. tříd zaměstnání</w:t>
      </w:r>
    </w:p>
    <w:p w:rsidR="00EE42FF" w:rsidRDefault="00EE42FF" w:rsidP="002150C3">
      <w:r>
        <w:rPr>
          <w:noProof/>
          <w:lang w:eastAsia="cs-CZ"/>
        </w:rPr>
        <w:drawing>
          <wp:inline distT="0" distB="0" distL="0" distR="0" wp14:anchorId="72117977" wp14:editId="236DBC80">
            <wp:extent cx="5924550" cy="3095625"/>
            <wp:effectExtent l="0" t="0" r="19050" b="9525"/>
            <wp:docPr id="26" name="Graf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2F556E" w:rsidRDefault="00EE42FF" w:rsidP="002150C3">
      <w:r>
        <w:t xml:space="preserve">Z uvedeného grafu je zřejmý nedostatek </w:t>
      </w:r>
      <w:proofErr w:type="spellStart"/>
      <w:r>
        <w:t>UoZ</w:t>
      </w:r>
      <w:proofErr w:type="spellEnd"/>
      <w:r>
        <w:t xml:space="preserve"> zejména mezi </w:t>
      </w:r>
      <w:r>
        <w:rPr>
          <w:i/>
        </w:rPr>
        <w:t>řemeslníky a opraváři</w:t>
      </w:r>
      <w:r>
        <w:t xml:space="preserve"> a</w:t>
      </w:r>
      <w:r w:rsidR="002F556E">
        <w:t> </w:t>
      </w:r>
      <w:r>
        <w:t xml:space="preserve">mezi </w:t>
      </w:r>
      <w:r>
        <w:rPr>
          <w:i/>
        </w:rPr>
        <w:t>specialisty</w:t>
      </w:r>
      <w:r>
        <w:t xml:space="preserve"> a u </w:t>
      </w:r>
      <w:r>
        <w:rPr>
          <w:i/>
        </w:rPr>
        <w:t>obsluhy strojů a zařízení, montéři</w:t>
      </w:r>
      <w:r>
        <w:t>, na problémy při obsazování těchto pracovních míst bylo poukázáno již v </w:t>
      </w:r>
      <w:proofErr w:type="gramStart"/>
      <w:r>
        <w:t xml:space="preserve">kapitole </w:t>
      </w:r>
      <w:r>
        <w:fldChar w:fldCharType="begin"/>
      </w:r>
      <w:r>
        <w:instrText xml:space="preserve"> REF _Ref508383509 \r \h </w:instrText>
      </w:r>
      <w:r>
        <w:fldChar w:fldCharType="separate"/>
      </w:r>
      <w:r w:rsidR="00F41CBA">
        <w:t>2.1</w:t>
      </w:r>
      <w:r>
        <w:fldChar w:fldCharType="end"/>
      </w:r>
      <w:r>
        <w:t>.</w:t>
      </w:r>
      <w:proofErr w:type="gramEnd"/>
      <w:r>
        <w:t xml:space="preserve"> Naopak relativní dostatek pracovníků je v úřednických profesích</w:t>
      </w:r>
      <w:r w:rsidR="002F556E">
        <w:t xml:space="preserve">, nicméně v případě této skupiny dochází k výraznému poklesu. Nadprůměrný počet </w:t>
      </w:r>
      <w:proofErr w:type="spellStart"/>
      <w:r w:rsidR="002F556E">
        <w:t>UoZ</w:t>
      </w:r>
      <w:proofErr w:type="spellEnd"/>
      <w:r w:rsidR="002F556E">
        <w:t xml:space="preserve">/VPM je rovněž ve velmi poptávané skupině </w:t>
      </w:r>
      <w:r w:rsidR="002F556E">
        <w:rPr>
          <w:i/>
        </w:rPr>
        <w:t>pomocných a nekvalifikovaných pracovníků</w:t>
      </w:r>
      <w:r w:rsidR="002F556E">
        <w:t>.</w:t>
      </w:r>
      <w:r>
        <w:t xml:space="preserve"> </w:t>
      </w:r>
    </w:p>
    <w:p w:rsidR="00B32003" w:rsidRDefault="002F556E" w:rsidP="002150C3">
      <w:pPr>
        <w:sectPr w:rsidR="00B32003" w:rsidSect="00CC4B6B">
          <w:footerReference w:type="default" r:id="rId36"/>
          <w:pgSz w:w="11906" w:h="16838"/>
          <w:pgMar w:top="1417" w:right="1417" w:bottom="1417" w:left="1417" w:header="708" w:footer="708" w:gutter="0"/>
          <w:pgNumType w:start="1"/>
          <w:cols w:space="708"/>
          <w:docGrid w:linePitch="360"/>
        </w:sectPr>
      </w:pPr>
      <w:r>
        <w:t xml:space="preserve">Výše uvedené třídění dle hl. tříd zaměstnání podle klasifikace CZ-ISCO je však velmi hrubé a situace se v rámci jednotlivých tříd může lišit, rovněž výše uvedený graf nevypovídá o početnosti jednotlivých tříd na hlášených VPM (tu zobrazuje </w:t>
      </w:r>
      <w:r>
        <w:fldChar w:fldCharType="begin"/>
      </w:r>
      <w:r>
        <w:instrText xml:space="preserve"> REF _Ref508209944 \h </w:instrText>
      </w:r>
      <w:r>
        <w:fldChar w:fldCharType="separate"/>
      </w:r>
      <w:r w:rsidR="00F41CBA">
        <w:t xml:space="preserve">Graf č.: </w:t>
      </w:r>
      <w:r w:rsidR="00F41CBA">
        <w:rPr>
          <w:noProof/>
        </w:rPr>
        <w:t>1</w:t>
      </w:r>
      <w:r>
        <w:fldChar w:fldCharType="end"/>
      </w:r>
      <w:r>
        <w:t xml:space="preserve"> na straně </w:t>
      </w:r>
      <w:r>
        <w:fldChar w:fldCharType="begin"/>
      </w:r>
      <w:r>
        <w:instrText xml:space="preserve"> PAGEREF _Ref508384041 \h </w:instrText>
      </w:r>
      <w:r>
        <w:fldChar w:fldCharType="separate"/>
      </w:r>
      <w:r w:rsidR="00F41CBA">
        <w:rPr>
          <w:noProof/>
        </w:rPr>
        <w:t>4</w:t>
      </w:r>
      <w:r>
        <w:fldChar w:fldCharType="end"/>
      </w:r>
      <w:r>
        <w:t xml:space="preserve">). </w:t>
      </w:r>
      <w:r w:rsidR="00F977A3">
        <w:fldChar w:fldCharType="begin"/>
      </w:r>
      <w:r w:rsidR="00F977A3">
        <w:instrText xml:space="preserve"> REF _Ref508385022 \h </w:instrText>
      </w:r>
      <w:r w:rsidR="00F977A3">
        <w:fldChar w:fldCharType="separate"/>
      </w:r>
      <w:r w:rsidR="00F41CBA">
        <w:t xml:space="preserve">Tabulka </w:t>
      </w:r>
      <w:r w:rsidR="00F41CBA">
        <w:rPr>
          <w:noProof/>
        </w:rPr>
        <w:t>7</w:t>
      </w:r>
      <w:r w:rsidR="00F977A3">
        <w:fldChar w:fldCharType="end"/>
      </w:r>
      <w:r>
        <w:t xml:space="preserve"> proto uvádí výčet nejčastěji poptávaných podskupin zaměstnání podle klasifikace CZ-ISCO, </w:t>
      </w:r>
      <w:r w:rsidR="00BA1762">
        <w:fldChar w:fldCharType="begin"/>
      </w:r>
      <w:r w:rsidR="00BA1762">
        <w:instrText xml:space="preserve"> REF _Ref508385729 \h </w:instrText>
      </w:r>
      <w:r w:rsidR="00BA1762">
        <w:fldChar w:fldCharType="separate"/>
      </w:r>
      <w:r w:rsidR="00F41CBA">
        <w:t xml:space="preserve">Tabulka </w:t>
      </w:r>
      <w:r w:rsidR="00F41CBA">
        <w:rPr>
          <w:noProof/>
        </w:rPr>
        <w:t>8</w:t>
      </w:r>
      <w:r w:rsidR="00BA1762">
        <w:fldChar w:fldCharType="end"/>
      </w:r>
      <w:r>
        <w:t xml:space="preserve"> pak nejčastěji zastoupené skupiny uchazečů o zaměstnání rovněž ve struktuře podle podskupin klasifikace CZ-ISCO.</w:t>
      </w:r>
    </w:p>
    <w:p w:rsidR="009A6A6C" w:rsidRDefault="009A6A6C" w:rsidP="009A6A6C">
      <w:pPr>
        <w:pStyle w:val="Titulek"/>
        <w:keepNext/>
      </w:pPr>
      <w:bookmarkStart w:id="50" w:name="_Ref508385022"/>
      <w:bookmarkStart w:id="51" w:name="_Toc508704226"/>
      <w:r>
        <w:t xml:space="preserve">Tabulka </w:t>
      </w:r>
      <w:r w:rsidR="007B53ED">
        <w:fldChar w:fldCharType="begin"/>
      </w:r>
      <w:r w:rsidR="007B53ED">
        <w:instrText xml:space="preserve"> SEQ Tabulka \* ARABIC </w:instrText>
      </w:r>
      <w:r w:rsidR="007B53ED">
        <w:fldChar w:fldCharType="separate"/>
      </w:r>
      <w:r w:rsidR="00F41CBA">
        <w:rPr>
          <w:noProof/>
        </w:rPr>
        <w:t>7</w:t>
      </w:r>
      <w:r w:rsidR="007B53ED">
        <w:rPr>
          <w:noProof/>
        </w:rPr>
        <w:fldChar w:fldCharType="end"/>
      </w:r>
      <w:bookmarkEnd w:id="50"/>
      <w:r>
        <w:t xml:space="preserve"> Nejčastěji poptávaná zaměstnání podle podskupin klasifikace CZ-ISCO k 31. 12. 2017</w:t>
      </w:r>
      <w:bookmarkEnd w:id="51"/>
    </w:p>
    <w:tbl>
      <w:tblPr>
        <w:tblW w:w="9218" w:type="dxa"/>
        <w:tblInd w:w="60" w:type="dxa"/>
        <w:tblCellMar>
          <w:left w:w="70" w:type="dxa"/>
          <w:right w:w="70" w:type="dxa"/>
        </w:tblCellMar>
        <w:tblLook w:val="04A0" w:firstRow="1" w:lastRow="0" w:firstColumn="1" w:lastColumn="0" w:noHBand="0" w:noVBand="1"/>
      </w:tblPr>
      <w:tblGrid>
        <w:gridCol w:w="627"/>
        <w:gridCol w:w="5369"/>
        <w:gridCol w:w="1074"/>
        <w:gridCol w:w="1074"/>
        <w:gridCol w:w="1074"/>
      </w:tblGrid>
      <w:tr w:rsidR="002F556E" w:rsidRPr="002F556E" w:rsidTr="009A6A6C">
        <w:trPr>
          <w:trHeight w:val="589"/>
        </w:trPr>
        <w:tc>
          <w:tcPr>
            <w:tcW w:w="599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b/>
                <w:bCs/>
                <w:color w:val="000000"/>
                <w:sz w:val="20"/>
                <w:szCs w:val="20"/>
                <w:lang w:eastAsia="cs-CZ"/>
              </w:rPr>
            </w:pPr>
            <w:r w:rsidRPr="002F556E">
              <w:rPr>
                <w:rFonts w:ascii="Calibri" w:eastAsia="Times New Roman" w:hAnsi="Calibri" w:cs="Times New Roman"/>
                <w:b/>
                <w:bCs/>
                <w:color w:val="000000"/>
                <w:sz w:val="20"/>
                <w:szCs w:val="20"/>
                <w:lang w:eastAsia="cs-CZ"/>
              </w:rPr>
              <w:t>Profese podle CZ-ISCO</w:t>
            </w:r>
          </w:p>
        </w:tc>
        <w:tc>
          <w:tcPr>
            <w:tcW w:w="2148" w:type="dxa"/>
            <w:gridSpan w:val="2"/>
            <w:tcBorders>
              <w:top w:val="single" w:sz="8" w:space="0" w:color="auto"/>
              <w:left w:val="nil"/>
              <w:bottom w:val="single" w:sz="4" w:space="0" w:color="auto"/>
              <w:right w:val="single" w:sz="4"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b/>
                <w:bCs/>
                <w:color w:val="000000"/>
                <w:sz w:val="20"/>
                <w:szCs w:val="20"/>
                <w:lang w:eastAsia="cs-CZ"/>
              </w:rPr>
            </w:pPr>
            <w:r w:rsidRPr="002F556E">
              <w:rPr>
                <w:rFonts w:ascii="Calibri" w:eastAsia="Times New Roman" w:hAnsi="Calibri" w:cs="Times New Roman"/>
                <w:b/>
                <w:bCs/>
                <w:color w:val="000000"/>
                <w:sz w:val="20"/>
                <w:szCs w:val="20"/>
                <w:lang w:eastAsia="cs-CZ"/>
              </w:rPr>
              <w:t>Poptávka po pracovní síle (volná pracovní místa)</w:t>
            </w:r>
          </w:p>
        </w:tc>
        <w:tc>
          <w:tcPr>
            <w:tcW w:w="1074" w:type="dxa"/>
            <w:tcBorders>
              <w:top w:val="single" w:sz="8" w:space="0" w:color="auto"/>
              <w:left w:val="single" w:sz="8" w:space="0" w:color="auto"/>
              <w:bottom w:val="nil"/>
              <w:right w:val="single" w:sz="8"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b/>
                <w:bCs/>
                <w:color w:val="000000"/>
                <w:sz w:val="20"/>
                <w:szCs w:val="20"/>
                <w:lang w:eastAsia="cs-CZ"/>
              </w:rPr>
            </w:pPr>
            <w:proofErr w:type="spellStart"/>
            <w:r w:rsidRPr="002F556E">
              <w:rPr>
                <w:rFonts w:ascii="Calibri" w:eastAsia="Times New Roman" w:hAnsi="Calibri" w:cs="Times New Roman"/>
                <w:b/>
                <w:bCs/>
                <w:color w:val="000000"/>
                <w:sz w:val="20"/>
                <w:szCs w:val="20"/>
                <w:lang w:eastAsia="cs-CZ"/>
              </w:rPr>
              <w:t>UoZ</w:t>
            </w:r>
            <w:proofErr w:type="spellEnd"/>
            <w:r w:rsidRPr="002F556E">
              <w:rPr>
                <w:rFonts w:ascii="Calibri" w:eastAsia="Times New Roman" w:hAnsi="Calibri" w:cs="Times New Roman"/>
                <w:b/>
                <w:bCs/>
                <w:color w:val="000000"/>
                <w:sz w:val="20"/>
                <w:szCs w:val="20"/>
                <w:lang w:eastAsia="cs-CZ"/>
              </w:rPr>
              <w:t>/VPM</w:t>
            </w:r>
          </w:p>
        </w:tc>
      </w:tr>
      <w:tr w:rsidR="002F556E" w:rsidRPr="002F556E" w:rsidTr="002F556E">
        <w:trPr>
          <w:trHeight w:val="200"/>
        </w:trPr>
        <w:tc>
          <w:tcPr>
            <w:tcW w:w="627" w:type="dxa"/>
            <w:tcBorders>
              <w:top w:val="nil"/>
              <w:left w:val="single" w:sz="8" w:space="0" w:color="auto"/>
              <w:bottom w:val="single" w:sz="8" w:space="0" w:color="auto"/>
              <w:right w:val="single" w:sz="4" w:space="0" w:color="auto"/>
            </w:tcBorders>
            <w:shd w:val="clear" w:color="auto" w:fill="auto"/>
            <w:vAlign w:val="bottom"/>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kód </w:t>
            </w:r>
          </w:p>
        </w:tc>
        <w:tc>
          <w:tcPr>
            <w:tcW w:w="5369" w:type="dxa"/>
            <w:tcBorders>
              <w:top w:val="nil"/>
              <w:left w:val="nil"/>
              <w:bottom w:val="single" w:sz="8" w:space="0" w:color="auto"/>
              <w:right w:val="single" w:sz="4"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text </w:t>
            </w:r>
          </w:p>
        </w:tc>
        <w:tc>
          <w:tcPr>
            <w:tcW w:w="1074" w:type="dxa"/>
            <w:tcBorders>
              <w:top w:val="nil"/>
              <w:left w:val="nil"/>
              <w:bottom w:val="single" w:sz="8" w:space="0" w:color="auto"/>
              <w:right w:val="single" w:sz="4"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proofErr w:type="spellStart"/>
            <w:r w:rsidRPr="002F556E">
              <w:rPr>
                <w:rFonts w:ascii="Calibri" w:eastAsia="Times New Roman" w:hAnsi="Calibri" w:cs="Times New Roman"/>
                <w:color w:val="000000"/>
                <w:sz w:val="20"/>
                <w:szCs w:val="20"/>
                <w:lang w:eastAsia="cs-CZ"/>
              </w:rPr>
              <w:t>abs</w:t>
            </w:r>
            <w:proofErr w:type="spellEnd"/>
            <w:r w:rsidRPr="002F556E">
              <w:rPr>
                <w:rFonts w:ascii="Calibri" w:eastAsia="Times New Roman" w:hAnsi="Calibri" w:cs="Times New Roman"/>
                <w:color w:val="000000"/>
                <w:sz w:val="20"/>
                <w:szCs w:val="20"/>
                <w:lang w:eastAsia="cs-CZ"/>
              </w:rPr>
              <w:t>. </w:t>
            </w:r>
          </w:p>
        </w:tc>
        <w:tc>
          <w:tcPr>
            <w:tcW w:w="1074" w:type="dxa"/>
            <w:tcBorders>
              <w:top w:val="nil"/>
              <w:left w:val="nil"/>
              <w:bottom w:val="single" w:sz="8" w:space="0" w:color="auto"/>
              <w:right w:val="nil"/>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proofErr w:type="spellStart"/>
            <w:r w:rsidRPr="002F556E">
              <w:rPr>
                <w:rFonts w:ascii="Calibri" w:eastAsia="Times New Roman" w:hAnsi="Calibri" w:cs="Times New Roman"/>
                <w:color w:val="000000"/>
                <w:sz w:val="20"/>
                <w:szCs w:val="20"/>
                <w:lang w:eastAsia="cs-CZ"/>
              </w:rPr>
              <w:t>rel</w:t>
            </w:r>
            <w:proofErr w:type="spellEnd"/>
            <w:r w:rsidRPr="002F556E">
              <w:rPr>
                <w:rFonts w:ascii="Calibri" w:eastAsia="Times New Roman" w:hAnsi="Calibri" w:cs="Times New Roman"/>
                <w:color w:val="000000"/>
                <w:sz w:val="20"/>
                <w:szCs w:val="20"/>
                <w:lang w:eastAsia="cs-CZ"/>
              </w:rPr>
              <w:t>. </w:t>
            </w:r>
          </w:p>
        </w:tc>
        <w:tc>
          <w:tcPr>
            <w:tcW w:w="1074" w:type="dxa"/>
            <w:tcBorders>
              <w:top w:val="nil"/>
              <w:left w:val="single" w:sz="8" w:space="0" w:color="auto"/>
              <w:bottom w:val="single" w:sz="8" w:space="0" w:color="auto"/>
              <w:right w:val="single" w:sz="8" w:space="0" w:color="auto"/>
            </w:tcBorders>
            <w:shd w:val="clear" w:color="auto" w:fill="auto"/>
            <w:vAlign w:val="bottom"/>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 </w:t>
            </w:r>
          </w:p>
        </w:tc>
      </w:tr>
      <w:tr w:rsidR="002F556E" w:rsidRPr="002F556E" w:rsidTr="002F556E">
        <w:trPr>
          <w:trHeight w:val="190"/>
        </w:trPr>
        <w:tc>
          <w:tcPr>
            <w:tcW w:w="627" w:type="dxa"/>
            <w:tcBorders>
              <w:top w:val="nil"/>
              <w:left w:val="single" w:sz="8" w:space="0" w:color="auto"/>
              <w:bottom w:val="single" w:sz="8" w:space="0" w:color="auto"/>
              <w:right w:val="single" w:sz="4" w:space="0" w:color="auto"/>
            </w:tcBorders>
            <w:shd w:val="clear" w:color="auto" w:fill="auto"/>
            <w:vAlign w:val="bottom"/>
            <w:hideMark/>
          </w:tcPr>
          <w:p w:rsidR="002F556E" w:rsidRPr="002F556E" w:rsidRDefault="002F556E" w:rsidP="002F556E">
            <w:pPr>
              <w:spacing w:before="0" w:after="0"/>
              <w:jc w:val="left"/>
              <w:rPr>
                <w:rFonts w:ascii="Calibri" w:eastAsia="Times New Roman" w:hAnsi="Calibri" w:cs="Times New Roman"/>
                <w:b/>
                <w:bCs/>
                <w:color w:val="000000"/>
                <w:sz w:val="20"/>
                <w:szCs w:val="20"/>
                <w:lang w:eastAsia="cs-CZ"/>
              </w:rPr>
            </w:pPr>
            <w:r w:rsidRPr="002F556E">
              <w:rPr>
                <w:rFonts w:ascii="Calibri" w:eastAsia="Times New Roman" w:hAnsi="Calibri" w:cs="Times New Roman"/>
                <w:b/>
                <w:bCs/>
                <w:color w:val="000000"/>
                <w:sz w:val="20"/>
                <w:szCs w:val="20"/>
                <w:lang w:eastAsia="cs-CZ"/>
              </w:rPr>
              <w:t> </w:t>
            </w:r>
          </w:p>
        </w:tc>
        <w:tc>
          <w:tcPr>
            <w:tcW w:w="5369" w:type="dxa"/>
            <w:tcBorders>
              <w:top w:val="nil"/>
              <w:left w:val="nil"/>
              <w:bottom w:val="single" w:sz="8" w:space="0" w:color="auto"/>
              <w:right w:val="single" w:sz="4" w:space="0" w:color="auto"/>
            </w:tcBorders>
            <w:shd w:val="clear" w:color="auto" w:fill="auto"/>
            <w:vAlign w:val="bottom"/>
            <w:hideMark/>
          </w:tcPr>
          <w:p w:rsidR="002F556E" w:rsidRPr="002F556E" w:rsidRDefault="002F556E" w:rsidP="002F556E">
            <w:pPr>
              <w:spacing w:before="0" w:after="0"/>
              <w:jc w:val="left"/>
              <w:rPr>
                <w:rFonts w:ascii="Calibri" w:eastAsia="Times New Roman" w:hAnsi="Calibri" w:cs="Times New Roman"/>
                <w:b/>
                <w:bCs/>
                <w:color w:val="000000"/>
                <w:sz w:val="20"/>
                <w:szCs w:val="20"/>
                <w:lang w:eastAsia="cs-CZ"/>
              </w:rPr>
            </w:pPr>
            <w:r w:rsidRPr="002F556E">
              <w:rPr>
                <w:rFonts w:ascii="Calibri" w:eastAsia="Times New Roman" w:hAnsi="Calibri" w:cs="Times New Roman"/>
                <w:b/>
                <w:bCs/>
                <w:color w:val="000000"/>
                <w:sz w:val="20"/>
                <w:szCs w:val="20"/>
                <w:lang w:eastAsia="cs-CZ"/>
              </w:rPr>
              <w:t>Celkem</w:t>
            </w:r>
          </w:p>
        </w:tc>
        <w:tc>
          <w:tcPr>
            <w:tcW w:w="1074" w:type="dxa"/>
            <w:tcBorders>
              <w:top w:val="nil"/>
              <w:left w:val="nil"/>
              <w:bottom w:val="single" w:sz="8" w:space="0" w:color="auto"/>
              <w:right w:val="single" w:sz="4" w:space="0" w:color="auto"/>
            </w:tcBorders>
            <w:shd w:val="clear" w:color="auto" w:fill="auto"/>
            <w:vAlign w:val="bottom"/>
            <w:hideMark/>
          </w:tcPr>
          <w:p w:rsidR="002F556E" w:rsidRPr="002F556E" w:rsidRDefault="002F556E" w:rsidP="002F556E">
            <w:pPr>
              <w:spacing w:before="0" w:after="0"/>
              <w:jc w:val="right"/>
              <w:rPr>
                <w:rFonts w:ascii="Calibri" w:eastAsia="Times New Roman" w:hAnsi="Calibri" w:cs="Times New Roman"/>
                <w:b/>
                <w:bCs/>
                <w:color w:val="000000"/>
                <w:sz w:val="20"/>
                <w:szCs w:val="20"/>
                <w:lang w:eastAsia="cs-CZ"/>
              </w:rPr>
            </w:pPr>
            <w:r w:rsidRPr="002F556E">
              <w:rPr>
                <w:rFonts w:ascii="Calibri" w:eastAsia="Times New Roman" w:hAnsi="Calibri" w:cs="Times New Roman"/>
                <w:b/>
                <w:bCs/>
                <w:color w:val="000000"/>
                <w:sz w:val="20"/>
                <w:szCs w:val="20"/>
                <w:lang w:eastAsia="cs-CZ"/>
              </w:rPr>
              <w:t>216 629</w:t>
            </w:r>
          </w:p>
        </w:tc>
        <w:tc>
          <w:tcPr>
            <w:tcW w:w="1074" w:type="dxa"/>
            <w:tcBorders>
              <w:top w:val="nil"/>
              <w:left w:val="nil"/>
              <w:bottom w:val="single" w:sz="8" w:space="0" w:color="auto"/>
              <w:right w:val="nil"/>
            </w:tcBorders>
            <w:shd w:val="clear" w:color="auto" w:fill="auto"/>
            <w:vAlign w:val="bottom"/>
            <w:hideMark/>
          </w:tcPr>
          <w:p w:rsidR="002F556E" w:rsidRPr="002F556E" w:rsidRDefault="002F556E" w:rsidP="002F556E">
            <w:pPr>
              <w:spacing w:before="0" w:after="0"/>
              <w:jc w:val="right"/>
              <w:rPr>
                <w:rFonts w:ascii="Calibri" w:eastAsia="Times New Roman" w:hAnsi="Calibri" w:cs="Times New Roman"/>
                <w:b/>
                <w:bCs/>
                <w:color w:val="000000"/>
                <w:sz w:val="20"/>
                <w:szCs w:val="20"/>
                <w:lang w:eastAsia="cs-CZ"/>
              </w:rPr>
            </w:pPr>
            <w:r w:rsidRPr="002F556E">
              <w:rPr>
                <w:rFonts w:ascii="Calibri" w:eastAsia="Times New Roman" w:hAnsi="Calibri" w:cs="Times New Roman"/>
                <w:b/>
                <w:bCs/>
                <w:color w:val="000000"/>
                <w:sz w:val="20"/>
                <w:szCs w:val="20"/>
                <w:lang w:eastAsia="cs-CZ"/>
              </w:rPr>
              <w:t>100%</w:t>
            </w:r>
          </w:p>
        </w:tc>
        <w:tc>
          <w:tcPr>
            <w:tcW w:w="1074" w:type="dxa"/>
            <w:tcBorders>
              <w:top w:val="nil"/>
              <w:left w:val="single" w:sz="8" w:space="0" w:color="auto"/>
              <w:bottom w:val="single" w:sz="8" w:space="0" w:color="auto"/>
              <w:right w:val="single" w:sz="8"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b/>
                <w:bCs/>
                <w:color w:val="000000"/>
                <w:sz w:val="20"/>
                <w:szCs w:val="20"/>
                <w:lang w:eastAsia="cs-CZ"/>
              </w:rPr>
            </w:pPr>
            <w:r w:rsidRPr="002F556E">
              <w:rPr>
                <w:rFonts w:ascii="Calibri" w:eastAsia="Times New Roman" w:hAnsi="Calibri" w:cs="Times New Roman"/>
                <w:b/>
                <w:bCs/>
                <w:color w:val="000000"/>
                <w:sz w:val="20"/>
                <w:szCs w:val="20"/>
                <w:lang w:eastAsia="cs-CZ"/>
              </w:rPr>
              <w:t>1,29</w:t>
            </w:r>
          </w:p>
        </w:tc>
      </w:tr>
      <w:tr w:rsidR="002F556E" w:rsidRPr="002F556E" w:rsidTr="002F556E">
        <w:trPr>
          <w:trHeight w:val="331"/>
        </w:trPr>
        <w:tc>
          <w:tcPr>
            <w:tcW w:w="627" w:type="dxa"/>
            <w:tcBorders>
              <w:top w:val="nil"/>
              <w:left w:val="single" w:sz="8" w:space="0" w:color="auto"/>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814</w:t>
            </w:r>
          </w:p>
        </w:tc>
        <w:tc>
          <w:tcPr>
            <w:tcW w:w="5369" w:type="dxa"/>
            <w:tcBorders>
              <w:top w:val="nil"/>
              <w:left w:val="single" w:sz="4" w:space="0" w:color="auto"/>
              <w:bottom w:val="single" w:sz="4" w:space="0" w:color="auto"/>
              <w:right w:val="single" w:sz="4" w:space="0" w:color="auto"/>
            </w:tcBorders>
            <w:shd w:val="clear" w:color="auto" w:fill="auto"/>
            <w:vAlign w:val="center"/>
            <w:hideMark/>
          </w:tcPr>
          <w:p w:rsidR="002F556E" w:rsidRPr="002F556E" w:rsidRDefault="002F556E" w:rsidP="00F977A3">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Obsl</w:t>
            </w:r>
            <w:r w:rsidR="00F977A3">
              <w:rPr>
                <w:rFonts w:ascii="Calibri" w:eastAsia="Times New Roman" w:hAnsi="Calibri" w:cs="Times New Roman"/>
                <w:color w:val="000000"/>
                <w:sz w:val="20"/>
                <w:szCs w:val="20"/>
                <w:lang w:eastAsia="cs-CZ"/>
              </w:rPr>
              <w:t>uha</w:t>
            </w:r>
            <w:r w:rsidRPr="002F556E">
              <w:rPr>
                <w:rFonts w:ascii="Calibri" w:eastAsia="Times New Roman" w:hAnsi="Calibri" w:cs="Times New Roman"/>
                <w:color w:val="000000"/>
                <w:sz w:val="20"/>
                <w:szCs w:val="20"/>
                <w:lang w:eastAsia="cs-CZ"/>
              </w:rPr>
              <w:t xml:space="preserve"> strojů na výrobu a zprac</w:t>
            </w:r>
            <w:r w:rsidR="00F977A3">
              <w:rPr>
                <w:rFonts w:ascii="Calibri" w:eastAsia="Times New Roman" w:hAnsi="Calibri" w:cs="Times New Roman"/>
                <w:color w:val="000000"/>
                <w:sz w:val="20"/>
                <w:szCs w:val="20"/>
                <w:lang w:eastAsia="cs-CZ"/>
              </w:rPr>
              <w:t>ování</w:t>
            </w:r>
            <w:r w:rsidRPr="002F556E">
              <w:rPr>
                <w:rFonts w:ascii="Calibri" w:eastAsia="Times New Roman" w:hAnsi="Calibri" w:cs="Times New Roman"/>
                <w:color w:val="000000"/>
                <w:sz w:val="20"/>
                <w:szCs w:val="20"/>
                <w:lang w:eastAsia="cs-CZ"/>
              </w:rPr>
              <w:t xml:space="preserve"> výrob</w:t>
            </w:r>
            <w:r w:rsidR="00F977A3">
              <w:rPr>
                <w:rFonts w:ascii="Calibri" w:eastAsia="Times New Roman" w:hAnsi="Calibri" w:cs="Times New Roman"/>
                <w:color w:val="000000"/>
                <w:sz w:val="20"/>
                <w:szCs w:val="20"/>
                <w:lang w:eastAsia="cs-CZ"/>
              </w:rPr>
              <w:t>ků</w:t>
            </w:r>
            <w:r w:rsidRPr="002F556E">
              <w:rPr>
                <w:rFonts w:ascii="Calibri" w:eastAsia="Times New Roman" w:hAnsi="Calibri" w:cs="Times New Roman"/>
                <w:color w:val="000000"/>
                <w:sz w:val="20"/>
                <w:szCs w:val="20"/>
                <w:lang w:eastAsia="cs-CZ"/>
              </w:rPr>
              <w:t xml:space="preserve"> z pryže, plast</w:t>
            </w:r>
            <w:r w:rsidR="00F977A3">
              <w:rPr>
                <w:rFonts w:ascii="Calibri" w:eastAsia="Times New Roman" w:hAnsi="Calibri" w:cs="Times New Roman"/>
                <w:color w:val="000000"/>
                <w:sz w:val="20"/>
                <w:szCs w:val="20"/>
                <w:lang w:eastAsia="cs-CZ"/>
              </w:rPr>
              <w:t>ů a</w:t>
            </w:r>
            <w:r w:rsidRPr="002F556E">
              <w:rPr>
                <w:rFonts w:ascii="Calibri" w:eastAsia="Times New Roman" w:hAnsi="Calibri" w:cs="Times New Roman"/>
                <w:color w:val="000000"/>
                <w:sz w:val="20"/>
                <w:szCs w:val="20"/>
                <w:lang w:eastAsia="cs-CZ"/>
              </w:rPr>
              <w:t xml:space="preserve"> pap</w:t>
            </w:r>
            <w:r w:rsidR="00F977A3">
              <w:rPr>
                <w:rFonts w:ascii="Calibri" w:eastAsia="Times New Roman" w:hAnsi="Calibri" w:cs="Times New Roman"/>
                <w:color w:val="000000"/>
                <w:sz w:val="20"/>
                <w:szCs w:val="20"/>
                <w:lang w:eastAsia="cs-CZ"/>
              </w:rPr>
              <w:t>íru</w:t>
            </w:r>
          </w:p>
        </w:tc>
        <w:tc>
          <w:tcPr>
            <w:tcW w:w="1074" w:type="dxa"/>
            <w:tcBorders>
              <w:top w:val="nil"/>
              <w:left w:val="nil"/>
              <w:bottom w:val="single" w:sz="4" w:space="0" w:color="auto"/>
              <w:right w:val="single" w:sz="4" w:space="0" w:color="auto"/>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4 458</w:t>
            </w:r>
          </w:p>
        </w:tc>
        <w:tc>
          <w:tcPr>
            <w:tcW w:w="1074" w:type="dxa"/>
            <w:tcBorders>
              <w:top w:val="nil"/>
              <w:left w:val="nil"/>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2,06%</w:t>
            </w:r>
          </w:p>
        </w:tc>
        <w:tc>
          <w:tcPr>
            <w:tcW w:w="1074" w:type="dxa"/>
            <w:tcBorders>
              <w:top w:val="nil"/>
              <w:left w:val="single" w:sz="8" w:space="0" w:color="auto"/>
              <w:bottom w:val="single" w:sz="4" w:space="0" w:color="auto"/>
              <w:right w:val="single" w:sz="8"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0,02</w:t>
            </w:r>
          </w:p>
        </w:tc>
      </w:tr>
      <w:tr w:rsidR="002F556E" w:rsidRPr="002F556E" w:rsidTr="002F556E">
        <w:trPr>
          <w:trHeight w:val="331"/>
        </w:trPr>
        <w:tc>
          <w:tcPr>
            <w:tcW w:w="627" w:type="dxa"/>
            <w:tcBorders>
              <w:top w:val="nil"/>
              <w:left w:val="single" w:sz="8" w:space="0" w:color="auto"/>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815</w:t>
            </w:r>
          </w:p>
        </w:tc>
        <w:tc>
          <w:tcPr>
            <w:tcW w:w="5369" w:type="dxa"/>
            <w:tcBorders>
              <w:top w:val="nil"/>
              <w:left w:val="single" w:sz="4" w:space="0" w:color="auto"/>
              <w:bottom w:val="single" w:sz="4" w:space="0" w:color="auto"/>
              <w:right w:val="single" w:sz="4" w:space="0" w:color="auto"/>
            </w:tcBorders>
            <w:shd w:val="clear" w:color="auto" w:fill="auto"/>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Obsluha strojů na výrobu a úpravu textilních, kožených a kožešinových výrobků</w:t>
            </w:r>
          </w:p>
        </w:tc>
        <w:tc>
          <w:tcPr>
            <w:tcW w:w="1074" w:type="dxa"/>
            <w:tcBorders>
              <w:top w:val="nil"/>
              <w:left w:val="nil"/>
              <w:bottom w:val="single" w:sz="4" w:space="0" w:color="auto"/>
              <w:right w:val="single" w:sz="4" w:space="0" w:color="auto"/>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2 465</w:t>
            </w:r>
          </w:p>
        </w:tc>
        <w:tc>
          <w:tcPr>
            <w:tcW w:w="1074" w:type="dxa"/>
            <w:tcBorders>
              <w:top w:val="nil"/>
              <w:left w:val="nil"/>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1,14%</w:t>
            </w:r>
          </w:p>
        </w:tc>
        <w:tc>
          <w:tcPr>
            <w:tcW w:w="1074" w:type="dxa"/>
            <w:tcBorders>
              <w:top w:val="nil"/>
              <w:left w:val="single" w:sz="8" w:space="0" w:color="auto"/>
              <w:bottom w:val="single" w:sz="4" w:space="0" w:color="auto"/>
              <w:right w:val="single" w:sz="8"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0,11</w:t>
            </w:r>
          </w:p>
        </w:tc>
      </w:tr>
      <w:tr w:rsidR="002F556E" w:rsidRPr="002F556E" w:rsidTr="002F556E">
        <w:trPr>
          <w:trHeight w:val="331"/>
        </w:trPr>
        <w:tc>
          <w:tcPr>
            <w:tcW w:w="627" w:type="dxa"/>
            <w:tcBorders>
              <w:top w:val="nil"/>
              <w:left w:val="single" w:sz="8" w:space="0" w:color="auto"/>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818</w:t>
            </w:r>
          </w:p>
        </w:tc>
        <w:tc>
          <w:tcPr>
            <w:tcW w:w="5369" w:type="dxa"/>
            <w:tcBorders>
              <w:top w:val="nil"/>
              <w:left w:val="single" w:sz="4" w:space="0" w:color="auto"/>
              <w:bottom w:val="single" w:sz="4" w:space="0" w:color="auto"/>
              <w:right w:val="single" w:sz="4" w:space="0" w:color="auto"/>
            </w:tcBorders>
            <w:shd w:val="clear" w:color="auto" w:fill="auto"/>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Ostatní obsluha stacionárních strojů a zařízení</w:t>
            </w:r>
          </w:p>
        </w:tc>
        <w:tc>
          <w:tcPr>
            <w:tcW w:w="1074" w:type="dxa"/>
            <w:tcBorders>
              <w:top w:val="nil"/>
              <w:left w:val="nil"/>
              <w:bottom w:val="single" w:sz="4" w:space="0" w:color="auto"/>
              <w:right w:val="single" w:sz="4" w:space="0" w:color="auto"/>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3 141</w:t>
            </w:r>
          </w:p>
        </w:tc>
        <w:tc>
          <w:tcPr>
            <w:tcW w:w="1074" w:type="dxa"/>
            <w:tcBorders>
              <w:top w:val="nil"/>
              <w:left w:val="nil"/>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1,45%</w:t>
            </w:r>
          </w:p>
        </w:tc>
        <w:tc>
          <w:tcPr>
            <w:tcW w:w="1074" w:type="dxa"/>
            <w:tcBorders>
              <w:top w:val="nil"/>
              <w:left w:val="single" w:sz="8" w:space="0" w:color="auto"/>
              <w:bottom w:val="single" w:sz="4" w:space="0" w:color="auto"/>
              <w:right w:val="single" w:sz="8"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0,14</w:t>
            </w:r>
          </w:p>
        </w:tc>
      </w:tr>
      <w:tr w:rsidR="002F556E" w:rsidRPr="002F556E" w:rsidTr="002F556E">
        <w:trPr>
          <w:trHeight w:val="331"/>
        </w:trPr>
        <w:tc>
          <w:tcPr>
            <w:tcW w:w="627" w:type="dxa"/>
            <w:tcBorders>
              <w:top w:val="nil"/>
              <w:left w:val="single" w:sz="8" w:space="0" w:color="auto"/>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251</w:t>
            </w:r>
          </w:p>
        </w:tc>
        <w:tc>
          <w:tcPr>
            <w:tcW w:w="5369" w:type="dxa"/>
            <w:tcBorders>
              <w:top w:val="nil"/>
              <w:left w:val="single" w:sz="4" w:space="0" w:color="auto"/>
              <w:bottom w:val="single" w:sz="4" w:space="0" w:color="auto"/>
              <w:right w:val="single" w:sz="4" w:space="0" w:color="auto"/>
            </w:tcBorders>
            <w:shd w:val="clear" w:color="auto" w:fill="auto"/>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Analytici a vývojáři softwaru a počítačových aplikací</w:t>
            </w:r>
          </w:p>
        </w:tc>
        <w:tc>
          <w:tcPr>
            <w:tcW w:w="1074" w:type="dxa"/>
            <w:tcBorders>
              <w:top w:val="nil"/>
              <w:left w:val="nil"/>
              <w:bottom w:val="single" w:sz="4" w:space="0" w:color="auto"/>
              <w:right w:val="single" w:sz="4" w:space="0" w:color="auto"/>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3 560</w:t>
            </w:r>
          </w:p>
        </w:tc>
        <w:tc>
          <w:tcPr>
            <w:tcW w:w="1074" w:type="dxa"/>
            <w:tcBorders>
              <w:top w:val="nil"/>
              <w:left w:val="nil"/>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1,64%</w:t>
            </w:r>
          </w:p>
        </w:tc>
        <w:tc>
          <w:tcPr>
            <w:tcW w:w="1074" w:type="dxa"/>
            <w:tcBorders>
              <w:top w:val="nil"/>
              <w:left w:val="single" w:sz="8" w:space="0" w:color="auto"/>
              <w:bottom w:val="single" w:sz="4" w:space="0" w:color="auto"/>
              <w:right w:val="single" w:sz="8"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0,20</w:t>
            </w:r>
          </w:p>
        </w:tc>
      </w:tr>
      <w:tr w:rsidR="002F556E" w:rsidRPr="002F556E" w:rsidTr="009A6A6C">
        <w:trPr>
          <w:trHeight w:val="331"/>
        </w:trPr>
        <w:tc>
          <w:tcPr>
            <w:tcW w:w="627" w:type="dxa"/>
            <w:tcBorders>
              <w:top w:val="nil"/>
              <w:left w:val="single" w:sz="8" w:space="0" w:color="auto"/>
              <w:bottom w:val="single" w:sz="4" w:space="0" w:color="auto"/>
              <w:right w:val="nil"/>
            </w:tcBorders>
            <w:shd w:val="clear" w:color="auto" w:fill="F2DBDB" w:themeFill="accent2" w:themeFillTint="33"/>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821</w:t>
            </w:r>
          </w:p>
        </w:tc>
        <w:tc>
          <w:tcPr>
            <w:tcW w:w="5369" w:type="dxa"/>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Montážní dělníci výrobků a zařízení</w:t>
            </w:r>
          </w:p>
        </w:tc>
        <w:tc>
          <w:tcPr>
            <w:tcW w:w="1074" w:type="dxa"/>
            <w:tcBorders>
              <w:top w:val="nil"/>
              <w:left w:val="nil"/>
              <w:bottom w:val="single" w:sz="4" w:space="0" w:color="auto"/>
              <w:right w:val="single" w:sz="4" w:space="0" w:color="auto"/>
            </w:tcBorders>
            <w:shd w:val="clear" w:color="auto" w:fill="F2DBDB" w:themeFill="accent2" w:themeFillTint="33"/>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24 115</w:t>
            </w:r>
          </w:p>
        </w:tc>
        <w:tc>
          <w:tcPr>
            <w:tcW w:w="1074" w:type="dxa"/>
            <w:tcBorders>
              <w:top w:val="nil"/>
              <w:left w:val="nil"/>
              <w:bottom w:val="single" w:sz="4" w:space="0" w:color="auto"/>
              <w:right w:val="nil"/>
            </w:tcBorders>
            <w:shd w:val="clear" w:color="auto" w:fill="F2DBDB" w:themeFill="accent2" w:themeFillTint="33"/>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11,13%</w:t>
            </w:r>
          </w:p>
        </w:tc>
        <w:tc>
          <w:tcPr>
            <w:tcW w:w="1074" w:type="dxa"/>
            <w:tcBorders>
              <w:top w:val="nil"/>
              <w:left w:val="single" w:sz="8" w:space="0" w:color="auto"/>
              <w:bottom w:val="single" w:sz="4" w:space="0" w:color="auto"/>
              <w:right w:val="single" w:sz="8" w:space="0" w:color="auto"/>
            </w:tcBorders>
            <w:shd w:val="clear" w:color="auto" w:fill="F2DBDB" w:themeFill="accent2" w:themeFillTint="33"/>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0,20</w:t>
            </w:r>
          </w:p>
        </w:tc>
      </w:tr>
      <w:tr w:rsidR="002F556E" w:rsidRPr="002F556E" w:rsidTr="009A6A6C">
        <w:trPr>
          <w:trHeight w:val="331"/>
        </w:trPr>
        <w:tc>
          <w:tcPr>
            <w:tcW w:w="627" w:type="dxa"/>
            <w:tcBorders>
              <w:top w:val="nil"/>
              <w:left w:val="single" w:sz="8" w:space="0" w:color="auto"/>
              <w:bottom w:val="single" w:sz="4" w:space="0" w:color="auto"/>
              <w:right w:val="nil"/>
            </w:tcBorders>
            <w:shd w:val="clear" w:color="auto" w:fill="F2DBDB" w:themeFill="accent2" w:themeFillTint="33"/>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721</w:t>
            </w:r>
          </w:p>
        </w:tc>
        <w:tc>
          <w:tcPr>
            <w:tcW w:w="5369" w:type="dxa"/>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Slévači, svářeči a příbuzní pracovníci</w:t>
            </w:r>
          </w:p>
        </w:tc>
        <w:tc>
          <w:tcPr>
            <w:tcW w:w="1074" w:type="dxa"/>
            <w:tcBorders>
              <w:top w:val="nil"/>
              <w:left w:val="nil"/>
              <w:bottom w:val="single" w:sz="4" w:space="0" w:color="auto"/>
              <w:right w:val="single" w:sz="4" w:space="0" w:color="auto"/>
            </w:tcBorders>
            <w:shd w:val="clear" w:color="auto" w:fill="F2DBDB" w:themeFill="accent2" w:themeFillTint="33"/>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7 093</w:t>
            </w:r>
          </w:p>
        </w:tc>
        <w:tc>
          <w:tcPr>
            <w:tcW w:w="1074" w:type="dxa"/>
            <w:tcBorders>
              <w:top w:val="nil"/>
              <w:left w:val="nil"/>
              <w:bottom w:val="single" w:sz="4" w:space="0" w:color="auto"/>
              <w:right w:val="nil"/>
            </w:tcBorders>
            <w:shd w:val="clear" w:color="auto" w:fill="F2DBDB" w:themeFill="accent2" w:themeFillTint="33"/>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3,27%</w:t>
            </w:r>
          </w:p>
        </w:tc>
        <w:tc>
          <w:tcPr>
            <w:tcW w:w="1074" w:type="dxa"/>
            <w:tcBorders>
              <w:top w:val="nil"/>
              <w:left w:val="single" w:sz="8" w:space="0" w:color="auto"/>
              <w:bottom w:val="single" w:sz="4" w:space="0" w:color="auto"/>
              <w:right w:val="single" w:sz="8" w:space="0" w:color="auto"/>
            </w:tcBorders>
            <w:shd w:val="clear" w:color="auto" w:fill="F2DBDB" w:themeFill="accent2" w:themeFillTint="33"/>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0,22</w:t>
            </w:r>
          </w:p>
        </w:tc>
      </w:tr>
      <w:tr w:rsidR="002F556E" w:rsidRPr="002F556E" w:rsidTr="009A6A6C">
        <w:trPr>
          <w:trHeight w:val="331"/>
        </w:trPr>
        <w:tc>
          <w:tcPr>
            <w:tcW w:w="627" w:type="dxa"/>
            <w:tcBorders>
              <w:top w:val="nil"/>
              <w:left w:val="single" w:sz="8" w:space="0" w:color="auto"/>
              <w:bottom w:val="single" w:sz="4" w:space="0" w:color="auto"/>
              <w:right w:val="nil"/>
            </w:tcBorders>
            <w:shd w:val="clear" w:color="auto" w:fill="F2DBDB" w:themeFill="accent2" w:themeFillTint="33"/>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931</w:t>
            </w:r>
          </w:p>
        </w:tc>
        <w:tc>
          <w:tcPr>
            <w:tcW w:w="5369" w:type="dxa"/>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Pomocní pracovníci v oblasti těžby a stavebnictví</w:t>
            </w:r>
          </w:p>
        </w:tc>
        <w:tc>
          <w:tcPr>
            <w:tcW w:w="1074" w:type="dxa"/>
            <w:tcBorders>
              <w:top w:val="nil"/>
              <w:left w:val="nil"/>
              <w:bottom w:val="single" w:sz="4" w:space="0" w:color="auto"/>
              <w:right w:val="single" w:sz="4" w:space="0" w:color="auto"/>
            </w:tcBorders>
            <w:shd w:val="clear" w:color="auto" w:fill="F2DBDB" w:themeFill="accent2" w:themeFillTint="33"/>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14 987</w:t>
            </w:r>
          </w:p>
        </w:tc>
        <w:tc>
          <w:tcPr>
            <w:tcW w:w="1074" w:type="dxa"/>
            <w:tcBorders>
              <w:top w:val="nil"/>
              <w:left w:val="nil"/>
              <w:bottom w:val="single" w:sz="4" w:space="0" w:color="auto"/>
              <w:right w:val="nil"/>
            </w:tcBorders>
            <w:shd w:val="clear" w:color="auto" w:fill="F2DBDB" w:themeFill="accent2" w:themeFillTint="33"/>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6,92%</w:t>
            </w:r>
          </w:p>
        </w:tc>
        <w:tc>
          <w:tcPr>
            <w:tcW w:w="1074" w:type="dxa"/>
            <w:tcBorders>
              <w:top w:val="nil"/>
              <w:left w:val="single" w:sz="8" w:space="0" w:color="auto"/>
              <w:bottom w:val="single" w:sz="4" w:space="0" w:color="auto"/>
              <w:right w:val="single" w:sz="8" w:space="0" w:color="auto"/>
            </w:tcBorders>
            <w:shd w:val="clear" w:color="auto" w:fill="F2DBDB" w:themeFill="accent2" w:themeFillTint="33"/>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0,27</w:t>
            </w:r>
          </w:p>
        </w:tc>
      </w:tr>
      <w:tr w:rsidR="002F556E" w:rsidRPr="002F556E" w:rsidTr="009A6A6C">
        <w:trPr>
          <w:trHeight w:val="331"/>
        </w:trPr>
        <w:tc>
          <w:tcPr>
            <w:tcW w:w="627" w:type="dxa"/>
            <w:tcBorders>
              <w:top w:val="nil"/>
              <w:left w:val="single" w:sz="8" w:space="0" w:color="auto"/>
              <w:bottom w:val="single" w:sz="4" w:space="0" w:color="auto"/>
              <w:right w:val="nil"/>
            </w:tcBorders>
            <w:shd w:val="clear" w:color="auto" w:fill="F2DBDB" w:themeFill="accent2" w:themeFillTint="33"/>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833</w:t>
            </w:r>
          </w:p>
        </w:tc>
        <w:tc>
          <w:tcPr>
            <w:tcW w:w="5369" w:type="dxa"/>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Řidiči nákladních automobilů, autobusů a tramvají</w:t>
            </w:r>
          </w:p>
        </w:tc>
        <w:tc>
          <w:tcPr>
            <w:tcW w:w="1074" w:type="dxa"/>
            <w:tcBorders>
              <w:top w:val="nil"/>
              <w:left w:val="nil"/>
              <w:bottom w:val="single" w:sz="4" w:space="0" w:color="auto"/>
              <w:right w:val="single" w:sz="4" w:space="0" w:color="auto"/>
            </w:tcBorders>
            <w:shd w:val="clear" w:color="auto" w:fill="F2DBDB" w:themeFill="accent2" w:themeFillTint="33"/>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10 947</w:t>
            </w:r>
          </w:p>
        </w:tc>
        <w:tc>
          <w:tcPr>
            <w:tcW w:w="1074" w:type="dxa"/>
            <w:tcBorders>
              <w:top w:val="nil"/>
              <w:left w:val="nil"/>
              <w:bottom w:val="single" w:sz="4" w:space="0" w:color="auto"/>
              <w:right w:val="nil"/>
            </w:tcBorders>
            <w:shd w:val="clear" w:color="auto" w:fill="F2DBDB" w:themeFill="accent2" w:themeFillTint="33"/>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5,05%</w:t>
            </w:r>
          </w:p>
        </w:tc>
        <w:tc>
          <w:tcPr>
            <w:tcW w:w="1074" w:type="dxa"/>
            <w:tcBorders>
              <w:top w:val="nil"/>
              <w:left w:val="single" w:sz="8" w:space="0" w:color="auto"/>
              <w:bottom w:val="single" w:sz="4" w:space="0" w:color="auto"/>
              <w:right w:val="single" w:sz="8" w:space="0" w:color="auto"/>
            </w:tcBorders>
            <w:shd w:val="clear" w:color="auto" w:fill="F2DBDB" w:themeFill="accent2" w:themeFillTint="33"/>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0,29</w:t>
            </w:r>
          </w:p>
        </w:tc>
      </w:tr>
      <w:tr w:rsidR="002F556E" w:rsidRPr="002F556E" w:rsidTr="009A6A6C">
        <w:trPr>
          <w:trHeight w:val="331"/>
        </w:trPr>
        <w:tc>
          <w:tcPr>
            <w:tcW w:w="627" w:type="dxa"/>
            <w:tcBorders>
              <w:top w:val="nil"/>
              <w:left w:val="single" w:sz="8" w:space="0" w:color="auto"/>
              <w:bottom w:val="single" w:sz="4" w:space="0" w:color="auto"/>
              <w:right w:val="nil"/>
            </w:tcBorders>
            <w:shd w:val="clear" w:color="auto" w:fill="F2DBDB" w:themeFill="accent2" w:themeFillTint="33"/>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722</w:t>
            </w:r>
          </w:p>
        </w:tc>
        <w:tc>
          <w:tcPr>
            <w:tcW w:w="5369" w:type="dxa"/>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Kováři, nástrojaři a příbuzní pracovníci</w:t>
            </w:r>
          </w:p>
        </w:tc>
        <w:tc>
          <w:tcPr>
            <w:tcW w:w="1074" w:type="dxa"/>
            <w:tcBorders>
              <w:top w:val="nil"/>
              <w:left w:val="nil"/>
              <w:bottom w:val="single" w:sz="4" w:space="0" w:color="auto"/>
              <w:right w:val="single" w:sz="4" w:space="0" w:color="auto"/>
            </w:tcBorders>
            <w:shd w:val="clear" w:color="auto" w:fill="F2DBDB" w:themeFill="accent2" w:themeFillTint="33"/>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10 403</w:t>
            </w:r>
          </w:p>
        </w:tc>
        <w:tc>
          <w:tcPr>
            <w:tcW w:w="1074" w:type="dxa"/>
            <w:tcBorders>
              <w:top w:val="nil"/>
              <w:left w:val="nil"/>
              <w:bottom w:val="single" w:sz="4" w:space="0" w:color="auto"/>
              <w:right w:val="nil"/>
            </w:tcBorders>
            <w:shd w:val="clear" w:color="auto" w:fill="F2DBDB" w:themeFill="accent2" w:themeFillTint="33"/>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4,80%</w:t>
            </w:r>
          </w:p>
        </w:tc>
        <w:tc>
          <w:tcPr>
            <w:tcW w:w="1074" w:type="dxa"/>
            <w:tcBorders>
              <w:top w:val="nil"/>
              <w:left w:val="single" w:sz="8" w:space="0" w:color="auto"/>
              <w:bottom w:val="single" w:sz="4" w:space="0" w:color="auto"/>
              <w:right w:val="single" w:sz="8" w:space="0" w:color="auto"/>
            </w:tcBorders>
            <w:shd w:val="clear" w:color="auto" w:fill="F2DBDB" w:themeFill="accent2" w:themeFillTint="33"/>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0,49</w:t>
            </w:r>
          </w:p>
        </w:tc>
      </w:tr>
      <w:tr w:rsidR="002F556E" w:rsidRPr="002F556E" w:rsidTr="002F556E">
        <w:trPr>
          <w:trHeight w:val="331"/>
        </w:trPr>
        <w:tc>
          <w:tcPr>
            <w:tcW w:w="627" w:type="dxa"/>
            <w:tcBorders>
              <w:top w:val="nil"/>
              <w:left w:val="single" w:sz="8" w:space="0" w:color="auto"/>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753</w:t>
            </w:r>
          </w:p>
        </w:tc>
        <w:tc>
          <w:tcPr>
            <w:tcW w:w="5369" w:type="dxa"/>
            <w:tcBorders>
              <w:top w:val="nil"/>
              <w:left w:val="single" w:sz="4" w:space="0" w:color="auto"/>
              <w:bottom w:val="single" w:sz="4" w:space="0" w:color="auto"/>
              <w:right w:val="single" w:sz="4" w:space="0" w:color="auto"/>
            </w:tcBorders>
            <w:shd w:val="clear" w:color="auto" w:fill="auto"/>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Výrobci oděvů, výrobků z kůží a kožešin a pracovníci v příbuzných oborech</w:t>
            </w:r>
          </w:p>
        </w:tc>
        <w:tc>
          <w:tcPr>
            <w:tcW w:w="1074" w:type="dxa"/>
            <w:tcBorders>
              <w:top w:val="nil"/>
              <w:left w:val="nil"/>
              <w:bottom w:val="single" w:sz="4" w:space="0" w:color="auto"/>
              <w:right w:val="single" w:sz="4" w:space="0" w:color="auto"/>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2 946</w:t>
            </w:r>
          </w:p>
        </w:tc>
        <w:tc>
          <w:tcPr>
            <w:tcW w:w="1074" w:type="dxa"/>
            <w:tcBorders>
              <w:top w:val="nil"/>
              <w:left w:val="nil"/>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1,36%</w:t>
            </w:r>
          </w:p>
        </w:tc>
        <w:tc>
          <w:tcPr>
            <w:tcW w:w="1074" w:type="dxa"/>
            <w:tcBorders>
              <w:top w:val="nil"/>
              <w:left w:val="single" w:sz="8" w:space="0" w:color="auto"/>
              <w:bottom w:val="single" w:sz="4" w:space="0" w:color="auto"/>
              <w:right w:val="single" w:sz="8"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0,58</w:t>
            </w:r>
          </w:p>
        </w:tc>
      </w:tr>
      <w:tr w:rsidR="002F556E" w:rsidRPr="002F556E" w:rsidTr="002F556E">
        <w:trPr>
          <w:trHeight w:val="331"/>
        </w:trPr>
        <w:tc>
          <w:tcPr>
            <w:tcW w:w="627" w:type="dxa"/>
            <w:tcBorders>
              <w:top w:val="nil"/>
              <w:left w:val="single" w:sz="8" w:space="0" w:color="auto"/>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741</w:t>
            </w:r>
          </w:p>
        </w:tc>
        <w:tc>
          <w:tcPr>
            <w:tcW w:w="5369" w:type="dxa"/>
            <w:tcBorders>
              <w:top w:val="nil"/>
              <w:left w:val="single" w:sz="4" w:space="0" w:color="auto"/>
              <w:bottom w:val="single" w:sz="4" w:space="0" w:color="auto"/>
              <w:right w:val="single" w:sz="4" w:space="0" w:color="auto"/>
            </w:tcBorders>
            <w:shd w:val="clear" w:color="auto" w:fill="auto"/>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Montéři, mechanici a opraváři elektrických zařízení</w:t>
            </w:r>
          </w:p>
        </w:tc>
        <w:tc>
          <w:tcPr>
            <w:tcW w:w="1074" w:type="dxa"/>
            <w:tcBorders>
              <w:top w:val="nil"/>
              <w:left w:val="nil"/>
              <w:bottom w:val="single" w:sz="4" w:space="0" w:color="auto"/>
              <w:right w:val="single" w:sz="4" w:space="0" w:color="auto"/>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2 819</w:t>
            </w:r>
          </w:p>
        </w:tc>
        <w:tc>
          <w:tcPr>
            <w:tcW w:w="1074" w:type="dxa"/>
            <w:tcBorders>
              <w:top w:val="nil"/>
              <w:left w:val="nil"/>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1,30%</w:t>
            </w:r>
          </w:p>
        </w:tc>
        <w:tc>
          <w:tcPr>
            <w:tcW w:w="1074" w:type="dxa"/>
            <w:tcBorders>
              <w:top w:val="nil"/>
              <w:left w:val="single" w:sz="8" w:space="0" w:color="auto"/>
              <w:bottom w:val="single" w:sz="4" w:space="0" w:color="auto"/>
              <w:right w:val="single" w:sz="8"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0,58</w:t>
            </w:r>
          </w:p>
        </w:tc>
      </w:tr>
      <w:tr w:rsidR="002F556E" w:rsidRPr="002F556E" w:rsidTr="002F556E">
        <w:trPr>
          <w:trHeight w:val="331"/>
        </w:trPr>
        <w:tc>
          <w:tcPr>
            <w:tcW w:w="627" w:type="dxa"/>
            <w:tcBorders>
              <w:top w:val="nil"/>
              <w:left w:val="single" w:sz="8" w:space="0" w:color="auto"/>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751</w:t>
            </w:r>
          </w:p>
        </w:tc>
        <w:tc>
          <w:tcPr>
            <w:tcW w:w="5369" w:type="dxa"/>
            <w:tcBorders>
              <w:top w:val="nil"/>
              <w:left w:val="single" w:sz="4" w:space="0" w:color="auto"/>
              <w:bottom w:val="single" w:sz="4" w:space="0" w:color="auto"/>
              <w:right w:val="single" w:sz="4" w:space="0" w:color="auto"/>
            </w:tcBorders>
            <w:shd w:val="clear" w:color="auto" w:fill="auto"/>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Výrobci a zpracovatelé potravin a příbuzní pracovníci</w:t>
            </w:r>
          </w:p>
        </w:tc>
        <w:tc>
          <w:tcPr>
            <w:tcW w:w="1074" w:type="dxa"/>
            <w:tcBorders>
              <w:top w:val="nil"/>
              <w:left w:val="nil"/>
              <w:bottom w:val="single" w:sz="4" w:space="0" w:color="auto"/>
              <w:right w:val="single" w:sz="4" w:space="0" w:color="auto"/>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2 926</w:t>
            </w:r>
          </w:p>
        </w:tc>
        <w:tc>
          <w:tcPr>
            <w:tcW w:w="1074" w:type="dxa"/>
            <w:tcBorders>
              <w:top w:val="nil"/>
              <w:left w:val="nil"/>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1,35%</w:t>
            </w:r>
          </w:p>
        </w:tc>
        <w:tc>
          <w:tcPr>
            <w:tcW w:w="1074" w:type="dxa"/>
            <w:tcBorders>
              <w:top w:val="nil"/>
              <w:left w:val="single" w:sz="8" w:space="0" w:color="auto"/>
              <w:bottom w:val="single" w:sz="4" w:space="0" w:color="auto"/>
              <w:right w:val="single" w:sz="8"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0,59</w:t>
            </w:r>
          </w:p>
        </w:tc>
      </w:tr>
      <w:tr w:rsidR="002F556E" w:rsidRPr="002F556E" w:rsidTr="002F556E">
        <w:trPr>
          <w:trHeight w:val="331"/>
        </w:trPr>
        <w:tc>
          <w:tcPr>
            <w:tcW w:w="627" w:type="dxa"/>
            <w:tcBorders>
              <w:top w:val="nil"/>
              <w:left w:val="single" w:sz="8" w:space="0" w:color="auto"/>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921</w:t>
            </w:r>
          </w:p>
        </w:tc>
        <w:tc>
          <w:tcPr>
            <w:tcW w:w="5369" w:type="dxa"/>
            <w:tcBorders>
              <w:top w:val="nil"/>
              <w:left w:val="single" w:sz="4" w:space="0" w:color="auto"/>
              <w:bottom w:val="single" w:sz="4" w:space="0" w:color="auto"/>
              <w:right w:val="single" w:sz="4" w:space="0" w:color="auto"/>
            </w:tcBorders>
            <w:shd w:val="clear" w:color="auto" w:fill="auto"/>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Pomocní pracovníci v zemědělství, lesnictví a rybářství</w:t>
            </w:r>
          </w:p>
        </w:tc>
        <w:tc>
          <w:tcPr>
            <w:tcW w:w="1074" w:type="dxa"/>
            <w:tcBorders>
              <w:top w:val="nil"/>
              <w:left w:val="nil"/>
              <w:bottom w:val="single" w:sz="4" w:space="0" w:color="auto"/>
              <w:right w:val="single" w:sz="4" w:space="0" w:color="auto"/>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4 042</w:t>
            </w:r>
          </w:p>
        </w:tc>
        <w:tc>
          <w:tcPr>
            <w:tcW w:w="1074" w:type="dxa"/>
            <w:tcBorders>
              <w:top w:val="nil"/>
              <w:left w:val="nil"/>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1,87%</w:t>
            </w:r>
          </w:p>
        </w:tc>
        <w:tc>
          <w:tcPr>
            <w:tcW w:w="1074" w:type="dxa"/>
            <w:tcBorders>
              <w:top w:val="nil"/>
              <w:left w:val="single" w:sz="8" w:space="0" w:color="auto"/>
              <w:bottom w:val="single" w:sz="4" w:space="0" w:color="auto"/>
              <w:right w:val="single" w:sz="8"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0,60</w:t>
            </w:r>
          </w:p>
        </w:tc>
      </w:tr>
      <w:tr w:rsidR="002F556E" w:rsidRPr="002F556E" w:rsidTr="002F556E">
        <w:trPr>
          <w:trHeight w:val="331"/>
        </w:trPr>
        <w:tc>
          <w:tcPr>
            <w:tcW w:w="627" w:type="dxa"/>
            <w:tcBorders>
              <w:top w:val="nil"/>
              <w:left w:val="single" w:sz="8" w:space="0" w:color="auto"/>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834</w:t>
            </w:r>
          </w:p>
        </w:tc>
        <w:tc>
          <w:tcPr>
            <w:tcW w:w="5369" w:type="dxa"/>
            <w:tcBorders>
              <w:top w:val="nil"/>
              <w:left w:val="single" w:sz="4" w:space="0" w:color="auto"/>
              <w:bottom w:val="single" w:sz="4" w:space="0" w:color="auto"/>
              <w:right w:val="single" w:sz="4" w:space="0" w:color="auto"/>
            </w:tcBorders>
            <w:shd w:val="clear" w:color="auto" w:fill="auto"/>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Obsluha pojízdných zařízení</w:t>
            </w:r>
          </w:p>
        </w:tc>
        <w:tc>
          <w:tcPr>
            <w:tcW w:w="1074" w:type="dxa"/>
            <w:tcBorders>
              <w:top w:val="nil"/>
              <w:left w:val="nil"/>
              <w:bottom w:val="single" w:sz="4" w:space="0" w:color="auto"/>
              <w:right w:val="single" w:sz="4" w:space="0" w:color="auto"/>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6 795</w:t>
            </w:r>
          </w:p>
        </w:tc>
        <w:tc>
          <w:tcPr>
            <w:tcW w:w="1074" w:type="dxa"/>
            <w:tcBorders>
              <w:top w:val="nil"/>
              <w:left w:val="nil"/>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3,14%</w:t>
            </w:r>
          </w:p>
        </w:tc>
        <w:tc>
          <w:tcPr>
            <w:tcW w:w="1074" w:type="dxa"/>
            <w:tcBorders>
              <w:top w:val="nil"/>
              <w:left w:val="single" w:sz="8" w:space="0" w:color="auto"/>
              <w:bottom w:val="single" w:sz="4" w:space="0" w:color="auto"/>
              <w:right w:val="single" w:sz="8"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0,76</w:t>
            </w:r>
          </w:p>
        </w:tc>
      </w:tr>
      <w:tr w:rsidR="002F556E" w:rsidRPr="002F556E" w:rsidTr="002F556E">
        <w:trPr>
          <w:trHeight w:val="331"/>
        </w:trPr>
        <w:tc>
          <w:tcPr>
            <w:tcW w:w="627" w:type="dxa"/>
            <w:tcBorders>
              <w:top w:val="nil"/>
              <w:left w:val="single" w:sz="8" w:space="0" w:color="auto"/>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723</w:t>
            </w:r>
          </w:p>
        </w:tc>
        <w:tc>
          <w:tcPr>
            <w:tcW w:w="5369" w:type="dxa"/>
            <w:tcBorders>
              <w:top w:val="nil"/>
              <w:left w:val="single" w:sz="4" w:space="0" w:color="auto"/>
              <w:bottom w:val="single" w:sz="4" w:space="0" w:color="auto"/>
              <w:right w:val="single" w:sz="4" w:space="0" w:color="auto"/>
            </w:tcBorders>
            <w:shd w:val="clear" w:color="auto" w:fill="auto"/>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Mechanici a opraváři strojů a zařízení (kromě elektrických)</w:t>
            </w:r>
          </w:p>
        </w:tc>
        <w:tc>
          <w:tcPr>
            <w:tcW w:w="1074" w:type="dxa"/>
            <w:tcBorders>
              <w:top w:val="nil"/>
              <w:left w:val="nil"/>
              <w:bottom w:val="single" w:sz="4" w:space="0" w:color="auto"/>
              <w:right w:val="single" w:sz="4" w:space="0" w:color="auto"/>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2 860</w:t>
            </w:r>
          </w:p>
        </w:tc>
        <w:tc>
          <w:tcPr>
            <w:tcW w:w="1074" w:type="dxa"/>
            <w:tcBorders>
              <w:top w:val="nil"/>
              <w:left w:val="nil"/>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1,32%</w:t>
            </w:r>
          </w:p>
        </w:tc>
        <w:tc>
          <w:tcPr>
            <w:tcW w:w="1074" w:type="dxa"/>
            <w:tcBorders>
              <w:top w:val="nil"/>
              <w:left w:val="single" w:sz="8" w:space="0" w:color="auto"/>
              <w:bottom w:val="single" w:sz="4" w:space="0" w:color="auto"/>
              <w:right w:val="single" w:sz="8"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0,87</w:t>
            </w:r>
          </w:p>
        </w:tc>
      </w:tr>
      <w:tr w:rsidR="002F556E" w:rsidRPr="002F556E" w:rsidTr="002F556E">
        <w:trPr>
          <w:trHeight w:val="331"/>
        </w:trPr>
        <w:tc>
          <w:tcPr>
            <w:tcW w:w="627" w:type="dxa"/>
            <w:tcBorders>
              <w:top w:val="nil"/>
              <w:left w:val="single" w:sz="8" w:space="0" w:color="auto"/>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512</w:t>
            </w:r>
          </w:p>
        </w:tc>
        <w:tc>
          <w:tcPr>
            <w:tcW w:w="5369" w:type="dxa"/>
            <w:tcBorders>
              <w:top w:val="nil"/>
              <w:left w:val="single" w:sz="4" w:space="0" w:color="auto"/>
              <w:bottom w:val="single" w:sz="4" w:space="0" w:color="auto"/>
              <w:right w:val="single" w:sz="4" w:space="0" w:color="auto"/>
            </w:tcBorders>
            <w:shd w:val="clear" w:color="auto" w:fill="auto"/>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Kuchaři (kromě šéfkuchařů), pomocní kuchaři</w:t>
            </w:r>
          </w:p>
        </w:tc>
        <w:tc>
          <w:tcPr>
            <w:tcW w:w="1074" w:type="dxa"/>
            <w:tcBorders>
              <w:top w:val="nil"/>
              <w:left w:val="nil"/>
              <w:bottom w:val="single" w:sz="4" w:space="0" w:color="auto"/>
              <w:right w:val="single" w:sz="4" w:space="0" w:color="auto"/>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6 011</w:t>
            </w:r>
          </w:p>
        </w:tc>
        <w:tc>
          <w:tcPr>
            <w:tcW w:w="1074" w:type="dxa"/>
            <w:tcBorders>
              <w:top w:val="nil"/>
              <w:left w:val="nil"/>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2,77%</w:t>
            </w:r>
          </w:p>
        </w:tc>
        <w:tc>
          <w:tcPr>
            <w:tcW w:w="1074" w:type="dxa"/>
            <w:tcBorders>
              <w:top w:val="nil"/>
              <w:left w:val="single" w:sz="8" w:space="0" w:color="auto"/>
              <w:bottom w:val="single" w:sz="4" w:space="0" w:color="auto"/>
              <w:right w:val="single" w:sz="8"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0,92</w:t>
            </w:r>
          </w:p>
        </w:tc>
      </w:tr>
      <w:tr w:rsidR="002F556E" w:rsidRPr="002F556E" w:rsidTr="002F556E">
        <w:trPr>
          <w:trHeight w:val="331"/>
        </w:trPr>
        <w:tc>
          <w:tcPr>
            <w:tcW w:w="627" w:type="dxa"/>
            <w:tcBorders>
              <w:top w:val="nil"/>
              <w:left w:val="single" w:sz="8" w:space="0" w:color="auto"/>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712</w:t>
            </w:r>
          </w:p>
        </w:tc>
        <w:tc>
          <w:tcPr>
            <w:tcW w:w="5369" w:type="dxa"/>
            <w:tcBorders>
              <w:top w:val="nil"/>
              <w:left w:val="single" w:sz="4" w:space="0" w:color="auto"/>
              <w:bottom w:val="single" w:sz="4" w:space="0" w:color="auto"/>
              <w:right w:val="single" w:sz="4" w:space="0" w:color="auto"/>
            </w:tcBorders>
            <w:shd w:val="clear" w:color="auto" w:fill="auto"/>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Řemeslníci a kvalifikovaní pracovníci při dokončování staveb</w:t>
            </w:r>
          </w:p>
        </w:tc>
        <w:tc>
          <w:tcPr>
            <w:tcW w:w="1074" w:type="dxa"/>
            <w:tcBorders>
              <w:top w:val="nil"/>
              <w:left w:val="nil"/>
              <w:bottom w:val="single" w:sz="4" w:space="0" w:color="auto"/>
              <w:right w:val="single" w:sz="4" w:space="0" w:color="auto"/>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2 495</w:t>
            </w:r>
          </w:p>
        </w:tc>
        <w:tc>
          <w:tcPr>
            <w:tcW w:w="1074" w:type="dxa"/>
            <w:tcBorders>
              <w:top w:val="nil"/>
              <w:left w:val="nil"/>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1,15%</w:t>
            </w:r>
          </w:p>
        </w:tc>
        <w:tc>
          <w:tcPr>
            <w:tcW w:w="1074" w:type="dxa"/>
            <w:tcBorders>
              <w:top w:val="nil"/>
              <w:left w:val="single" w:sz="8" w:space="0" w:color="auto"/>
              <w:bottom w:val="single" w:sz="4" w:space="0" w:color="auto"/>
              <w:right w:val="single" w:sz="8"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1,09</w:t>
            </w:r>
          </w:p>
        </w:tc>
      </w:tr>
      <w:tr w:rsidR="002F556E" w:rsidRPr="002F556E" w:rsidTr="002F556E">
        <w:trPr>
          <w:trHeight w:val="331"/>
        </w:trPr>
        <w:tc>
          <w:tcPr>
            <w:tcW w:w="627" w:type="dxa"/>
            <w:tcBorders>
              <w:top w:val="nil"/>
              <w:left w:val="single" w:sz="8" w:space="0" w:color="auto"/>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422</w:t>
            </w:r>
          </w:p>
        </w:tc>
        <w:tc>
          <w:tcPr>
            <w:tcW w:w="5369" w:type="dxa"/>
            <w:tcBorders>
              <w:top w:val="nil"/>
              <w:left w:val="single" w:sz="4" w:space="0" w:color="auto"/>
              <w:bottom w:val="single" w:sz="4" w:space="0" w:color="auto"/>
              <w:right w:val="single" w:sz="4" w:space="0" w:color="auto"/>
            </w:tcBorders>
            <w:shd w:val="clear" w:color="auto" w:fill="auto"/>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Pracovníci informačních služeb</w:t>
            </w:r>
          </w:p>
        </w:tc>
        <w:tc>
          <w:tcPr>
            <w:tcW w:w="1074" w:type="dxa"/>
            <w:tcBorders>
              <w:top w:val="nil"/>
              <w:left w:val="nil"/>
              <w:bottom w:val="single" w:sz="4" w:space="0" w:color="auto"/>
              <w:right w:val="single" w:sz="4" w:space="0" w:color="auto"/>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2 645</w:t>
            </w:r>
          </w:p>
        </w:tc>
        <w:tc>
          <w:tcPr>
            <w:tcW w:w="1074" w:type="dxa"/>
            <w:tcBorders>
              <w:top w:val="nil"/>
              <w:left w:val="nil"/>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1,22%</w:t>
            </w:r>
          </w:p>
        </w:tc>
        <w:tc>
          <w:tcPr>
            <w:tcW w:w="1074" w:type="dxa"/>
            <w:tcBorders>
              <w:top w:val="nil"/>
              <w:left w:val="single" w:sz="8" w:space="0" w:color="auto"/>
              <w:bottom w:val="single" w:sz="4" w:space="0" w:color="auto"/>
              <w:right w:val="single" w:sz="8"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1,11</w:t>
            </w:r>
          </w:p>
        </w:tc>
      </w:tr>
      <w:tr w:rsidR="002F556E" w:rsidRPr="002F556E" w:rsidTr="002F556E">
        <w:trPr>
          <w:trHeight w:val="331"/>
        </w:trPr>
        <w:tc>
          <w:tcPr>
            <w:tcW w:w="627" w:type="dxa"/>
            <w:tcBorders>
              <w:top w:val="nil"/>
              <w:left w:val="single" w:sz="8" w:space="0" w:color="auto"/>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311</w:t>
            </w:r>
          </w:p>
        </w:tc>
        <w:tc>
          <w:tcPr>
            <w:tcW w:w="5369" w:type="dxa"/>
            <w:tcBorders>
              <w:top w:val="nil"/>
              <w:left w:val="single" w:sz="4" w:space="0" w:color="auto"/>
              <w:bottom w:val="single" w:sz="4" w:space="0" w:color="auto"/>
              <w:right w:val="single" w:sz="4" w:space="0" w:color="auto"/>
            </w:tcBorders>
            <w:shd w:val="clear" w:color="auto" w:fill="auto"/>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Technici ve fyzikálních a průmyslových oborech</w:t>
            </w:r>
          </w:p>
        </w:tc>
        <w:tc>
          <w:tcPr>
            <w:tcW w:w="1074" w:type="dxa"/>
            <w:tcBorders>
              <w:top w:val="nil"/>
              <w:left w:val="nil"/>
              <w:bottom w:val="single" w:sz="4" w:space="0" w:color="auto"/>
              <w:right w:val="single" w:sz="4" w:space="0" w:color="auto"/>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2 948</w:t>
            </w:r>
          </w:p>
        </w:tc>
        <w:tc>
          <w:tcPr>
            <w:tcW w:w="1074" w:type="dxa"/>
            <w:tcBorders>
              <w:top w:val="nil"/>
              <w:left w:val="nil"/>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1,36%</w:t>
            </w:r>
          </w:p>
        </w:tc>
        <w:tc>
          <w:tcPr>
            <w:tcW w:w="1074" w:type="dxa"/>
            <w:tcBorders>
              <w:top w:val="nil"/>
              <w:left w:val="single" w:sz="8" w:space="0" w:color="auto"/>
              <w:bottom w:val="single" w:sz="4" w:space="0" w:color="auto"/>
              <w:right w:val="single" w:sz="8"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1,11</w:t>
            </w:r>
          </w:p>
        </w:tc>
      </w:tr>
      <w:tr w:rsidR="002F556E" w:rsidRPr="002F556E" w:rsidTr="002F556E">
        <w:trPr>
          <w:trHeight w:val="331"/>
        </w:trPr>
        <w:tc>
          <w:tcPr>
            <w:tcW w:w="627" w:type="dxa"/>
            <w:tcBorders>
              <w:top w:val="nil"/>
              <w:left w:val="single" w:sz="8" w:space="0" w:color="auto"/>
              <w:bottom w:val="single" w:sz="4" w:space="0" w:color="FF0000"/>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514</w:t>
            </w:r>
          </w:p>
        </w:tc>
        <w:tc>
          <w:tcPr>
            <w:tcW w:w="5369" w:type="dxa"/>
            <w:tcBorders>
              <w:top w:val="nil"/>
              <w:left w:val="single" w:sz="4" w:space="0" w:color="auto"/>
              <w:bottom w:val="single" w:sz="4" w:space="0" w:color="FF0000"/>
              <w:right w:val="single" w:sz="4" w:space="0" w:color="auto"/>
            </w:tcBorders>
            <w:shd w:val="clear" w:color="auto" w:fill="auto"/>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Kadeřníci, kosmetici a pracovníci v příbuzných oborech</w:t>
            </w:r>
          </w:p>
        </w:tc>
        <w:tc>
          <w:tcPr>
            <w:tcW w:w="1074" w:type="dxa"/>
            <w:tcBorders>
              <w:top w:val="nil"/>
              <w:left w:val="nil"/>
              <w:bottom w:val="single" w:sz="4" w:space="0" w:color="FF0000"/>
              <w:right w:val="single" w:sz="4" w:space="0" w:color="auto"/>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2 510</w:t>
            </w:r>
          </w:p>
        </w:tc>
        <w:tc>
          <w:tcPr>
            <w:tcW w:w="1074" w:type="dxa"/>
            <w:tcBorders>
              <w:top w:val="nil"/>
              <w:left w:val="nil"/>
              <w:bottom w:val="single" w:sz="4" w:space="0" w:color="FF0000"/>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1,16%</w:t>
            </w:r>
          </w:p>
        </w:tc>
        <w:tc>
          <w:tcPr>
            <w:tcW w:w="1074" w:type="dxa"/>
            <w:tcBorders>
              <w:top w:val="nil"/>
              <w:left w:val="single" w:sz="8" w:space="0" w:color="auto"/>
              <w:bottom w:val="single" w:sz="4" w:space="0" w:color="FF0000"/>
              <w:right w:val="single" w:sz="8"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1,16</w:t>
            </w:r>
          </w:p>
        </w:tc>
      </w:tr>
      <w:tr w:rsidR="002F556E" w:rsidRPr="002F556E" w:rsidTr="002F556E">
        <w:trPr>
          <w:trHeight w:val="331"/>
        </w:trPr>
        <w:tc>
          <w:tcPr>
            <w:tcW w:w="627" w:type="dxa"/>
            <w:tcBorders>
              <w:top w:val="nil"/>
              <w:left w:val="single" w:sz="8" w:space="0" w:color="auto"/>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933</w:t>
            </w:r>
          </w:p>
        </w:tc>
        <w:tc>
          <w:tcPr>
            <w:tcW w:w="5369" w:type="dxa"/>
            <w:tcBorders>
              <w:top w:val="nil"/>
              <w:left w:val="single" w:sz="4" w:space="0" w:color="auto"/>
              <w:bottom w:val="single" w:sz="4" w:space="0" w:color="auto"/>
              <w:right w:val="single" w:sz="4" w:space="0" w:color="auto"/>
            </w:tcBorders>
            <w:shd w:val="clear" w:color="auto" w:fill="auto"/>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Pomocní pracovníci v dopravě a skladování</w:t>
            </w:r>
          </w:p>
        </w:tc>
        <w:tc>
          <w:tcPr>
            <w:tcW w:w="1074" w:type="dxa"/>
            <w:tcBorders>
              <w:top w:val="nil"/>
              <w:left w:val="nil"/>
              <w:bottom w:val="single" w:sz="4" w:space="0" w:color="auto"/>
              <w:right w:val="single" w:sz="4" w:space="0" w:color="auto"/>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4 074</w:t>
            </w:r>
          </w:p>
        </w:tc>
        <w:tc>
          <w:tcPr>
            <w:tcW w:w="1074" w:type="dxa"/>
            <w:tcBorders>
              <w:top w:val="nil"/>
              <w:left w:val="nil"/>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1,88%</w:t>
            </w:r>
          </w:p>
        </w:tc>
        <w:tc>
          <w:tcPr>
            <w:tcW w:w="1074" w:type="dxa"/>
            <w:tcBorders>
              <w:top w:val="nil"/>
              <w:left w:val="single" w:sz="8" w:space="0" w:color="auto"/>
              <w:bottom w:val="single" w:sz="4" w:space="0" w:color="auto"/>
              <w:right w:val="single" w:sz="8"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1,50</w:t>
            </w:r>
          </w:p>
        </w:tc>
      </w:tr>
      <w:tr w:rsidR="002F556E" w:rsidRPr="002F556E" w:rsidTr="002F556E">
        <w:trPr>
          <w:trHeight w:val="331"/>
        </w:trPr>
        <w:tc>
          <w:tcPr>
            <w:tcW w:w="627" w:type="dxa"/>
            <w:tcBorders>
              <w:top w:val="nil"/>
              <w:left w:val="single" w:sz="8" w:space="0" w:color="auto"/>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711</w:t>
            </w:r>
          </w:p>
        </w:tc>
        <w:tc>
          <w:tcPr>
            <w:tcW w:w="5369" w:type="dxa"/>
            <w:tcBorders>
              <w:top w:val="nil"/>
              <w:left w:val="single" w:sz="4" w:space="0" w:color="auto"/>
              <w:bottom w:val="single" w:sz="4" w:space="0" w:color="auto"/>
              <w:right w:val="single" w:sz="4" w:space="0" w:color="auto"/>
            </w:tcBorders>
            <w:shd w:val="clear" w:color="auto" w:fill="auto"/>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Řemeslníci a kvalifikovaní pracovníci hlavní stavební výroby</w:t>
            </w:r>
          </w:p>
        </w:tc>
        <w:tc>
          <w:tcPr>
            <w:tcW w:w="1074" w:type="dxa"/>
            <w:tcBorders>
              <w:top w:val="nil"/>
              <w:left w:val="nil"/>
              <w:bottom w:val="single" w:sz="4" w:space="0" w:color="auto"/>
              <w:right w:val="single" w:sz="4" w:space="0" w:color="auto"/>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7 494</w:t>
            </w:r>
          </w:p>
        </w:tc>
        <w:tc>
          <w:tcPr>
            <w:tcW w:w="1074" w:type="dxa"/>
            <w:tcBorders>
              <w:top w:val="nil"/>
              <w:left w:val="nil"/>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3,46%</w:t>
            </w:r>
          </w:p>
        </w:tc>
        <w:tc>
          <w:tcPr>
            <w:tcW w:w="1074" w:type="dxa"/>
            <w:tcBorders>
              <w:top w:val="nil"/>
              <w:left w:val="single" w:sz="8" w:space="0" w:color="auto"/>
              <w:bottom w:val="single" w:sz="4" w:space="0" w:color="auto"/>
              <w:right w:val="single" w:sz="8"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1,58</w:t>
            </w:r>
          </w:p>
        </w:tc>
      </w:tr>
      <w:tr w:rsidR="002F556E" w:rsidRPr="002F556E" w:rsidTr="002F556E">
        <w:trPr>
          <w:trHeight w:val="331"/>
        </w:trPr>
        <w:tc>
          <w:tcPr>
            <w:tcW w:w="627" w:type="dxa"/>
            <w:tcBorders>
              <w:top w:val="nil"/>
              <w:left w:val="single" w:sz="8" w:space="0" w:color="auto"/>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932</w:t>
            </w:r>
          </w:p>
        </w:tc>
        <w:tc>
          <w:tcPr>
            <w:tcW w:w="5369" w:type="dxa"/>
            <w:tcBorders>
              <w:top w:val="nil"/>
              <w:left w:val="single" w:sz="4" w:space="0" w:color="auto"/>
              <w:bottom w:val="single" w:sz="4" w:space="0" w:color="auto"/>
              <w:right w:val="single" w:sz="4" w:space="0" w:color="auto"/>
            </w:tcBorders>
            <w:shd w:val="clear" w:color="auto" w:fill="auto"/>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Pomocní pracovníci ve výrobě</w:t>
            </w:r>
          </w:p>
        </w:tc>
        <w:tc>
          <w:tcPr>
            <w:tcW w:w="1074" w:type="dxa"/>
            <w:tcBorders>
              <w:top w:val="nil"/>
              <w:left w:val="nil"/>
              <w:bottom w:val="single" w:sz="4" w:space="0" w:color="auto"/>
              <w:right w:val="single" w:sz="4" w:space="0" w:color="auto"/>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15 497</w:t>
            </w:r>
          </w:p>
        </w:tc>
        <w:tc>
          <w:tcPr>
            <w:tcW w:w="1074" w:type="dxa"/>
            <w:tcBorders>
              <w:top w:val="nil"/>
              <w:left w:val="nil"/>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7,15%</w:t>
            </w:r>
          </w:p>
        </w:tc>
        <w:tc>
          <w:tcPr>
            <w:tcW w:w="1074" w:type="dxa"/>
            <w:tcBorders>
              <w:top w:val="nil"/>
              <w:left w:val="single" w:sz="8" w:space="0" w:color="auto"/>
              <w:bottom w:val="single" w:sz="4" w:space="0" w:color="auto"/>
              <w:right w:val="single" w:sz="8"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1,81</w:t>
            </w:r>
          </w:p>
        </w:tc>
      </w:tr>
      <w:tr w:rsidR="002F556E" w:rsidRPr="002F556E" w:rsidTr="002F556E">
        <w:trPr>
          <w:trHeight w:val="331"/>
        </w:trPr>
        <w:tc>
          <w:tcPr>
            <w:tcW w:w="627" w:type="dxa"/>
            <w:tcBorders>
              <w:top w:val="nil"/>
              <w:left w:val="single" w:sz="8" w:space="0" w:color="auto"/>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513</w:t>
            </w:r>
          </w:p>
        </w:tc>
        <w:tc>
          <w:tcPr>
            <w:tcW w:w="5369" w:type="dxa"/>
            <w:tcBorders>
              <w:top w:val="nil"/>
              <w:left w:val="single" w:sz="4" w:space="0" w:color="auto"/>
              <w:bottom w:val="single" w:sz="4" w:space="0" w:color="auto"/>
              <w:right w:val="single" w:sz="4" w:space="0" w:color="auto"/>
            </w:tcBorders>
            <w:shd w:val="clear" w:color="auto" w:fill="auto"/>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Číšníci, servírky a barmani</w:t>
            </w:r>
          </w:p>
        </w:tc>
        <w:tc>
          <w:tcPr>
            <w:tcW w:w="1074" w:type="dxa"/>
            <w:tcBorders>
              <w:top w:val="nil"/>
              <w:left w:val="nil"/>
              <w:bottom w:val="single" w:sz="4" w:space="0" w:color="auto"/>
              <w:right w:val="single" w:sz="4" w:space="0" w:color="auto"/>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3 036</w:t>
            </w:r>
          </w:p>
        </w:tc>
        <w:tc>
          <w:tcPr>
            <w:tcW w:w="1074" w:type="dxa"/>
            <w:tcBorders>
              <w:top w:val="nil"/>
              <w:left w:val="nil"/>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1,40%</w:t>
            </w:r>
          </w:p>
        </w:tc>
        <w:tc>
          <w:tcPr>
            <w:tcW w:w="1074" w:type="dxa"/>
            <w:tcBorders>
              <w:top w:val="nil"/>
              <w:left w:val="single" w:sz="8" w:space="0" w:color="auto"/>
              <w:bottom w:val="single" w:sz="4" w:space="0" w:color="auto"/>
              <w:right w:val="single" w:sz="8"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1,86</w:t>
            </w:r>
          </w:p>
        </w:tc>
      </w:tr>
      <w:tr w:rsidR="002F556E" w:rsidRPr="002F556E" w:rsidTr="002F556E">
        <w:trPr>
          <w:trHeight w:val="331"/>
        </w:trPr>
        <w:tc>
          <w:tcPr>
            <w:tcW w:w="627" w:type="dxa"/>
            <w:tcBorders>
              <w:top w:val="nil"/>
              <w:left w:val="single" w:sz="8" w:space="0" w:color="auto"/>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911</w:t>
            </w:r>
          </w:p>
        </w:tc>
        <w:tc>
          <w:tcPr>
            <w:tcW w:w="5369" w:type="dxa"/>
            <w:tcBorders>
              <w:top w:val="nil"/>
              <w:left w:val="single" w:sz="4" w:space="0" w:color="auto"/>
              <w:bottom w:val="single" w:sz="4" w:space="0" w:color="auto"/>
              <w:right w:val="single" w:sz="4" w:space="0" w:color="auto"/>
            </w:tcBorders>
            <w:shd w:val="clear" w:color="auto" w:fill="auto"/>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Uklízeči a pomocníci v domácnostech, hotelích, administrativních, průmyslových a jiných objektech</w:t>
            </w:r>
          </w:p>
        </w:tc>
        <w:tc>
          <w:tcPr>
            <w:tcW w:w="1074" w:type="dxa"/>
            <w:tcBorders>
              <w:top w:val="nil"/>
              <w:left w:val="nil"/>
              <w:bottom w:val="single" w:sz="4" w:space="0" w:color="auto"/>
              <w:right w:val="single" w:sz="4" w:space="0" w:color="auto"/>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8 071</w:t>
            </w:r>
          </w:p>
        </w:tc>
        <w:tc>
          <w:tcPr>
            <w:tcW w:w="1074" w:type="dxa"/>
            <w:tcBorders>
              <w:top w:val="nil"/>
              <w:left w:val="nil"/>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3,73%</w:t>
            </w:r>
          </w:p>
        </w:tc>
        <w:tc>
          <w:tcPr>
            <w:tcW w:w="1074" w:type="dxa"/>
            <w:tcBorders>
              <w:top w:val="nil"/>
              <w:left w:val="single" w:sz="8" w:space="0" w:color="auto"/>
              <w:bottom w:val="single" w:sz="4" w:space="0" w:color="auto"/>
              <w:right w:val="single" w:sz="8"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2,10</w:t>
            </w:r>
          </w:p>
        </w:tc>
      </w:tr>
      <w:tr w:rsidR="002F556E" w:rsidRPr="002F556E" w:rsidTr="002F556E">
        <w:trPr>
          <w:trHeight w:val="331"/>
        </w:trPr>
        <w:tc>
          <w:tcPr>
            <w:tcW w:w="627" w:type="dxa"/>
            <w:tcBorders>
              <w:top w:val="nil"/>
              <w:left w:val="single" w:sz="8" w:space="0" w:color="auto"/>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541</w:t>
            </w:r>
          </w:p>
        </w:tc>
        <w:tc>
          <w:tcPr>
            <w:tcW w:w="5369" w:type="dxa"/>
            <w:tcBorders>
              <w:top w:val="nil"/>
              <w:left w:val="single" w:sz="4" w:space="0" w:color="auto"/>
              <w:bottom w:val="single" w:sz="4" w:space="0" w:color="auto"/>
              <w:right w:val="single" w:sz="4" w:space="0" w:color="auto"/>
            </w:tcBorders>
            <w:shd w:val="clear" w:color="auto" w:fill="auto"/>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Pracovníci v oblasti ochrany a ostrahy</w:t>
            </w:r>
          </w:p>
        </w:tc>
        <w:tc>
          <w:tcPr>
            <w:tcW w:w="1074" w:type="dxa"/>
            <w:tcBorders>
              <w:top w:val="nil"/>
              <w:left w:val="nil"/>
              <w:bottom w:val="single" w:sz="4" w:space="0" w:color="auto"/>
              <w:right w:val="single" w:sz="4" w:space="0" w:color="auto"/>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5 701</w:t>
            </w:r>
          </w:p>
        </w:tc>
        <w:tc>
          <w:tcPr>
            <w:tcW w:w="1074" w:type="dxa"/>
            <w:tcBorders>
              <w:top w:val="nil"/>
              <w:left w:val="nil"/>
              <w:bottom w:val="single" w:sz="4"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2,63%</w:t>
            </w:r>
          </w:p>
        </w:tc>
        <w:tc>
          <w:tcPr>
            <w:tcW w:w="1074" w:type="dxa"/>
            <w:tcBorders>
              <w:top w:val="nil"/>
              <w:left w:val="single" w:sz="8" w:space="0" w:color="auto"/>
              <w:bottom w:val="single" w:sz="4" w:space="0" w:color="auto"/>
              <w:right w:val="single" w:sz="8"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2,26</w:t>
            </w:r>
          </w:p>
        </w:tc>
      </w:tr>
      <w:tr w:rsidR="002F556E" w:rsidRPr="002F556E" w:rsidTr="002F556E">
        <w:trPr>
          <w:trHeight w:val="331"/>
        </w:trPr>
        <w:tc>
          <w:tcPr>
            <w:tcW w:w="627" w:type="dxa"/>
            <w:tcBorders>
              <w:top w:val="nil"/>
              <w:left w:val="single" w:sz="8" w:space="0" w:color="auto"/>
              <w:bottom w:val="single" w:sz="8"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522</w:t>
            </w:r>
          </w:p>
        </w:tc>
        <w:tc>
          <w:tcPr>
            <w:tcW w:w="5369" w:type="dxa"/>
            <w:tcBorders>
              <w:top w:val="nil"/>
              <w:left w:val="single" w:sz="4" w:space="0" w:color="auto"/>
              <w:bottom w:val="single" w:sz="8" w:space="0" w:color="auto"/>
              <w:right w:val="single" w:sz="4" w:space="0" w:color="auto"/>
            </w:tcBorders>
            <w:shd w:val="clear" w:color="auto" w:fill="auto"/>
            <w:vAlign w:val="center"/>
            <w:hideMark/>
          </w:tcPr>
          <w:p w:rsidR="002F556E" w:rsidRPr="002F556E" w:rsidRDefault="002F556E" w:rsidP="002F556E">
            <w:pPr>
              <w:spacing w:before="0" w:after="0"/>
              <w:jc w:val="lef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Provozovatelé maloobchodních a velkoobchodních prodejen, prodavači a příbuzní pracovníci v prodejnách</w:t>
            </w:r>
          </w:p>
        </w:tc>
        <w:tc>
          <w:tcPr>
            <w:tcW w:w="1074" w:type="dxa"/>
            <w:tcBorders>
              <w:top w:val="nil"/>
              <w:left w:val="nil"/>
              <w:bottom w:val="single" w:sz="8" w:space="0" w:color="auto"/>
              <w:right w:val="single" w:sz="4" w:space="0" w:color="auto"/>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3 653</w:t>
            </w:r>
          </w:p>
        </w:tc>
        <w:tc>
          <w:tcPr>
            <w:tcW w:w="1074" w:type="dxa"/>
            <w:tcBorders>
              <w:top w:val="nil"/>
              <w:left w:val="nil"/>
              <w:bottom w:val="single" w:sz="8" w:space="0" w:color="auto"/>
              <w:right w:val="nil"/>
            </w:tcBorders>
            <w:shd w:val="clear" w:color="auto" w:fill="auto"/>
            <w:vAlign w:val="center"/>
            <w:hideMark/>
          </w:tcPr>
          <w:p w:rsidR="002F556E" w:rsidRPr="002F556E" w:rsidRDefault="002F556E" w:rsidP="002F556E">
            <w:pPr>
              <w:spacing w:before="0" w:after="0"/>
              <w:jc w:val="right"/>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1,69%</w:t>
            </w:r>
          </w:p>
        </w:tc>
        <w:tc>
          <w:tcPr>
            <w:tcW w:w="1074" w:type="dxa"/>
            <w:tcBorders>
              <w:top w:val="nil"/>
              <w:left w:val="single" w:sz="8" w:space="0" w:color="auto"/>
              <w:bottom w:val="single" w:sz="8" w:space="0" w:color="auto"/>
              <w:right w:val="single" w:sz="8" w:space="0" w:color="auto"/>
            </w:tcBorders>
            <w:shd w:val="clear" w:color="auto" w:fill="auto"/>
            <w:vAlign w:val="center"/>
            <w:hideMark/>
          </w:tcPr>
          <w:p w:rsidR="002F556E" w:rsidRPr="002F556E" w:rsidRDefault="002F556E" w:rsidP="002F556E">
            <w:pPr>
              <w:spacing w:before="0" w:after="0"/>
              <w:jc w:val="center"/>
              <w:rPr>
                <w:rFonts w:ascii="Calibri" w:eastAsia="Times New Roman" w:hAnsi="Calibri" w:cs="Times New Roman"/>
                <w:color w:val="000000"/>
                <w:sz w:val="20"/>
                <w:szCs w:val="20"/>
                <w:lang w:eastAsia="cs-CZ"/>
              </w:rPr>
            </w:pPr>
            <w:r w:rsidRPr="002F556E">
              <w:rPr>
                <w:rFonts w:ascii="Calibri" w:eastAsia="Times New Roman" w:hAnsi="Calibri" w:cs="Times New Roman"/>
                <w:color w:val="000000"/>
                <w:sz w:val="20"/>
                <w:szCs w:val="20"/>
                <w:lang w:eastAsia="cs-CZ"/>
              </w:rPr>
              <w:t>5,14</w:t>
            </w:r>
          </w:p>
        </w:tc>
      </w:tr>
      <w:tr w:rsidR="002F556E" w:rsidRPr="002F556E" w:rsidTr="002F556E">
        <w:trPr>
          <w:trHeight w:val="331"/>
        </w:trPr>
        <w:tc>
          <w:tcPr>
            <w:tcW w:w="627" w:type="dxa"/>
            <w:tcBorders>
              <w:top w:val="nil"/>
              <w:left w:val="single" w:sz="8" w:space="0" w:color="auto"/>
              <w:bottom w:val="single" w:sz="8" w:space="0" w:color="auto"/>
              <w:right w:val="nil"/>
            </w:tcBorders>
            <w:shd w:val="clear" w:color="auto" w:fill="auto"/>
            <w:noWrap/>
            <w:vAlign w:val="center"/>
            <w:hideMark/>
          </w:tcPr>
          <w:p w:rsidR="002F556E" w:rsidRPr="002F556E" w:rsidRDefault="002F556E" w:rsidP="002F556E">
            <w:pPr>
              <w:spacing w:before="0" w:after="0"/>
              <w:jc w:val="right"/>
              <w:rPr>
                <w:rFonts w:ascii="Calibri" w:eastAsia="Times New Roman" w:hAnsi="Calibri" w:cs="Times New Roman"/>
                <w:i/>
                <w:iCs/>
                <w:color w:val="000000"/>
                <w:sz w:val="20"/>
                <w:szCs w:val="20"/>
                <w:lang w:eastAsia="cs-CZ"/>
              </w:rPr>
            </w:pPr>
            <w:r w:rsidRPr="002F556E">
              <w:rPr>
                <w:rFonts w:ascii="Calibri" w:eastAsia="Times New Roman" w:hAnsi="Calibri" w:cs="Times New Roman"/>
                <w:i/>
                <w:iCs/>
                <w:color w:val="000000"/>
                <w:sz w:val="20"/>
                <w:szCs w:val="20"/>
                <w:lang w:eastAsia="cs-CZ"/>
              </w:rPr>
              <w:t>PZN:</w:t>
            </w:r>
          </w:p>
        </w:tc>
        <w:tc>
          <w:tcPr>
            <w:tcW w:w="8591" w:type="dxa"/>
            <w:gridSpan w:val="4"/>
            <w:tcBorders>
              <w:top w:val="nil"/>
              <w:left w:val="nil"/>
              <w:bottom w:val="single" w:sz="8" w:space="0" w:color="auto"/>
              <w:right w:val="single" w:sz="8" w:space="0" w:color="000000"/>
            </w:tcBorders>
            <w:shd w:val="clear" w:color="auto" w:fill="auto"/>
            <w:vAlign w:val="center"/>
            <w:hideMark/>
          </w:tcPr>
          <w:p w:rsidR="009A6A6C" w:rsidRDefault="002F556E" w:rsidP="009A6A6C">
            <w:pPr>
              <w:spacing w:before="0" w:after="0"/>
              <w:rPr>
                <w:rFonts w:ascii="Calibri" w:eastAsia="Times New Roman" w:hAnsi="Calibri" w:cs="Times New Roman"/>
                <w:i/>
                <w:iCs/>
                <w:color w:val="000000"/>
                <w:sz w:val="20"/>
                <w:szCs w:val="20"/>
                <w:lang w:eastAsia="cs-CZ"/>
              </w:rPr>
            </w:pPr>
            <w:r w:rsidRPr="002F556E">
              <w:rPr>
                <w:rFonts w:ascii="Calibri" w:eastAsia="Times New Roman" w:hAnsi="Calibri" w:cs="Times New Roman"/>
                <w:i/>
                <w:iCs/>
                <w:color w:val="000000"/>
                <w:sz w:val="20"/>
                <w:szCs w:val="20"/>
                <w:lang w:eastAsia="cs-CZ"/>
              </w:rPr>
              <w:t>Výčet obsahuje VPM podle skupin CZ-ISCO, jejichž podíl činí více jak 1 % z hlášených VPM, výčet celkem pokrývá 77,4 % hlášených VPM</w:t>
            </w:r>
            <w:r>
              <w:rPr>
                <w:rFonts w:ascii="Calibri" w:eastAsia="Times New Roman" w:hAnsi="Calibri" w:cs="Times New Roman"/>
                <w:i/>
                <w:iCs/>
                <w:color w:val="000000"/>
                <w:sz w:val="20"/>
                <w:szCs w:val="20"/>
                <w:lang w:eastAsia="cs-CZ"/>
              </w:rPr>
              <w:t xml:space="preserve">. </w:t>
            </w:r>
          </w:p>
          <w:p w:rsidR="002F556E" w:rsidRPr="002F556E" w:rsidRDefault="002F556E" w:rsidP="009A6A6C">
            <w:pPr>
              <w:spacing w:after="0"/>
              <w:rPr>
                <w:rFonts w:ascii="Calibri" w:eastAsia="Times New Roman" w:hAnsi="Calibri" w:cs="Times New Roman"/>
                <w:i/>
                <w:iCs/>
                <w:color w:val="000000"/>
                <w:sz w:val="20"/>
                <w:szCs w:val="20"/>
                <w:lang w:eastAsia="cs-CZ"/>
              </w:rPr>
            </w:pPr>
            <w:r>
              <w:rPr>
                <w:rFonts w:ascii="Calibri" w:eastAsia="Times New Roman" w:hAnsi="Calibri" w:cs="Times New Roman"/>
                <w:i/>
                <w:iCs/>
                <w:color w:val="000000"/>
                <w:sz w:val="20"/>
                <w:szCs w:val="20"/>
                <w:lang w:eastAsia="cs-CZ"/>
              </w:rPr>
              <w:t xml:space="preserve">Seřazeno podle počtu </w:t>
            </w:r>
            <w:proofErr w:type="spellStart"/>
            <w:r>
              <w:rPr>
                <w:rFonts w:ascii="Calibri" w:eastAsia="Times New Roman" w:hAnsi="Calibri" w:cs="Times New Roman"/>
                <w:i/>
                <w:iCs/>
                <w:color w:val="000000"/>
                <w:sz w:val="20"/>
                <w:szCs w:val="20"/>
                <w:lang w:eastAsia="cs-CZ"/>
              </w:rPr>
              <w:t>UoZ</w:t>
            </w:r>
            <w:proofErr w:type="spellEnd"/>
            <w:r>
              <w:rPr>
                <w:rFonts w:ascii="Calibri" w:eastAsia="Times New Roman" w:hAnsi="Calibri" w:cs="Times New Roman"/>
                <w:i/>
                <w:iCs/>
                <w:color w:val="000000"/>
                <w:sz w:val="20"/>
                <w:szCs w:val="20"/>
                <w:lang w:eastAsia="cs-CZ"/>
              </w:rPr>
              <w:t xml:space="preserve">/VPM, červená čára odděluje podprůměrné hodnoty </w:t>
            </w:r>
            <w:proofErr w:type="spellStart"/>
            <w:r>
              <w:rPr>
                <w:rFonts w:ascii="Calibri" w:eastAsia="Times New Roman" w:hAnsi="Calibri" w:cs="Times New Roman"/>
                <w:i/>
                <w:iCs/>
                <w:color w:val="000000"/>
                <w:sz w:val="20"/>
                <w:szCs w:val="20"/>
                <w:lang w:eastAsia="cs-CZ"/>
              </w:rPr>
              <w:t>UoZ</w:t>
            </w:r>
            <w:proofErr w:type="spellEnd"/>
            <w:r>
              <w:rPr>
                <w:rFonts w:ascii="Calibri" w:eastAsia="Times New Roman" w:hAnsi="Calibri" w:cs="Times New Roman"/>
                <w:i/>
                <w:iCs/>
                <w:color w:val="000000"/>
                <w:sz w:val="20"/>
                <w:szCs w:val="20"/>
                <w:lang w:eastAsia="cs-CZ"/>
              </w:rPr>
              <w:t>/VPM od nadprůměrných</w:t>
            </w:r>
            <w:r w:rsidR="009A6A6C">
              <w:rPr>
                <w:rFonts w:ascii="Calibri" w:eastAsia="Times New Roman" w:hAnsi="Calibri" w:cs="Times New Roman"/>
                <w:i/>
                <w:iCs/>
                <w:color w:val="000000"/>
                <w:sz w:val="20"/>
                <w:szCs w:val="20"/>
                <w:lang w:eastAsia="cs-CZ"/>
              </w:rPr>
              <w:t xml:space="preserve">, </w:t>
            </w:r>
            <w:proofErr w:type="gramStart"/>
            <w:r w:rsidR="009A6A6C">
              <w:rPr>
                <w:rFonts w:ascii="Calibri" w:eastAsia="Times New Roman" w:hAnsi="Calibri" w:cs="Times New Roman"/>
                <w:i/>
                <w:iCs/>
                <w:color w:val="000000"/>
                <w:sz w:val="20"/>
                <w:szCs w:val="20"/>
                <w:lang w:eastAsia="cs-CZ"/>
              </w:rPr>
              <w:t>tzn.</w:t>
            </w:r>
            <w:proofErr w:type="gramEnd"/>
            <w:r w:rsidR="009A6A6C">
              <w:rPr>
                <w:rFonts w:ascii="Calibri" w:eastAsia="Times New Roman" w:hAnsi="Calibri" w:cs="Times New Roman"/>
                <w:i/>
                <w:iCs/>
                <w:color w:val="000000"/>
                <w:sz w:val="20"/>
                <w:szCs w:val="20"/>
                <w:lang w:eastAsia="cs-CZ"/>
              </w:rPr>
              <w:t xml:space="preserve"> od této čáry výše </w:t>
            </w:r>
            <w:proofErr w:type="gramStart"/>
            <w:r w:rsidR="009A6A6C">
              <w:rPr>
                <w:rFonts w:ascii="Calibri" w:eastAsia="Times New Roman" w:hAnsi="Calibri" w:cs="Times New Roman"/>
                <w:i/>
                <w:iCs/>
                <w:color w:val="000000"/>
                <w:sz w:val="20"/>
                <w:szCs w:val="20"/>
                <w:lang w:eastAsia="cs-CZ"/>
              </w:rPr>
              <w:t>jsou</w:t>
            </w:r>
            <w:proofErr w:type="gramEnd"/>
            <w:r w:rsidR="009A6A6C">
              <w:rPr>
                <w:rFonts w:ascii="Calibri" w:eastAsia="Times New Roman" w:hAnsi="Calibri" w:cs="Times New Roman"/>
                <w:i/>
                <w:iCs/>
                <w:color w:val="000000"/>
                <w:sz w:val="20"/>
                <w:szCs w:val="20"/>
                <w:lang w:eastAsia="cs-CZ"/>
              </w:rPr>
              <w:t xml:space="preserve"> zaměstnání s výraznějším nedostatkem </w:t>
            </w:r>
            <w:proofErr w:type="spellStart"/>
            <w:r w:rsidR="009A6A6C">
              <w:rPr>
                <w:rFonts w:ascii="Calibri" w:eastAsia="Times New Roman" w:hAnsi="Calibri" w:cs="Times New Roman"/>
                <w:i/>
                <w:iCs/>
                <w:color w:val="000000"/>
                <w:sz w:val="20"/>
                <w:szCs w:val="20"/>
                <w:lang w:eastAsia="cs-CZ"/>
              </w:rPr>
              <w:t>UoZ</w:t>
            </w:r>
            <w:proofErr w:type="spellEnd"/>
            <w:r w:rsidR="009A6A6C">
              <w:rPr>
                <w:rFonts w:ascii="Calibri" w:eastAsia="Times New Roman" w:hAnsi="Calibri" w:cs="Times New Roman"/>
                <w:i/>
                <w:iCs/>
                <w:color w:val="000000"/>
                <w:sz w:val="20"/>
                <w:szCs w:val="20"/>
                <w:lang w:eastAsia="cs-CZ"/>
              </w:rPr>
              <w:t xml:space="preserve"> než průměr za všechna zaměstnání, níže naopak zaměstnání s menším nedostatkem </w:t>
            </w:r>
            <w:proofErr w:type="spellStart"/>
            <w:r w:rsidR="009A6A6C">
              <w:rPr>
                <w:rFonts w:ascii="Calibri" w:eastAsia="Times New Roman" w:hAnsi="Calibri" w:cs="Times New Roman"/>
                <w:i/>
                <w:iCs/>
                <w:color w:val="000000"/>
                <w:sz w:val="20"/>
                <w:szCs w:val="20"/>
                <w:lang w:eastAsia="cs-CZ"/>
              </w:rPr>
              <w:t>UoZ</w:t>
            </w:r>
            <w:proofErr w:type="spellEnd"/>
          </w:p>
        </w:tc>
      </w:tr>
    </w:tbl>
    <w:p w:rsidR="008F7C8B" w:rsidRDefault="008F7C8B" w:rsidP="009A6A6C"/>
    <w:p w:rsidR="00F977A3" w:rsidRDefault="009A6A6C" w:rsidP="009A6A6C">
      <w:r>
        <w:t xml:space="preserve">Z výše uvedené tabulky vyplývá jako nejproblematičtější, co se týče zabezpečení dostatečného počtu vhodné pracovní síly z řad uchazečů o zaměstnání, podskupina klasifikace CZ-ISCO </w:t>
      </w:r>
      <w:r>
        <w:rPr>
          <w:b/>
          <w:i/>
        </w:rPr>
        <w:t>821 - Montážní dělníci výrobků a zařízení</w:t>
      </w:r>
      <w:r>
        <w:rPr>
          <w:b/>
        </w:rPr>
        <w:t xml:space="preserve">, </w:t>
      </w:r>
      <w:r>
        <w:t xml:space="preserve">která je jednak nejpočetnější skupinou v nabídce volných pracovních míst, přes 11 %, a zároveň na jedno VPM v této skupině připadá 0,2 uchazeče o zaměstnání. Citelný nedostatek je pak zjevný i u dalších podskupin: </w:t>
      </w:r>
      <w:r w:rsidRPr="009A6A6C">
        <w:rPr>
          <w:i/>
        </w:rPr>
        <w:t>721-Slévači, svářeči a příbuzní pracovníci, 931-Pomocní pracovníci v oblasti těžby a stavebnictví, 833-Řidiči nákladních automobilů, autobusů a tramvají, 722-Kováři, nástrojaři a příbuzní pracovníci</w:t>
      </w:r>
      <w:r>
        <w:t xml:space="preserve">, které mají v nabídce VPM více jak 3% zastoupení a na 1 VPM připadá méně jak 0,5 </w:t>
      </w:r>
      <w:proofErr w:type="spellStart"/>
      <w:r>
        <w:t>UoZ</w:t>
      </w:r>
      <w:proofErr w:type="spellEnd"/>
      <w:r>
        <w:t>.</w:t>
      </w:r>
      <w:r w:rsidR="00F977A3">
        <w:t xml:space="preserve"> Naopak v případě druhé nejdominantnější podskupiny mezi nabízenými VPM, </w:t>
      </w:r>
      <w:r w:rsidR="00F977A3">
        <w:rPr>
          <w:i/>
        </w:rPr>
        <w:t>932-Pomocní pracovníci ve výrobě</w:t>
      </w:r>
      <w:r w:rsidR="00F977A3">
        <w:t xml:space="preserve">, se stále o 1 VPM uchází 1,8 </w:t>
      </w:r>
      <w:proofErr w:type="spellStart"/>
      <w:r w:rsidR="00F977A3">
        <w:t>UoZ</w:t>
      </w:r>
      <w:proofErr w:type="spellEnd"/>
      <w:r w:rsidR="00F977A3">
        <w:t>, což je více než v průměru, nicméně i tak se jedná o velmi nízkou úroveň.</w:t>
      </w:r>
    </w:p>
    <w:p w:rsidR="00F977A3" w:rsidRDefault="00F977A3" w:rsidP="00F977A3">
      <w:pPr>
        <w:pStyle w:val="Titulek"/>
        <w:keepNext/>
      </w:pPr>
      <w:bookmarkStart w:id="52" w:name="_Ref508385729"/>
      <w:bookmarkStart w:id="53" w:name="_Toc508704227"/>
      <w:r>
        <w:t xml:space="preserve">Tabulka </w:t>
      </w:r>
      <w:r w:rsidR="007B53ED">
        <w:fldChar w:fldCharType="begin"/>
      </w:r>
      <w:r w:rsidR="007B53ED">
        <w:instrText xml:space="preserve"> SEQ Tabulka \* ARABIC </w:instrText>
      </w:r>
      <w:r w:rsidR="007B53ED">
        <w:fldChar w:fldCharType="separate"/>
      </w:r>
      <w:r w:rsidR="00F41CBA">
        <w:rPr>
          <w:noProof/>
        </w:rPr>
        <w:t>8</w:t>
      </w:r>
      <w:r w:rsidR="007B53ED">
        <w:rPr>
          <w:noProof/>
        </w:rPr>
        <w:fldChar w:fldCharType="end"/>
      </w:r>
      <w:bookmarkEnd w:id="52"/>
      <w:r>
        <w:t xml:space="preserve"> Nejčastěji zastoupené podskupiny klasifikace CZ-ISCO mezi </w:t>
      </w:r>
      <w:proofErr w:type="spellStart"/>
      <w:r>
        <w:t>UoZ</w:t>
      </w:r>
      <w:proofErr w:type="spellEnd"/>
      <w:r>
        <w:t xml:space="preserve"> k 31. 12. 2017</w:t>
      </w:r>
      <w:bookmarkEnd w:id="53"/>
    </w:p>
    <w:tbl>
      <w:tblPr>
        <w:tblW w:w="9083" w:type="dxa"/>
        <w:tblInd w:w="60" w:type="dxa"/>
        <w:tblLayout w:type="fixed"/>
        <w:tblCellMar>
          <w:left w:w="70" w:type="dxa"/>
          <w:right w:w="70" w:type="dxa"/>
        </w:tblCellMar>
        <w:tblLook w:val="04A0" w:firstRow="1" w:lastRow="0" w:firstColumn="1" w:lastColumn="0" w:noHBand="0" w:noVBand="1"/>
      </w:tblPr>
      <w:tblGrid>
        <w:gridCol w:w="720"/>
        <w:gridCol w:w="5244"/>
        <w:gridCol w:w="991"/>
        <w:gridCol w:w="994"/>
        <w:gridCol w:w="1134"/>
      </w:tblGrid>
      <w:tr w:rsidR="00F977A3" w:rsidRPr="00F977A3" w:rsidTr="00BA1762">
        <w:trPr>
          <w:trHeight w:val="571"/>
        </w:trPr>
        <w:tc>
          <w:tcPr>
            <w:tcW w:w="596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F977A3" w:rsidRPr="00F977A3" w:rsidRDefault="00F977A3" w:rsidP="00F977A3">
            <w:pPr>
              <w:spacing w:before="0" w:after="0"/>
              <w:jc w:val="center"/>
              <w:rPr>
                <w:rFonts w:ascii="Calibri" w:eastAsia="Times New Roman" w:hAnsi="Calibri" w:cs="Times New Roman"/>
                <w:b/>
                <w:bCs/>
                <w:color w:val="000000"/>
                <w:sz w:val="20"/>
                <w:szCs w:val="20"/>
                <w:lang w:eastAsia="cs-CZ"/>
              </w:rPr>
            </w:pPr>
            <w:r w:rsidRPr="00F977A3">
              <w:rPr>
                <w:rFonts w:ascii="Calibri" w:eastAsia="Times New Roman" w:hAnsi="Calibri" w:cs="Times New Roman"/>
                <w:b/>
                <w:bCs/>
                <w:color w:val="000000"/>
                <w:sz w:val="20"/>
                <w:szCs w:val="20"/>
                <w:lang w:eastAsia="cs-CZ"/>
              </w:rPr>
              <w:t>Profese podle CZ-ISCO</w:t>
            </w:r>
          </w:p>
        </w:tc>
        <w:tc>
          <w:tcPr>
            <w:tcW w:w="1985" w:type="dxa"/>
            <w:gridSpan w:val="2"/>
            <w:tcBorders>
              <w:top w:val="single" w:sz="8" w:space="0" w:color="auto"/>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center"/>
              <w:rPr>
                <w:rFonts w:ascii="Calibri" w:eastAsia="Times New Roman" w:hAnsi="Calibri" w:cs="Times New Roman"/>
                <w:b/>
                <w:bCs/>
                <w:color w:val="000000"/>
                <w:sz w:val="20"/>
                <w:szCs w:val="20"/>
                <w:lang w:eastAsia="cs-CZ"/>
              </w:rPr>
            </w:pPr>
            <w:r w:rsidRPr="00F977A3">
              <w:rPr>
                <w:rFonts w:ascii="Calibri" w:eastAsia="Times New Roman" w:hAnsi="Calibri" w:cs="Times New Roman"/>
                <w:b/>
                <w:bCs/>
                <w:color w:val="000000"/>
                <w:sz w:val="20"/>
                <w:szCs w:val="20"/>
                <w:lang w:eastAsia="cs-CZ"/>
              </w:rPr>
              <w:t>Nabídka pracovní síly (uchazeči o zaměstnání)</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rsidR="00F977A3" w:rsidRPr="00F977A3" w:rsidRDefault="00F977A3" w:rsidP="00F977A3">
            <w:pPr>
              <w:spacing w:before="0" w:after="0"/>
              <w:jc w:val="center"/>
              <w:rPr>
                <w:rFonts w:ascii="Calibri" w:eastAsia="Times New Roman" w:hAnsi="Calibri" w:cs="Times New Roman"/>
                <w:b/>
                <w:bCs/>
                <w:color w:val="000000"/>
                <w:sz w:val="20"/>
                <w:szCs w:val="20"/>
                <w:lang w:eastAsia="cs-CZ"/>
              </w:rPr>
            </w:pPr>
            <w:proofErr w:type="spellStart"/>
            <w:r w:rsidRPr="00F977A3">
              <w:rPr>
                <w:rFonts w:ascii="Calibri" w:eastAsia="Times New Roman" w:hAnsi="Calibri" w:cs="Times New Roman"/>
                <w:b/>
                <w:bCs/>
                <w:color w:val="000000"/>
                <w:sz w:val="20"/>
                <w:szCs w:val="20"/>
                <w:lang w:eastAsia="cs-CZ"/>
              </w:rPr>
              <w:t>UoZ</w:t>
            </w:r>
            <w:proofErr w:type="spellEnd"/>
            <w:r w:rsidRPr="00F977A3">
              <w:rPr>
                <w:rFonts w:ascii="Calibri" w:eastAsia="Times New Roman" w:hAnsi="Calibri" w:cs="Times New Roman"/>
                <w:b/>
                <w:bCs/>
                <w:color w:val="000000"/>
                <w:sz w:val="20"/>
                <w:szCs w:val="20"/>
                <w:lang w:eastAsia="cs-CZ"/>
              </w:rPr>
              <w:t>/VPM</w:t>
            </w:r>
          </w:p>
        </w:tc>
      </w:tr>
      <w:tr w:rsidR="00F977A3" w:rsidRPr="00F977A3" w:rsidTr="00BA1762">
        <w:trPr>
          <w:trHeight w:val="195"/>
        </w:trPr>
        <w:tc>
          <w:tcPr>
            <w:tcW w:w="720" w:type="dxa"/>
            <w:tcBorders>
              <w:top w:val="nil"/>
              <w:left w:val="single" w:sz="8" w:space="0" w:color="auto"/>
              <w:bottom w:val="single" w:sz="8" w:space="0" w:color="auto"/>
              <w:right w:val="single" w:sz="4" w:space="0" w:color="auto"/>
            </w:tcBorders>
            <w:shd w:val="clear" w:color="auto" w:fill="auto"/>
            <w:vAlign w:val="bottom"/>
            <w:hideMark/>
          </w:tcPr>
          <w:p w:rsidR="00F977A3" w:rsidRPr="00F977A3" w:rsidRDefault="00F977A3" w:rsidP="00F977A3">
            <w:pPr>
              <w:spacing w:before="0" w:after="0"/>
              <w:jc w:val="lef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kód </w:t>
            </w:r>
          </w:p>
        </w:tc>
        <w:tc>
          <w:tcPr>
            <w:tcW w:w="5244" w:type="dxa"/>
            <w:tcBorders>
              <w:top w:val="nil"/>
              <w:left w:val="nil"/>
              <w:bottom w:val="single" w:sz="8" w:space="0" w:color="auto"/>
              <w:right w:val="single" w:sz="4" w:space="0" w:color="auto"/>
            </w:tcBorders>
            <w:shd w:val="clear" w:color="auto" w:fill="auto"/>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text </w:t>
            </w:r>
          </w:p>
        </w:tc>
        <w:tc>
          <w:tcPr>
            <w:tcW w:w="991" w:type="dxa"/>
            <w:tcBorders>
              <w:top w:val="nil"/>
              <w:left w:val="nil"/>
              <w:bottom w:val="single" w:sz="8" w:space="0" w:color="auto"/>
              <w:right w:val="single" w:sz="4" w:space="0" w:color="auto"/>
            </w:tcBorders>
            <w:shd w:val="clear" w:color="auto" w:fill="auto"/>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proofErr w:type="spellStart"/>
            <w:r w:rsidRPr="00F977A3">
              <w:rPr>
                <w:rFonts w:ascii="Calibri" w:eastAsia="Times New Roman" w:hAnsi="Calibri" w:cs="Times New Roman"/>
                <w:color w:val="000000"/>
                <w:sz w:val="20"/>
                <w:szCs w:val="20"/>
                <w:lang w:eastAsia="cs-CZ"/>
              </w:rPr>
              <w:t>abs</w:t>
            </w:r>
            <w:proofErr w:type="spellEnd"/>
            <w:r w:rsidRPr="00F977A3">
              <w:rPr>
                <w:rFonts w:ascii="Calibri" w:eastAsia="Times New Roman" w:hAnsi="Calibri" w:cs="Times New Roman"/>
                <w:color w:val="000000"/>
                <w:sz w:val="20"/>
                <w:szCs w:val="20"/>
                <w:lang w:eastAsia="cs-CZ"/>
              </w:rPr>
              <w:t>. </w:t>
            </w:r>
          </w:p>
        </w:tc>
        <w:tc>
          <w:tcPr>
            <w:tcW w:w="993" w:type="dxa"/>
            <w:tcBorders>
              <w:top w:val="nil"/>
              <w:left w:val="nil"/>
              <w:bottom w:val="single" w:sz="8" w:space="0" w:color="auto"/>
              <w:right w:val="nil"/>
            </w:tcBorders>
            <w:shd w:val="clear" w:color="auto" w:fill="auto"/>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proofErr w:type="spellStart"/>
            <w:r w:rsidRPr="00F977A3">
              <w:rPr>
                <w:rFonts w:ascii="Calibri" w:eastAsia="Times New Roman" w:hAnsi="Calibri" w:cs="Times New Roman"/>
                <w:color w:val="000000"/>
                <w:sz w:val="20"/>
                <w:szCs w:val="20"/>
                <w:lang w:eastAsia="cs-CZ"/>
              </w:rPr>
              <w:t>rel</w:t>
            </w:r>
            <w:proofErr w:type="spellEnd"/>
            <w:r w:rsidRPr="00F977A3">
              <w:rPr>
                <w:rFonts w:ascii="Calibri" w:eastAsia="Times New Roman" w:hAnsi="Calibri" w:cs="Times New Roman"/>
                <w:color w:val="000000"/>
                <w:sz w:val="20"/>
                <w:szCs w:val="20"/>
                <w:lang w:eastAsia="cs-CZ"/>
              </w:rPr>
              <w:t>. </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 </w:t>
            </w:r>
          </w:p>
        </w:tc>
      </w:tr>
      <w:tr w:rsidR="00F977A3" w:rsidRPr="00F977A3" w:rsidTr="00BA1762">
        <w:trPr>
          <w:trHeight w:val="183"/>
        </w:trPr>
        <w:tc>
          <w:tcPr>
            <w:tcW w:w="720" w:type="dxa"/>
            <w:tcBorders>
              <w:top w:val="nil"/>
              <w:left w:val="single" w:sz="8" w:space="0" w:color="auto"/>
              <w:bottom w:val="single" w:sz="8" w:space="0" w:color="auto"/>
              <w:right w:val="single" w:sz="4" w:space="0" w:color="auto"/>
            </w:tcBorders>
            <w:shd w:val="clear" w:color="auto" w:fill="auto"/>
            <w:vAlign w:val="center"/>
            <w:hideMark/>
          </w:tcPr>
          <w:p w:rsidR="00F977A3" w:rsidRPr="00F977A3" w:rsidRDefault="00F977A3" w:rsidP="00F977A3">
            <w:pPr>
              <w:spacing w:before="0" w:after="0"/>
              <w:jc w:val="left"/>
              <w:rPr>
                <w:rFonts w:ascii="Calibri" w:eastAsia="Times New Roman" w:hAnsi="Calibri" w:cs="Times New Roman"/>
                <w:b/>
                <w:bCs/>
                <w:color w:val="000000"/>
                <w:sz w:val="20"/>
                <w:szCs w:val="20"/>
                <w:lang w:eastAsia="cs-CZ"/>
              </w:rPr>
            </w:pPr>
            <w:r w:rsidRPr="00F977A3">
              <w:rPr>
                <w:rFonts w:ascii="Calibri" w:eastAsia="Times New Roman" w:hAnsi="Calibri" w:cs="Times New Roman"/>
                <w:b/>
                <w:bCs/>
                <w:color w:val="000000"/>
                <w:sz w:val="20"/>
                <w:szCs w:val="20"/>
                <w:lang w:eastAsia="cs-CZ"/>
              </w:rPr>
              <w:t> </w:t>
            </w:r>
          </w:p>
        </w:tc>
        <w:tc>
          <w:tcPr>
            <w:tcW w:w="5244" w:type="dxa"/>
            <w:tcBorders>
              <w:top w:val="nil"/>
              <w:left w:val="nil"/>
              <w:bottom w:val="single" w:sz="8" w:space="0" w:color="auto"/>
              <w:right w:val="single" w:sz="4" w:space="0" w:color="auto"/>
            </w:tcBorders>
            <w:shd w:val="clear" w:color="auto" w:fill="auto"/>
            <w:vAlign w:val="center"/>
            <w:hideMark/>
          </w:tcPr>
          <w:p w:rsidR="00F977A3" w:rsidRPr="00F977A3" w:rsidRDefault="00F977A3" w:rsidP="00F977A3">
            <w:pPr>
              <w:spacing w:before="0" w:after="0"/>
              <w:jc w:val="left"/>
              <w:rPr>
                <w:rFonts w:ascii="Calibri" w:eastAsia="Times New Roman" w:hAnsi="Calibri" w:cs="Times New Roman"/>
                <w:b/>
                <w:bCs/>
                <w:color w:val="000000"/>
                <w:sz w:val="20"/>
                <w:szCs w:val="20"/>
                <w:lang w:eastAsia="cs-CZ"/>
              </w:rPr>
            </w:pPr>
            <w:r w:rsidRPr="00F977A3">
              <w:rPr>
                <w:rFonts w:ascii="Calibri" w:eastAsia="Times New Roman" w:hAnsi="Calibri" w:cs="Times New Roman"/>
                <w:b/>
                <w:bCs/>
                <w:color w:val="000000"/>
                <w:sz w:val="20"/>
                <w:szCs w:val="20"/>
                <w:lang w:eastAsia="cs-CZ"/>
              </w:rPr>
              <w:t>Celkem</w:t>
            </w:r>
          </w:p>
        </w:tc>
        <w:tc>
          <w:tcPr>
            <w:tcW w:w="991" w:type="dxa"/>
            <w:tcBorders>
              <w:top w:val="nil"/>
              <w:left w:val="nil"/>
              <w:bottom w:val="single" w:sz="8"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b/>
                <w:bCs/>
                <w:color w:val="000000"/>
                <w:sz w:val="20"/>
                <w:szCs w:val="20"/>
                <w:lang w:eastAsia="cs-CZ"/>
              </w:rPr>
            </w:pPr>
            <w:r w:rsidRPr="00F977A3">
              <w:rPr>
                <w:rFonts w:ascii="Calibri" w:eastAsia="Times New Roman" w:hAnsi="Calibri" w:cs="Times New Roman"/>
                <w:b/>
                <w:bCs/>
                <w:color w:val="000000"/>
                <w:sz w:val="20"/>
                <w:szCs w:val="20"/>
                <w:lang w:eastAsia="cs-CZ"/>
              </w:rPr>
              <w:t>280 620</w:t>
            </w:r>
          </w:p>
        </w:tc>
        <w:tc>
          <w:tcPr>
            <w:tcW w:w="993" w:type="dxa"/>
            <w:tcBorders>
              <w:top w:val="nil"/>
              <w:left w:val="nil"/>
              <w:bottom w:val="single" w:sz="8"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b/>
                <w:bCs/>
                <w:color w:val="000000"/>
                <w:sz w:val="20"/>
                <w:szCs w:val="20"/>
                <w:lang w:eastAsia="cs-CZ"/>
              </w:rPr>
            </w:pPr>
            <w:r w:rsidRPr="00F977A3">
              <w:rPr>
                <w:rFonts w:ascii="Calibri" w:eastAsia="Times New Roman" w:hAnsi="Calibri" w:cs="Times New Roman"/>
                <w:b/>
                <w:bCs/>
                <w:color w:val="000000"/>
                <w:sz w:val="20"/>
                <w:szCs w:val="20"/>
                <w:lang w:eastAsia="cs-CZ"/>
              </w:rPr>
              <w:t>100%</w:t>
            </w:r>
          </w:p>
        </w:tc>
        <w:tc>
          <w:tcPr>
            <w:tcW w:w="1134" w:type="dxa"/>
            <w:tcBorders>
              <w:top w:val="nil"/>
              <w:left w:val="nil"/>
              <w:bottom w:val="single" w:sz="8" w:space="0" w:color="auto"/>
              <w:right w:val="single" w:sz="8" w:space="0" w:color="auto"/>
            </w:tcBorders>
            <w:shd w:val="clear" w:color="auto" w:fill="auto"/>
            <w:vAlign w:val="center"/>
            <w:hideMark/>
          </w:tcPr>
          <w:p w:rsidR="00F977A3" w:rsidRPr="00F977A3" w:rsidRDefault="00F977A3" w:rsidP="00F977A3">
            <w:pPr>
              <w:spacing w:before="0" w:after="0"/>
              <w:jc w:val="center"/>
              <w:rPr>
                <w:rFonts w:ascii="Calibri" w:eastAsia="Times New Roman" w:hAnsi="Calibri" w:cs="Times New Roman"/>
                <w:b/>
                <w:bCs/>
                <w:color w:val="000000"/>
                <w:sz w:val="20"/>
                <w:szCs w:val="20"/>
                <w:lang w:eastAsia="cs-CZ"/>
              </w:rPr>
            </w:pPr>
            <w:r w:rsidRPr="00F977A3">
              <w:rPr>
                <w:rFonts w:ascii="Calibri" w:eastAsia="Times New Roman" w:hAnsi="Calibri" w:cs="Times New Roman"/>
                <w:b/>
                <w:bCs/>
                <w:color w:val="000000"/>
                <w:sz w:val="20"/>
                <w:szCs w:val="20"/>
                <w:lang w:eastAsia="cs-CZ"/>
              </w:rPr>
              <w:t>1,29</w:t>
            </w:r>
          </w:p>
        </w:tc>
      </w:tr>
      <w:tr w:rsidR="00F977A3" w:rsidRPr="00F977A3" w:rsidTr="00BA1762">
        <w:trPr>
          <w:trHeight w:val="323"/>
        </w:trPr>
        <w:tc>
          <w:tcPr>
            <w:tcW w:w="720" w:type="dxa"/>
            <w:tcBorders>
              <w:top w:val="nil"/>
              <w:left w:val="single" w:sz="8" w:space="0" w:color="auto"/>
              <w:bottom w:val="single" w:sz="4" w:space="0" w:color="auto"/>
              <w:right w:val="nil"/>
            </w:tcBorders>
            <w:shd w:val="clear" w:color="auto" w:fill="F2DBDB" w:themeFill="accent2" w:themeFillTint="33"/>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411</w:t>
            </w:r>
          </w:p>
        </w:tc>
        <w:tc>
          <w:tcPr>
            <w:tcW w:w="5244" w:type="dxa"/>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F977A3" w:rsidRPr="00F977A3" w:rsidRDefault="00F977A3" w:rsidP="00F977A3">
            <w:pPr>
              <w:spacing w:before="0" w:after="0"/>
              <w:jc w:val="lef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Všeobecní administrativní pracovníci</w:t>
            </w:r>
          </w:p>
        </w:tc>
        <w:tc>
          <w:tcPr>
            <w:tcW w:w="991" w:type="dxa"/>
            <w:tcBorders>
              <w:top w:val="nil"/>
              <w:left w:val="nil"/>
              <w:bottom w:val="single" w:sz="4" w:space="0" w:color="auto"/>
              <w:right w:val="single" w:sz="4" w:space="0" w:color="auto"/>
            </w:tcBorders>
            <w:shd w:val="clear" w:color="auto" w:fill="F2DBDB" w:themeFill="accent2" w:themeFillTint="33"/>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20 109</w:t>
            </w:r>
          </w:p>
        </w:tc>
        <w:tc>
          <w:tcPr>
            <w:tcW w:w="993" w:type="dxa"/>
            <w:tcBorders>
              <w:top w:val="nil"/>
              <w:left w:val="nil"/>
              <w:bottom w:val="single" w:sz="4" w:space="0" w:color="auto"/>
              <w:right w:val="single" w:sz="4" w:space="0" w:color="auto"/>
            </w:tcBorders>
            <w:shd w:val="clear" w:color="auto" w:fill="F2DBDB" w:themeFill="accent2" w:themeFillTint="33"/>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7,17%</w:t>
            </w:r>
          </w:p>
        </w:tc>
        <w:tc>
          <w:tcPr>
            <w:tcW w:w="1134" w:type="dxa"/>
            <w:tcBorders>
              <w:top w:val="nil"/>
              <w:left w:val="nil"/>
              <w:bottom w:val="single" w:sz="4" w:space="0" w:color="auto"/>
              <w:right w:val="single" w:sz="8" w:space="0" w:color="auto"/>
            </w:tcBorders>
            <w:shd w:val="clear" w:color="auto" w:fill="F2DBDB" w:themeFill="accent2" w:themeFillTint="33"/>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15,18</w:t>
            </w:r>
          </w:p>
        </w:tc>
      </w:tr>
      <w:tr w:rsidR="00F977A3" w:rsidRPr="00F977A3" w:rsidTr="00BA1762">
        <w:trPr>
          <w:trHeight w:val="323"/>
        </w:trPr>
        <w:tc>
          <w:tcPr>
            <w:tcW w:w="720" w:type="dxa"/>
            <w:tcBorders>
              <w:top w:val="nil"/>
              <w:left w:val="single" w:sz="8" w:space="0" w:color="auto"/>
              <w:bottom w:val="single" w:sz="4" w:space="0" w:color="auto"/>
              <w:right w:val="nil"/>
            </w:tcBorders>
            <w:shd w:val="clear" w:color="auto" w:fill="F2DBDB" w:themeFill="accent2" w:themeFillTint="33"/>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832</w:t>
            </w:r>
          </w:p>
        </w:tc>
        <w:tc>
          <w:tcPr>
            <w:tcW w:w="5244" w:type="dxa"/>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F977A3" w:rsidRPr="00F977A3" w:rsidRDefault="00F977A3" w:rsidP="00F977A3">
            <w:pPr>
              <w:spacing w:before="0" w:after="0"/>
              <w:jc w:val="lef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Řidiči motocyklů a automobilů (kromě nákladních)</w:t>
            </w:r>
          </w:p>
        </w:tc>
        <w:tc>
          <w:tcPr>
            <w:tcW w:w="991" w:type="dxa"/>
            <w:tcBorders>
              <w:top w:val="nil"/>
              <w:left w:val="nil"/>
              <w:bottom w:val="single" w:sz="4" w:space="0" w:color="auto"/>
              <w:right w:val="single" w:sz="4" w:space="0" w:color="auto"/>
            </w:tcBorders>
            <w:shd w:val="clear" w:color="auto" w:fill="F2DBDB" w:themeFill="accent2" w:themeFillTint="33"/>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9 443</w:t>
            </w:r>
          </w:p>
        </w:tc>
        <w:tc>
          <w:tcPr>
            <w:tcW w:w="993" w:type="dxa"/>
            <w:tcBorders>
              <w:top w:val="nil"/>
              <w:left w:val="nil"/>
              <w:bottom w:val="single" w:sz="4" w:space="0" w:color="auto"/>
              <w:right w:val="single" w:sz="4" w:space="0" w:color="auto"/>
            </w:tcBorders>
            <w:shd w:val="clear" w:color="auto" w:fill="F2DBDB" w:themeFill="accent2" w:themeFillTint="33"/>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3,37%</w:t>
            </w:r>
          </w:p>
        </w:tc>
        <w:tc>
          <w:tcPr>
            <w:tcW w:w="1134" w:type="dxa"/>
            <w:tcBorders>
              <w:top w:val="nil"/>
              <w:left w:val="nil"/>
              <w:bottom w:val="single" w:sz="4" w:space="0" w:color="auto"/>
              <w:right w:val="single" w:sz="8" w:space="0" w:color="auto"/>
            </w:tcBorders>
            <w:shd w:val="clear" w:color="auto" w:fill="F2DBDB" w:themeFill="accent2" w:themeFillTint="33"/>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7,73</w:t>
            </w:r>
          </w:p>
        </w:tc>
      </w:tr>
      <w:tr w:rsidR="00F977A3" w:rsidRPr="00F977A3" w:rsidTr="00BA1762">
        <w:trPr>
          <w:trHeight w:val="323"/>
        </w:trPr>
        <w:tc>
          <w:tcPr>
            <w:tcW w:w="720" w:type="dxa"/>
            <w:tcBorders>
              <w:top w:val="nil"/>
              <w:left w:val="single" w:sz="8" w:space="0" w:color="auto"/>
              <w:bottom w:val="single" w:sz="4" w:space="0" w:color="auto"/>
              <w:right w:val="nil"/>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962</w:t>
            </w:r>
          </w:p>
        </w:tc>
        <w:tc>
          <w:tcPr>
            <w:tcW w:w="5244" w:type="dxa"/>
            <w:tcBorders>
              <w:top w:val="nil"/>
              <w:left w:val="single" w:sz="4" w:space="0" w:color="auto"/>
              <w:bottom w:val="single" w:sz="4" w:space="0" w:color="auto"/>
              <w:right w:val="single" w:sz="4" w:space="0" w:color="auto"/>
            </w:tcBorders>
            <w:shd w:val="clear" w:color="auto" w:fill="auto"/>
            <w:vAlign w:val="center"/>
            <w:hideMark/>
          </w:tcPr>
          <w:p w:rsidR="00F977A3" w:rsidRPr="00F977A3" w:rsidRDefault="00F977A3" w:rsidP="00F977A3">
            <w:pPr>
              <w:spacing w:before="0" w:after="0"/>
              <w:jc w:val="lef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Ostatní pomocní pracovníci</w:t>
            </w:r>
          </w:p>
        </w:tc>
        <w:tc>
          <w:tcPr>
            <w:tcW w:w="991"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5 775</w:t>
            </w:r>
          </w:p>
        </w:tc>
        <w:tc>
          <w:tcPr>
            <w:tcW w:w="993"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2,06%</w:t>
            </w:r>
          </w:p>
        </w:tc>
        <w:tc>
          <w:tcPr>
            <w:tcW w:w="1134" w:type="dxa"/>
            <w:tcBorders>
              <w:top w:val="nil"/>
              <w:left w:val="nil"/>
              <w:bottom w:val="single" w:sz="4" w:space="0" w:color="auto"/>
              <w:right w:val="single" w:sz="8" w:space="0" w:color="auto"/>
            </w:tcBorders>
            <w:shd w:val="clear" w:color="auto" w:fill="auto"/>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7,69</w:t>
            </w:r>
          </w:p>
        </w:tc>
      </w:tr>
      <w:tr w:rsidR="00F977A3" w:rsidRPr="00F977A3" w:rsidTr="00BA1762">
        <w:trPr>
          <w:trHeight w:val="323"/>
        </w:trPr>
        <w:tc>
          <w:tcPr>
            <w:tcW w:w="720" w:type="dxa"/>
            <w:tcBorders>
              <w:top w:val="nil"/>
              <w:left w:val="single" w:sz="8" w:space="0" w:color="auto"/>
              <w:bottom w:val="single" w:sz="4" w:space="0" w:color="auto"/>
              <w:right w:val="nil"/>
            </w:tcBorders>
            <w:shd w:val="clear" w:color="auto" w:fill="F2DBDB" w:themeFill="accent2" w:themeFillTint="33"/>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522</w:t>
            </w:r>
          </w:p>
        </w:tc>
        <w:tc>
          <w:tcPr>
            <w:tcW w:w="5244" w:type="dxa"/>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F977A3" w:rsidRPr="00F977A3" w:rsidRDefault="00F977A3" w:rsidP="00F977A3">
            <w:pPr>
              <w:spacing w:before="0" w:after="0"/>
              <w:jc w:val="lef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Provozovatelé maloobchodních a velkoobchodních prodejen, prodavači a příbuzní pracovníci v prodejnách</w:t>
            </w:r>
          </w:p>
        </w:tc>
        <w:tc>
          <w:tcPr>
            <w:tcW w:w="991" w:type="dxa"/>
            <w:tcBorders>
              <w:top w:val="nil"/>
              <w:left w:val="nil"/>
              <w:bottom w:val="single" w:sz="4" w:space="0" w:color="auto"/>
              <w:right w:val="single" w:sz="4" w:space="0" w:color="auto"/>
            </w:tcBorders>
            <w:shd w:val="clear" w:color="auto" w:fill="F2DBDB" w:themeFill="accent2" w:themeFillTint="33"/>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18 794</w:t>
            </w:r>
          </w:p>
        </w:tc>
        <w:tc>
          <w:tcPr>
            <w:tcW w:w="993" w:type="dxa"/>
            <w:tcBorders>
              <w:top w:val="nil"/>
              <w:left w:val="nil"/>
              <w:bottom w:val="single" w:sz="4" w:space="0" w:color="auto"/>
              <w:right w:val="single" w:sz="4" w:space="0" w:color="auto"/>
            </w:tcBorders>
            <w:shd w:val="clear" w:color="auto" w:fill="F2DBDB" w:themeFill="accent2" w:themeFillTint="33"/>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6,70%</w:t>
            </w:r>
          </w:p>
        </w:tc>
        <w:tc>
          <w:tcPr>
            <w:tcW w:w="1134" w:type="dxa"/>
            <w:tcBorders>
              <w:top w:val="nil"/>
              <w:left w:val="nil"/>
              <w:bottom w:val="single" w:sz="4" w:space="0" w:color="auto"/>
              <w:right w:val="single" w:sz="8" w:space="0" w:color="auto"/>
            </w:tcBorders>
            <w:shd w:val="clear" w:color="auto" w:fill="F2DBDB" w:themeFill="accent2" w:themeFillTint="33"/>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5,14</w:t>
            </w:r>
          </w:p>
        </w:tc>
      </w:tr>
      <w:tr w:rsidR="00F977A3" w:rsidRPr="00F977A3" w:rsidTr="00BA1762">
        <w:trPr>
          <w:trHeight w:val="323"/>
        </w:trPr>
        <w:tc>
          <w:tcPr>
            <w:tcW w:w="720" w:type="dxa"/>
            <w:tcBorders>
              <w:top w:val="nil"/>
              <w:left w:val="single" w:sz="8" w:space="0" w:color="auto"/>
              <w:bottom w:val="single" w:sz="4" w:space="0" w:color="auto"/>
              <w:right w:val="nil"/>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961</w:t>
            </w:r>
          </w:p>
        </w:tc>
        <w:tc>
          <w:tcPr>
            <w:tcW w:w="5244" w:type="dxa"/>
            <w:tcBorders>
              <w:top w:val="nil"/>
              <w:left w:val="single" w:sz="4" w:space="0" w:color="auto"/>
              <w:bottom w:val="single" w:sz="4" w:space="0" w:color="auto"/>
              <w:right w:val="single" w:sz="4" w:space="0" w:color="auto"/>
            </w:tcBorders>
            <w:shd w:val="clear" w:color="auto" w:fill="auto"/>
            <w:vAlign w:val="center"/>
            <w:hideMark/>
          </w:tcPr>
          <w:p w:rsidR="00F977A3" w:rsidRPr="00F977A3" w:rsidRDefault="00F977A3" w:rsidP="00F977A3">
            <w:pPr>
              <w:spacing w:before="0" w:after="0"/>
              <w:jc w:val="lef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Pracovníci s odpady</w:t>
            </w:r>
          </w:p>
        </w:tc>
        <w:tc>
          <w:tcPr>
            <w:tcW w:w="991"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3 506</w:t>
            </w:r>
          </w:p>
        </w:tc>
        <w:tc>
          <w:tcPr>
            <w:tcW w:w="993"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1,25%</w:t>
            </w:r>
          </w:p>
        </w:tc>
        <w:tc>
          <w:tcPr>
            <w:tcW w:w="1134" w:type="dxa"/>
            <w:tcBorders>
              <w:top w:val="nil"/>
              <w:left w:val="nil"/>
              <w:bottom w:val="single" w:sz="4" w:space="0" w:color="auto"/>
              <w:right w:val="single" w:sz="8" w:space="0" w:color="auto"/>
            </w:tcBorders>
            <w:shd w:val="clear" w:color="auto" w:fill="auto"/>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2,94</w:t>
            </w:r>
          </w:p>
        </w:tc>
      </w:tr>
      <w:tr w:rsidR="00F977A3" w:rsidRPr="00F977A3" w:rsidTr="00BA1762">
        <w:trPr>
          <w:trHeight w:val="323"/>
        </w:trPr>
        <w:tc>
          <w:tcPr>
            <w:tcW w:w="720" w:type="dxa"/>
            <w:tcBorders>
              <w:top w:val="nil"/>
              <w:left w:val="single" w:sz="8" w:space="0" w:color="auto"/>
              <w:bottom w:val="single" w:sz="4" w:space="0" w:color="auto"/>
              <w:right w:val="nil"/>
            </w:tcBorders>
            <w:shd w:val="clear" w:color="auto" w:fill="F2DBDB" w:themeFill="accent2" w:themeFillTint="33"/>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541</w:t>
            </w:r>
          </w:p>
        </w:tc>
        <w:tc>
          <w:tcPr>
            <w:tcW w:w="5244" w:type="dxa"/>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F977A3" w:rsidRPr="00F977A3" w:rsidRDefault="00F977A3" w:rsidP="00F977A3">
            <w:pPr>
              <w:spacing w:before="0" w:after="0"/>
              <w:jc w:val="lef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Pracovníci v oblasti ochrany a ostrahy</w:t>
            </w:r>
          </w:p>
        </w:tc>
        <w:tc>
          <w:tcPr>
            <w:tcW w:w="991" w:type="dxa"/>
            <w:tcBorders>
              <w:top w:val="nil"/>
              <w:left w:val="nil"/>
              <w:bottom w:val="single" w:sz="4" w:space="0" w:color="auto"/>
              <w:right w:val="single" w:sz="4" w:space="0" w:color="auto"/>
            </w:tcBorders>
            <w:shd w:val="clear" w:color="auto" w:fill="F2DBDB" w:themeFill="accent2" w:themeFillTint="33"/>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12 910</w:t>
            </w:r>
          </w:p>
        </w:tc>
        <w:tc>
          <w:tcPr>
            <w:tcW w:w="993" w:type="dxa"/>
            <w:tcBorders>
              <w:top w:val="nil"/>
              <w:left w:val="nil"/>
              <w:bottom w:val="single" w:sz="4" w:space="0" w:color="auto"/>
              <w:right w:val="single" w:sz="4" w:space="0" w:color="auto"/>
            </w:tcBorders>
            <w:shd w:val="clear" w:color="auto" w:fill="F2DBDB" w:themeFill="accent2" w:themeFillTint="33"/>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4,60%</w:t>
            </w:r>
          </w:p>
        </w:tc>
        <w:tc>
          <w:tcPr>
            <w:tcW w:w="1134" w:type="dxa"/>
            <w:tcBorders>
              <w:top w:val="nil"/>
              <w:left w:val="nil"/>
              <w:bottom w:val="single" w:sz="4" w:space="0" w:color="auto"/>
              <w:right w:val="single" w:sz="8" w:space="0" w:color="auto"/>
            </w:tcBorders>
            <w:shd w:val="clear" w:color="auto" w:fill="F2DBDB" w:themeFill="accent2" w:themeFillTint="33"/>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2,26</w:t>
            </w:r>
          </w:p>
        </w:tc>
      </w:tr>
      <w:tr w:rsidR="00F977A3" w:rsidRPr="00F977A3" w:rsidTr="00BA1762">
        <w:trPr>
          <w:trHeight w:val="323"/>
        </w:trPr>
        <w:tc>
          <w:tcPr>
            <w:tcW w:w="720" w:type="dxa"/>
            <w:tcBorders>
              <w:top w:val="nil"/>
              <w:left w:val="single" w:sz="8" w:space="0" w:color="auto"/>
              <w:bottom w:val="single" w:sz="4" w:space="0" w:color="auto"/>
              <w:right w:val="nil"/>
            </w:tcBorders>
            <w:shd w:val="clear" w:color="auto" w:fill="F2DBDB" w:themeFill="accent2" w:themeFillTint="33"/>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911</w:t>
            </w:r>
          </w:p>
        </w:tc>
        <w:tc>
          <w:tcPr>
            <w:tcW w:w="5244" w:type="dxa"/>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F977A3" w:rsidRPr="00F977A3" w:rsidRDefault="00F977A3" w:rsidP="00F977A3">
            <w:pPr>
              <w:spacing w:before="0" w:after="0"/>
              <w:jc w:val="lef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Uklízeči a pomocníci v domácnostech, hotelích, administrativních, průmyslových a jiných objektech</w:t>
            </w:r>
          </w:p>
        </w:tc>
        <w:tc>
          <w:tcPr>
            <w:tcW w:w="991" w:type="dxa"/>
            <w:tcBorders>
              <w:top w:val="nil"/>
              <w:left w:val="nil"/>
              <w:bottom w:val="single" w:sz="4" w:space="0" w:color="auto"/>
              <w:right w:val="single" w:sz="4" w:space="0" w:color="auto"/>
            </w:tcBorders>
            <w:shd w:val="clear" w:color="auto" w:fill="F2DBDB" w:themeFill="accent2" w:themeFillTint="33"/>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16 920</w:t>
            </w:r>
          </w:p>
        </w:tc>
        <w:tc>
          <w:tcPr>
            <w:tcW w:w="993" w:type="dxa"/>
            <w:tcBorders>
              <w:top w:val="nil"/>
              <w:left w:val="nil"/>
              <w:bottom w:val="single" w:sz="4" w:space="0" w:color="auto"/>
              <w:right w:val="single" w:sz="4" w:space="0" w:color="auto"/>
            </w:tcBorders>
            <w:shd w:val="clear" w:color="auto" w:fill="F2DBDB" w:themeFill="accent2" w:themeFillTint="33"/>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6,03%</w:t>
            </w:r>
          </w:p>
        </w:tc>
        <w:tc>
          <w:tcPr>
            <w:tcW w:w="1134" w:type="dxa"/>
            <w:tcBorders>
              <w:top w:val="nil"/>
              <w:left w:val="nil"/>
              <w:bottom w:val="single" w:sz="4" w:space="0" w:color="auto"/>
              <w:right w:val="single" w:sz="8" w:space="0" w:color="auto"/>
            </w:tcBorders>
            <w:shd w:val="clear" w:color="auto" w:fill="F2DBDB" w:themeFill="accent2" w:themeFillTint="33"/>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2,10</w:t>
            </w:r>
          </w:p>
        </w:tc>
      </w:tr>
      <w:tr w:rsidR="00F977A3" w:rsidRPr="00F977A3" w:rsidTr="00BA1762">
        <w:trPr>
          <w:trHeight w:val="323"/>
        </w:trPr>
        <w:tc>
          <w:tcPr>
            <w:tcW w:w="720" w:type="dxa"/>
            <w:tcBorders>
              <w:top w:val="nil"/>
              <w:left w:val="single" w:sz="8" w:space="0" w:color="auto"/>
              <w:bottom w:val="single" w:sz="4" w:space="0" w:color="auto"/>
              <w:right w:val="nil"/>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332</w:t>
            </w:r>
          </w:p>
        </w:tc>
        <w:tc>
          <w:tcPr>
            <w:tcW w:w="5244" w:type="dxa"/>
            <w:tcBorders>
              <w:top w:val="nil"/>
              <w:left w:val="single" w:sz="4" w:space="0" w:color="auto"/>
              <w:bottom w:val="single" w:sz="4" w:space="0" w:color="auto"/>
              <w:right w:val="single" w:sz="4" w:space="0" w:color="auto"/>
            </w:tcBorders>
            <w:shd w:val="clear" w:color="auto" w:fill="auto"/>
            <w:vAlign w:val="center"/>
            <w:hideMark/>
          </w:tcPr>
          <w:p w:rsidR="00F977A3" w:rsidRPr="00F977A3" w:rsidRDefault="00F977A3" w:rsidP="00F977A3">
            <w:pPr>
              <w:spacing w:before="0" w:after="0"/>
              <w:jc w:val="lef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Odborní pracovníci v oblasti pojišťovnictví, obchodní zástupci, nákupčí a obchodní makléři</w:t>
            </w:r>
          </w:p>
        </w:tc>
        <w:tc>
          <w:tcPr>
            <w:tcW w:w="991"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3 440</w:t>
            </w:r>
          </w:p>
        </w:tc>
        <w:tc>
          <w:tcPr>
            <w:tcW w:w="993"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1,23%</w:t>
            </w:r>
          </w:p>
        </w:tc>
        <w:tc>
          <w:tcPr>
            <w:tcW w:w="1134" w:type="dxa"/>
            <w:tcBorders>
              <w:top w:val="nil"/>
              <w:left w:val="nil"/>
              <w:bottom w:val="single" w:sz="4" w:space="0" w:color="auto"/>
              <w:right w:val="single" w:sz="8" w:space="0" w:color="auto"/>
            </w:tcBorders>
            <w:shd w:val="clear" w:color="auto" w:fill="auto"/>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1,94</w:t>
            </w:r>
          </w:p>
        </w:tc>
      </w:tr>
      <w:tr w:rsidR="00F977A3" w:rsidRPr="00F977A3" w:rsidTr="00BA1762">
        <w:trPr>
          <w:trHeight w:val="323"/>
        </w:trPr>
        <w:tc>
          <w:tcPr>
            <w:tcW w:w="720" w:type="dxa"/>
            <w:tcBorders>
              <w:top w:val="nil"/>
              <w:left w:val="single" w:sz="8" w:space="0" w:color="auto"/>
              <w:bottom w:val="single" w:sz="4" w:space="0" w:color="auto"/>
              <w:right w:val="nil"/>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513</w:t>
            </w:r>
          </w:p>
        </w:tc>
        <w:tc>
          <w:tcPr>
            <w:tcW w:w="5244" w:type="dxa"/>
            <w:tcBorders>
              <w:top w:val="nil"/>
              <w:left w:val="single" w:sz="4" w:space="0" w:color="auto"/>
              <w:bottom w:val="single" w:sz="4" w:space="0" w:color="auto"/>
              <w:right w:val="single" w:sz="4" w:space="0" w:color="auto"/>
            </w:tcBorders>
            <w:shd w:val="clear" w:color="auto" w:fill="auto"/>
            <w:vAlign w:val="center"/>
            <w:hideMark/>
          </w:tcPr>
          <w:p w:rsidR="00F977A3" w:rsidRPr="00F977A3" w:rsidRDefault="00F977A3" w:rsidP="00F977A3">
            <w:pPr>
              <w:spacing w:before="0" w:after="0"/>
              <w:jc w:val="lef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Číšníci, servírky a barmani</w:t>
            </w:r>
          </w:p>
        </w:tc>
        <w:tc>
          <w:tcPr>
            <w:tcW w:w="991"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5 647</w:t>
            </w:r>
          </w:p>
        </w:tc>
        <w:tc>
          <w:tcPr>
            <w:tcW w:w="993"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2,01%</w:t>
            </w:r>
          </w:p>
        </w:tc>
        <w:tc>
          <w:tcPr>
            <w:tcW w:w="1134" w:type="dxa"/>
            <w:tcBorders>
              <w:top w:val="nil"/>
              <w:left w:val="nil"/>
              <w:bottom w:val="single" w:sz="4" w:space="0" w:color="auto"/>
              <w:right w:val="single" w:sz="8" w:space="0" w:color="auto"/>
            </w:tcBorders>
            <w:shd w:val="clear" w:color="auto" w:fill="auto"/>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1,86</w:t>
            </w:r>
          </w:p>
        </w:tc>
      </w:tr>
      <w:tr w:rsidR="00F977A3" w:rsidRPr="00F977A3" w:rsidTr="00BA1762">
        <w:trPr>
          <w:trHeight w:val="323"/>
        </w:trPr>
        <w:tc>
          <w:tcPr>
            <w:tcW w:w="720" w:type="dxa"/>
            <w:tcBorders>
              <w:top w:val="nil"/>
              <w:left w:val="single" w:sz="8" w:space="0" w:color="auto"/>
              <w:bottom w:val="single" w:sz="4" w:space="0" w:color="auto"/>
              <w:right w:val="nil"/>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532</w:t>
            </w:r>
          </w:p>
        </w:tc>
        <w:tc>
          <w:tcPr>
            <w:tcW w:w="5244" w:type="dxa"/>
            <w:tcBorders>
              <w:top w:val="nil"/>
              <w:left w:val="single" w:sz="4" w:space="0" w:color="auto"/>
              <w:bottom w:val="single" w:sz="4" w:space="0" w:color="auto"/>
              <w:right w:val="single" w:sz="4" w:space="0" w:color="auto"/>
            </w:tcBorders>
            <w:shd w:val="clear" w:color="auto" w:fill="auto"/>
            <w:vAlign w:val="center"/>
            <w:hideMark/>
          </w:tcPr>
          <w:p w:rsidR="00F977A3" w:rsidRPr="00F977A3" w:rsidRDefault="00F977A3" w:rsidP="00F977A3">
            <w:pPr>
              <w:spacing w:before="0" w:after="0"/>
              <w:jc w:val="lef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Pracovníci osobní péče ve zdravotní a sociální oblasti</w:t>
            </w:r>
          </w:p>
        </w:tc>
        <w:tc>
          <w:tcPr>
            <w:tcW w:w="991"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2 821</w:t>
            </w:r>
          </w:p>
        </w:tc>
        <w:tc>
          <w:tcPr>
            <w:tcW w:w="993"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1,01%</w:t>
            </w:r>
          </w:p>
        </w:tc>
        <w:tc>
          <w:tcPr>
            <w:tcW w:w="1134" w:type="dxa"/>
            <w:tcBorders>
              <w:top w:val="nil"/>
              <w:left w:val="nil"/>
              <w:bottom w:val="single" w:sz="4" w:space="0" w:color="auto"/>
              <w:right w:val="single" w:sz="8" w:space="0" w:color="auto"/>
            </w:tcBorders>
            <w:shd w:val="clear" w:color="auto" w:fill="auto"/>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1,84</w:t>
            </w:r>
          </w:p>
        </w:tc>
      </w:tr>
      <w:tr w:rsidR="00F977A3" w:rsidRPr="00F977A3" w:rsidTr="00BA1762">
        <w:trPr>
          <w:trHeight w:val="323"/>
        </w:trPr>
        <w:tc>
          <w:tcPr>
            <w:tcW w:w="720" w:type="dxa"/>
            <w:tcBorders>
              <w:top w:val="nil"/>
              <w:left w:val="single" w:sz="8" w:space="0" w:color="auto"/>
              <w:bottom w:val="single" w:sz="4" w:space="0" w:color="auto"/>
              <w:right w:val="nil"/>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932</w:t>
            </w:r>
          </w:p>
        </w:tc>
        <w:tc>
          <w:tcPr>
            <w:tcW w:w="5244" w:type="dxa"/>
            <w:tcBorders>
              <w:top w:val="nil"/>
              <w:left w:val="single" w:sz="4" w:space="0" w:color="auto"/>
              <w:bottom w:val="single" w:sz="4" w:space="0" w:color="auto"/>
              <w:right w:val="single" w:sz="4" w:space="0" w:color="auto"/>
            </w:tcBorders>
            <w:shd w:val="clear" w:color="auto" w:fill="auto"/>
            <w:vAlign w:val="center"/>
            <w:hideMark/>
          </w:tcPr>
          <w:p w:rsidR="00F977A3" w:rsidRPr="00F977A3" w:rsidRDefault="00F977A3" w:rsidP="00F977A3">
            <w:pPr>
              <w:spacing w:before="0" w:after="0"/>
              <w:jc w:val="lef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Pomocní pracovníci ve výrobě</w:t>
            </w:r>
          </w:p>
        </w:tc>
        <w:tc>
          <w:tcPr>
            <w:tcW w:w="991"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28 090</w:t>
            </w:r>
          </w:p>
        </w:tc>
        <w:tc>
          <w:tcPr>
            <w:tcW w:w="993"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10,01%</w:t>
            </w:r>
          </w:p>
        </w:tc>
        <w:tc>
          <w:tcPr>
            <w:tcW w:w="1134" w:type="dxa"/>
            <w:tcBorders>
              <w:top w:val="nil"/>
              <w:left w:val="nil"/>
              <w:bottom w:val="single" w:sz="4" w:space="0" w:color="auto"/>
              <w:right w:val="single" w:sz="8" w:space="0" w:color="auto"/>
            </w:tcBorders>
            <w:shd w:val="clear" w:color="auto" w:fill="auto"/>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1,81</w:t>
            </w:r>
          </w:p>
        </w:tc>
      </w:tr>
      <w:tr w:rsidR="00F977A3" w:rsidRPr="00F977A3" w:rsidTr="00BA1762">
        <w:trPr>
          <w:trHeight w:val="323"/>
        </w:trPr>
        <w:tc>
          <w:tcPr>
            <w:tcW w:w="720" w:type="dxa"/>
            <w:tcBorders>
              <w:top w:val="nil"/>
              <w:left w:val="single" w:sz="8" w:space="0" w:color="auto"/>
              <w:bottom w:val="single" w:sz="4" w:space="0" w:color="auto"/>
              <w:right w:val="nil"/>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711</w:t>
            </w:r>
          </w:p>
        </w:tc>
        <w:tc>
          <w:tcPr>
            <w:tcW w:w="5244" w:type="dxa"/>
            <w:tcBorders>
              <w:top w:val="nil"/>
              <w:left w:val="single" w:sz="4" w:space="0" w:color="auto"/>
              <w:bottom w:val="single" w:sz="4" w:space="0" w:color="auto"/>
              <w:right w:val="single" w:sz="4" w:space="0" w:color="auto"/>
            </w:tcBorders>
            <w:shd w:val="clear" w:color="auto" w:fill="auto"/>
            <w:vAlign w:val="center"/>
            <w:hideMark/>
          </w:tcPr>
          <w:p w:rsidR="00F977A3" w:rsidRPr="00F977A3" w:rsidRDefault="00F977A3" w:rsidP="00F977A3">
            <w:pPr>
              <w:spacing w:before="0" w:after="0"/>
              <w:jc w:val="lef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Řemeslníci a kvalifikovaní pracovníci hlavní stavební výroby</w:t>
            </w:r>
          </w:p>
        </w:tc>
        <w:tc>
          <w:tcPr>
            <w:tcW w:w="991"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11 873</w:t>
            </w:r>
          </w:p>
        </w:tc>
        <w:tc>
          <w:tcPr>
            <w:tcW w:w="993"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4,23%</w:t>
            </w:r>
          </w:p>
        </w:tc>
        <w:tc>
          <w:tcPr>
            <w:tcW w:w="1134" w:type="dxa"/>
            <w:tcBorders>
              <w:top w:val="nil"/>
              <w:left w:val="nil"/>
              <w:bottom w:val="single" w:sz="4" w:space="0" w:color="auto"/>
              <w:right w:val="single" w:sz="8" w:space="0" w:color="auto"/>
            </w:tcBorders>
            <w:shd w:val="clear" w:color="auto" w:fill="auto"/>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1,58</w:t>
            </w:r>
          </w:p>
        </w:tc>
      </w:tr>
      <w:tr w:rsidR="00F977A3" w:rsidRPr="00F977A3" w:rsidTr="00BA1762">
        <w:trPr>
          <w:trHeight w:val="323"/>
        </w:trPr>
        <w:tc>
          <w:tcPr>
            <w:tcW w:w="720" w:type="dxa"/>
            <w:tcBorders>
              <w:top w:val="nil"/>
              <w:left w:val="single" w:sz="8" w:space="0" w:color="auto"/>
              <w:bottom w:val="nil"/>
              <w:right w:val="nil"/>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933</w:t>
            </w:r>
          </w:p>
        </w:tc>
        <w:tc>
          <w:tcPr>
            <w:tcW w:w="5244" w:type="dxa"/>
            <w:tcBorders>
              <w:top w:val="nil"/>
              <w:left w:val="single" w:sz="4" w:space="0" w:color="auto"/>
              <w:bottom w:val="nil"/>
              <w:right w:val="single" w:sz="4" w:space="0" w:color="auto"/>
            </w:tcBorders>
            <w:shd w:val="clear" w:color="auto" w:fill="auto"/>
            <w:vAlign w:val="center"/>
            <w:hideMark/>
          </w:tcPr>
          <w:p w:rsidR="00F977A3" w:rsidRPr="00F977A3" w:rsidRDefault="00F977A3" w:rsidP="00F977A3">
            <w:pPr>
              <w:spacing w:before="0" w:after="0"/>
              <w:jc w:val="lef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Pomocní pracovníci v dopravě a skladování</w:t>
            </w:r>
          </w:p>
        </w:tc>
        <w:tc>
          <w:tcPr>
            <w:tcW w:w="991" w:type="dxa"/>
            <w:tcBorders>
              <w:top w:val="nil"/>
              <w:left w:val="nil"/>
              <w:bottom w:val="nil"/>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6 113</w:t>
            </w:r>
          </w:p>
        </w:tc>
        <w:tc>
          <w:tcPr>
            <w:tcW w:w="993" w:type="dxa"/>
            <w:tcBorders>
              <w:top w:val="nil"/>
              <w:left w:val="nil"/>
              <w:bottom w:val="nil"/>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2,18%</w:t>
            </w:r>
          </w:p>
        </w:tc>
        <w:tc>
          <w:tcPr>
            <w:tcW w:w="1134" w:type="dxa"/>
            <w:tcBorders>
              <w:top w:val="nil"/>
              <w:left w:val="nil"/>
              <w:bottom w:val="nil"/>
              <w:right w:val="single" w:sz="8" w:space="0" w:color="auto"/>
            </w:tcBorders>
            <w:shd w:val="clear" w:color="auto" w:fill="auto"/>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1,50</w:t>
            </w:r>
          </w:p>
        </w:tc>
      </w:tr>
      <w:tr w:rsidR="00F977A3" w:rsidRPr="00F977A3" w:rsidTr="00BA1762">
        <w:trPr>
          <w:trHeight w:val="323"/>
        </w:trPr>
        <w:tc>
          <w:tcPr>
            <w:tcW w:w="720" w:type="dxa"/>
            <w:tcBorders>
              <w:top w:val="single" w:sz="4" w:space="0" w:color="FF0000"/>
              <w:left w:val="single" w:sz="8" w:space="0" w:color="auto"/>
              <w:bottom w:val="single" w:sz="4" w:space="0" w:color="auto"/>
              <w:right w:val="nil"/>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514</w:t>
            </w:r>
          </w:p>
        </w:tc>
        <w:tc>
          <w:tcPr>
            <w:tcW w:w="5244" w:type="dxa"/>
            <w:tcBorders>
              <w:top w:val="single" w:sz="4" w:space="0" w:color="FF0000"/>
              <w:left w:val="single" w:sz="4" w:space="0" w:color="auto"/>
              <w:bottom w:val="single" w:sz="4" w:space="0" w:color="auto"/>
              <w:right w:val="single" w:sz="4" w:space="0" w:color="auto"/>
            </w:tcBorders>
            <w:shd w:val="clear" w:color="auto" w:fill="auto"/>
            <w:vAlign w:val="center"/>
            <w:hideMark/>
          </w:tcPr>
          <w:p w:rsidR="00F977A3" w:rsidRPr="00F977A3" w:rsidRDefault="00F977A3" w:rsidP="00F977A3">
            <w:pPr>
              <w:spacing w:before="0" w:after="0"/>
              <w:jc w:val="lef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Kadeřníci, kosmetici a pracovníci v příbuzných oborech</w:t>
            </w:r>
          </w:p>
        </w:tc>
        <w:tc>
          <w:tcPr>
            <w:tcW w:w="991" w:type="dxa"/>
            <w:tcBorders>
              <w:top w:val="single" w:sz="4" w:space="0" w:color="FF0000"/>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2 905</w:t>
            </w:r>
          </w:p>
        </w:tc>
        <w:tc>
          <w:tcPr>
            <w:tcW w:w="993" w:type="dxa"/>
            <w:tcBorders>
              <w:top w:val="single" w:sz="4" w:space="0" w:color="FF0000"/>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1,04%</w:t>
            </w:r>
          </w:p>
        </w:tc>
        <w:tc>
          <w:tcPr>
            <w:tcW w:w="1134" w:type="dxa"/>
            <w:tcBorders>
              <w:top w:val="single" w:sz="4" w:space="0" w:color="FF0000"/>
              <w:left w:val="nil"/>
              <w:bottom w:val="single" w:sz="4" w:space="0" w:color="auto"/>
              <w:right w:val="single" w:sz="8" w:space="0" w:color="auto"/>
            </w:tcBorders>
            <w:shd w:val="clear" w:color="auto" w:fill="auto"/>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1,16</w:t>
            </w:r>
          </w:p>
        </w:tc>
      </w:tr>
      <w:tr w:rsidR="00F977A3" w:rsidRPr="00F977A3" w:rsidTr="00BA1762">
        <w:trPr>
          <w:trHeight w:val="323"/>
        </w:trPr>
        <w:tc>
          <w:tcPr>
            <w:tcW w:w="720" w:type="dxa"/>
            <w:tcBorders>
              <w:top w:val="nil"/>
              <w:left w:val="single" w:sz="8" w:space="0" w:color="auto"/>
              <w:bottom w:val="single" w:sz="4" w:space="0" w:color="auto"/>
              <w:right w:val="nil"/>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311</w:t>
            </w:r>
          </w:p>
        </w:tc>
        <w:tc>
          <w:tcPr>
            <w:tcW w:w="5244" w:type="dxa"/>
            <w:tcBorders>
              <w:top w:val="nil"/>
              <w:left w:val="single" w:sz="4" w:space="0" w:color="auto"/>
              <w:bottom w:val="single" w:sz="4" w:space="0" w:color="auto"/>
              <w:right w:val="single" w:sz="4" w:space="0" w:color="auto"/>
            </w:tcBorders>
            <w:shd w:val="clear" w:color="auto" w:fill="auto"/>
            <w:vAlign w:val="center"/>
            <w:hideMark/>
          </w:tcPr>
          <w:p w:rsidR="00F977A3" w:rsidRPr="00F977A3" w:rsidRDefault="00F977A3" w:rsidP="00F977A3">
            <w:pPr>
              <w:spacing w:before="0" w:after="0"/>
              <w:jc w:val="lef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Technici ve fyzikálních a průmyslových oborech</w:t>
            </w:r>
          </w:p>
        </w:tc>
        <w:tc>
          <w:tcPr>
            <w:tcW w:w="991"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3 282</w:t>
            </w:r>
          </w:p>
        </w:tc>
        <w:tc>
          <w:tcPr>
            <w:tcW w:w="993"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1,17%</w:t>
            </w:r>
          </w:p>
        </w:tc>
        <w:tc>
          <w:tcPr>
            <w:tcW w:w="1134" w:type="dxa"/>
            <w:tcBorders>
              <w:top w:val="nil"/>
              <w:left w:val="nil"/>
              <w:bottom w:val="single" w:sz="4" w:space="0" w:color="auto"/>
              <w:right w:val="single" w:sz="8" w:space="0" w:color="auto"/>
            </w:tcBorders>
            <w:shd w:val="clear" w:color="auto" w:fill="auto"/>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1,11</w:t>
            </w:r>
          </w:p>
        </w:tc>
      </w:tr>
      <w:tr w:rsidR="00F977A3" w:rsidRPr="00F977A3" w:rsidTr="00BA1762">
        <w:trPr>
          <w:trHeight w:val="323"/>
        </w:trPr>
        <w:tc>
          <w:tcPr>
            <w:tcW w:w="720" w:type="dxa"/>
            <w:tcBorders>
              <w:top w:val="nil"/>
              <w:left w:val="single" w:sz="8" w:space="0" w:color="auto"/>
              <w:bottom w:val="single" w:sz="4" w:space="0" w:color="auto"/>
              <w:right w:val="nil"/>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422</w:t>
            </w:r>
          </w:p>
        </w:tc>
        <w:tc>
          <w:tcPr>
            <w:tcW w:w="5244" w:type="dxa"/>
            <w:tcBorders>
              <w:top w:val="nil"/>
              <w:left w:val="single" w:sz="4" w:space="0" w:color="auto"/>
              <w:bottom w:val="single" w:sz="4" w:space="0" w:color="auto"/>
              <w:right w:val="single" w:sz="4" w:space="0" w:color="auto"/>
            </w:tcBorders>
            <w:shd w:val="clear" w:color="auto" w:fill="auto"/>
            <w:vAlign w:val="center"/>
            <w:hideMark/>
          </w:tcPr>
          <w:p w:rsidR="00F977A3" w:rsidRPr="00F977A3" w:rsidRDefault="00F977A3" w:rsidP="00F977A3">
            <w:pPr>
              <w:spacing w:before="0" w:after="0"/>
              <w:jc w:val="lef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Pracovníci informačních služeb</w:t>
            </w:r>
          </w:p>
        </w:tc>
        <w:tc>
          <w:tcPr>
            <w:tcW w:w="991"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2 935</w:t>
            </w:r>
          </w:p>
        </w:tc>
        <w:tc>
          <w:tcPr>
            <w:tcW w:w="993"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1,05%</w:t>
            </w:r>
          </w:p>
        </w:tc>
        <w:tc>
          <w:tcPr>
            <w:tcW w:w="1134" w:type="dxa"/>
            <w:tcBorders>
              <w:top w:val="nil"/>
              <w:left w:val="nil"/>
              <w:bottom w:val="single" w:sz="4" w:space="0" w:color="auto"/>
              <w:right w:val="single" w:sz="8" w:space="0" w:color="auto"/>
            </w:tcBorders>
            <w:shd w:val="clear" w:color="auto" w:fill="auto"/>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1,11</w:t>
            </w:r>
          </w:p>
        </w:tc>
      </w:tr>
      <w:tr w:rsidR="00F977A3" w:rsidRPr="00F977A3" w:rsidTr="00BA1762">
        <w:trPr>
          <w:trHeight w:val="323"/>
        </w:trPr>
        <w:tc>
          <w:tcPr>
            <w:tcW w:w="720" w:type="dxa"/>
            <w:tcBorders>
              <w:top w:val="nil"/>
              <w:left w:val="single" w:sz="8" w:space="0" w:color="auto"/>
              <w:bottom w:val="single" w:sz="4" w:space="0" w:color="auto"/>
              <w:right w:val="nil"/>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512</w:t>
            </w:r>
          </w:p>
        </w:tc>
        <w:tc>
          <w:tcPr>
            <w:tcW w:w="5244" w:type="dxa"/>
            <w:tcBorders>
              <w:top w:val="nil"/>
              <w:left w:val="single" w:sz="4" w:space="0" w:color="auto"/>
              <w:bottom w:val="single" w:sz="4" w:space="0" w:color="auto"/>
              <w:right w:val="single" w:sz="4" w:space="0" w:color="auto"/>
            </w:tcBorders>
            <w:shd w:val="clear" w:color="auto" w:fill="auto"/>
            <w:vAlign w:val="center"/>
            <w:hideMark/>
          </w:tcPr>
          <w:p w:rsidR="00F977A3" w:rsidRPr="00F977A3" w:rsidRDefault="00F977A3" w:rsidP="00F977A3">
            <w:pPr>
              <w:spacing w:before="0" w:after="0"/>
              <w:jc w:val="lef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Kuchaři (kromě šéfkuchařů), pomocní kuchaři</w:t>
            </w:r>
          </w:p>
        </w:tc>
        <w:tc>
          <w:tcPr>
            <w:tcW w:w="991"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5 522</w:t>
            </w:r>
          </w:p>
        </w:tc>
        <w:tc>
          <w:tcPr>
            <w:tcW w:w="993"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1,97%</w:t>
            </w:r>
          </w:p>
        </w:tc>
        <w:tc>
          <w:tcPr>
            <w:tcW w:w="1134" w:type="dxa"/>
            <w:tcBorders>
              <w:top w:val="nil"/>
              <w:left w:val="nil"/>
              <w:bottom w:val="single" w:sz="4" w:space="0" w:color="auto"/>
              <w:right w:val="single" w:sz="8" w:space="0" w:color="auto"/>
            </w:tcBorders>
            <w:shd w:val="clear" w:color="auto" w:fill="auto"/>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0,92</w:t>
            </w:r>
          </w:p>
        </w:tc>
      </w:tr>
      <w:tr w:rsidR="00F977A3" w:rsidRPr="00F977A3" w:rsidTr="00BA1762">
        <w:trPr>
          <w:trHeight w:val="323"/>
        </w:trPr>
        <w:tc>
          <w:tcPr>
            <w:tcW w:w="720" w:type="dxa"/>
            <w:tcBorders>
              <w:top w:val="nil"/>
              <w:left w:val="single" w:sz="8" w:space="0" w:color="auto"/>
              <w:bottom w:val="single" w:sz="4" w:space="0" w:color="auto"/>
              <w:right w:val="nil"/>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834</w:t>
            </w:r>
          </w:p>
        </w:tc>
        <w:tc>
          <w:tcPr>
            <w:tcW w:w="5244" w:type="dxa"/>
            <w:tcBorders>
              <w:top w:val="nil"/>
              <w:left w:val="single" w:sz="4" w:space="0" w:color="auto"/>
              <w:bottom w:val="single" w:sz="4" w:space="0" w:color="auto"/>
              <w:right w:val="single" w:sz="4" w:space="0" w:color="auto"/>
            </w:tcBorders>
            <w:shd w:val="clear" w:color="auto" w:fill="auto"/>
            <w:vAlign w:val="center"/>
            <w:hideMark/>
          </w:tcPr>
          <w:p w:rsidR="00F977A3" w:rsidRPr="00F977A3" w:rsidRDefault="00F977A3" w:rsidP="00F977A3">
            <w:pPr>
              <w:spacing w:before="0" w:after="0"/>
              <w:jc w:val="lef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Obsluha pojízdných zařízení</w:t>
            </w:r>
          </w:p>
        </w:tc>
        <w:tc>
          <w:tcPr>
            <w:tcW w:w="991"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5 195</w:t>
            </w:r>
          </w:p>
        </w:tc>
        <w:tc>
          <w:tcPr>
            <w:tcW w:w="993"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1,85%</w:t>
            </w:r>
          </w:p>
        </w:tc>
        <w:tc>
          <w:tcPr>
            <w:tcW w:w="1134" w:type="dxa"/>
            <w:tcBorders>
              <w:top w:val="nil"/>
              <w:left w:val="nil"/>
              <w:bottom w:val="single" w:sz="4" w:space="0" w:color="auto"/>
              <w:right w:val="single" w:sz="8" w:space="0" w:color="auto"/>
            </w:tcBorders>
            <w:shd w:val="clear" w:color="auto" w:fill="auto"/>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0,76</w:t>
            </w:r>
          </w:p>
        </w:tc>
      </w:tr>
      <w:tr w:rsidR="00F977A3" w:rsidRPr="00F977A3" w:rsidTr="00BA1762">
        <w:trPr>
          <w:trHeight w:val="323"/>
        </w:trPr>
        <w:tc>
          <w:tcPr>
            <w:tcW w:w="720" w:type="dxa"/>
            <w:tcBorders>
              <w:top w:val="nil"/>
              <w:left w:val="single" w:sz="8" w:space="0" w:color="auto"/>
              <w:bottom w:val="single" w:sz="4" w:space="0" w:color="auto"/>
              <w:right w:val="nil"/>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722</w:t>
            </w:r>
          </w:p>
        </w:tc>
        <w:tc>
          <w:tcPr>
            <w:tcW w:w="5244" w:type="dxa"/>
            <w:tcBorders>
              <w:top w:val="nil"/>
              <w:left w:val="single" w:sz="4" w:space="0" w:color="auto"/>
              <w:bottom w:val="single" w:sz="4" w:space="0" w:color="auto"/>
              <w:right w:val="single" w:sz="4" w:space="0" w:color="auto"/>
            </w:tcBorders>
            <w:shd w:val="clear" w:color="auto" w:fill="auto"/>
            <w:vAlign w:val="center"/>
            <w:hideMark/>
          </w:tcPr>
          <w:p w:rsidR="00F977A3" w:rsidRPr="00F977A3" w:rsidRDefault="00F977A3" w:rsidP="00F977A3">
            <w:pPr>
              <w:spacing w:before="0" w:after="0"/>
              <w:jc w:val="lef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Kováři, nástrojaři a příbuzní pracovníci</w:t>
            </w:r>
          </w:p>
        </w:tc>
        <w:tc>
          <w:tcPr>
            <w:tcW w:w="991"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5 062</w:t>
            </w:r>
          </w:p>
        </w:tc>
        <w:tc>
          <w:tcPr>
            <w:tcW w:w="993"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1,80%</w:t>
            </w:r>
          </w:p>
        </w:tc>
        <w:tc>
          <w:tcPr>
            <w:tcW w:w="1134" w:type="dxa"/>
            <w:tcBorders>
              <w:top w:val="nil"/>
              <w:left w:val="nil"/>
              <w:bottom w:val="single" w:sz="4" w:space="0" w:color="auto"/>
              <w:right w:val="single" w:sz="8" w:space="0" w:color="auto"/>
            </w:tcBorders>
            <w:shd w:val="clear" w:color="auto" w:fill="auto"/>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0,49</w:t>
            </w:r>
          </w:p>
        </w:tc>
      </w:tr>
      <w:tr w:rsidR="00F977A3" w:rsidRPr="00F977A3" w:rsidTr="00BA1762">
        <w:trPr>
          <w:trHeight w:val="323"/>
        </w:trPr>
        <w:tc>
          <w:tcPr>
            <w:tcW w:w="720" w:type="dxa"/>
            <w:tcBorders>
              <w:top w:val="nil"/>
              <w:left w:val="single" w:sz="8" w:space="0" w:color="auto"/>
              <w:bottom w:val="single" w:sz="4" w:space="0" w:color="auto"/>
              <w:right w:val="nil"/>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833</w:t>
            </w:r>
          </w:p>
        </w:tc>
        <w:tc>
          <w:tcPr>
            <w:tcW w:w="5244" w:type="dxa"/>
            <w:tcBorders>
              <w:top w:val="nil"/>
              <w:left w:val="single" w:sz="4" w:space="0" w:color="auto"/>
              <w:bottom w:val="single" w:sz="4" w:space="0" w:color="auto"/>
              <w:right w:val="single" w:sz="4" w:space="0" w:color="auto"/>
            </w:tcBorders>
            <w:shd w:val="clear" w:color="auto" w:fill="auto"/>
            <w:vAlign w:val="center"/>
            <w:hideMark/>
          </w:tcPr>
          <w:p w:rsidR="00F977A3" w:rsidRPr="00F977A3" w:rsidRDefault="00F977A3" w:rsidP="00F977A3">
            <w:pPr>
              <w:spacing w:before="0" w:after="0"/>
              <w:jc w:val="lef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Řidiči nákladních automobilů, autobusů a tramvají</w:t>
            </w:r>
          </w:p>
        </w:tc>
        <w:tc>
          <w:tcPr>
            <w:tcW w:w="991"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3 168</w:t>
            </w:r>
          </w:p>
        </w:tc>
        <w:tc>
          <w:tcPr>
            <w:tcW w:w="993"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1,13%</w:t>
            </w:r>
          </w:p>
        </w:tc>
        <w:tc>
          <w:tcPr>
            <w:tcW w:w="1134" w:type="dxa"/>
            <w:tcBorders>
              <w:top w:val="nil"/>
              <w:left w:val="nil"/>
              <w:bottom w:val="single" w:sz="4" w:space="0" w:color="auto"/>
              <w:right w:val="single" w:sz="8" w:space="0" w:color="auto"/>
            </w:tcBorders>
            <w:shd w:val="clear" w:color="auto" w:fill="auto"/>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0,29</w:t>
            </w:r>
          </w:p>
        </w:tc>
      </w:tr>
      <w:tr w:rsidR="00F977A3" w:rsidRPr="00F977A3" w:rsidTr="00BA1762">
        <w:trPr>
          <w:trHeight w:val="323"/>
        </w:trPr>
        <w:tc>
          <w:tcPr>
            <w:tcW w:w="720" w:type="dxa"/>
            <w:tcBorders>
              <w:top w:val="nil"/>
              <w:left w:val="single" w:sz="8" w:space="0" w:color="auto"/>
              <w:bottom w:val="single" w:sz="4" w:space="0" w:color="auto"/>
              <w:right w:val="nil"/>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931</w:t>
            </w:r>
          </w:p>
        </w:tc>
        <w:tc>
          <w:tcPr>
            <w:tcW w:w="5244" w:type="dxa"/>
            <w:tcBorders>
              <w:top w:val="nil"/>
              <w:left w:val="single" w:sz="4" w:space="0" w:color="auto"/>
              <w:bottom w:val="single" w:sz="4" w:space="0" w:color="auto"/>
              <w:right w:val="single" w:sz="4" w:space="0" w:color="auto"/>
            </w:tcBorders>
            <w:shd w:val="clear" w:color="auto" w:fill="auto"/>
            <w:vAlign w:val="center"/>
            <w:hideMark/>
          </w:tcPr>
          <w:p w:rsidR="00F977A3" w:rsidRPr="00F977A3" w:rsidRDefault="00F977A3" w:rsidP="00F977A3">
            <w:pPr>
              <w:spacing w:before="0" w:after="0"/>
              <w:jc w:val="lef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Pomocní pracovníci v oblasti těžby a stavebnictví</w:t>
            </w:r>
          </w:p>
        </w:tc>
        <w:tc>
          <w:tcPr>
            <w:tcW w:w="991"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4 052</w:t>
            </w:r>
          </w:p>
        </w:tc>
        <w:tc>
          <w:tcPr>
            <w:tcW w:w="993" w:type="dxa"/>
            <w:tcBorders>
              <w:top w:val="nil"/>
              <w:left w:val="nil"/>
              <w:bottom w:val="single" w:sz="4"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1,44%</w:t>
            </w:r>
          </w:p>
        </w:tc>
        <w:tc>
          <w:tcPr>
            <w:tcW w:w="1134" w:type="dxa"/>
            <w:tcBorders>
              <w:top w:val="nil"/>
              <w:left w:val="nil"/>
              <w:bottom w:val="single" w:sz="4" w:space="0" w:color="auto"/>
              <w:right w:val="single" w:sz="8" w:space="0" w:color="auto"/>
            </w:tcBorders>
            <w:shd w:val="clear" w:color="auto" w:fill="auto"/>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0,27</w:t>
            </w:r>
          </w:p>
        </w:tc>
      </w:tr>
      <w:tr w:rsidR="00F977A3" w:rsidRPr="00F977A3" w:rsidTr="00BA1762">
        <w:trPr>
          <w:trHeight w:val="323"/>
        </w:trPr>
        <w:tc>
          <w:tcPr>
            <w:tcW w:w="720" w:type="dxa"/>
            <w:tcBorders>
              <w:top w:val="nil"/>
              <w:left w:val="single" w:sz="8" w:space="0" w:color="auto"/>
              <w:bottom w:val="single" w:sz="8" w:space="0" w:color="auto"/>
              <w:right w:val="nil"/>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821</w:t>
            </w:r>
          </w:p>
        </w:tc>
        <w:tc>
          <w:tcPr>
            <w:tcW w:w="5244" w:type="dxa"/>
            <w:tcBorders>
              <w:top w:val="nil"/>
              <w:left w:val="single" w:sz="4" w:space="0" w:color="auto"/>
              <w:bottom w:val="single" w:sz="8" w:space="0" w:color="auto"/>
              <w:right w:val="single" w:sz="4" w:space="0" w:color="auto"/>
            </w:tcBorders>
            <w:shd w:val="clear" w:color="auto" w:fill="auto"/>
            <w:vAlign w:val="center"/>
            <w:hideMark/>
          </w:tcPr>
          <w:p w:rsidR="00F977A3" w:rsidRPr="00F977A3" w:rsidRDefault="00F977A3" w:rsidP="00F977A3">
            <w:pPr>
              <w:spacing w:before="0" w:after="0"/>
              <w:jc w:val="lef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Montážní dělníci výrobků a zařízení</w:t>
            </w:r>
          </w:p>
        </w:tc>
        <w:tc>
          <w:tcPr>
            <w:tcW w:w="991" w:type="dxa"/>
            <w:tcBorders>
              <w:top w:val="nil"/>
              <w:left w:val="nil"/>
              <w:bottom w:val="single" w:sz="8"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4 795</w:t>
            </w:r>
          </w:p>
        </w:tc>
        <w:tc>
          <w:tcPr>
            <w:tcW w:w="993" w:type="dxa"/>
            <w:tcBorders>
              <w:top w:val="nil"/>
              <w:left w:val="nil"/>
              <w:bottom w:val="single" w:sz="8" w:space="0" w:color="auto"/>
              <w:right w:val="single" w:sz="4" w:space="0" w:color="auto"/>
            </w:tcBorders>
            <w:shd w:val="clear" w:color="auto" w:fill="auto"/>
            <w:vAlign w:val="center"/>
            <w:hideMark/>
          </w:tcPr>
          <w:p w:rsidR="00F977A3" w:rsidRPr="00F977A3" w:rsidRDefault="00F977A3" w:rsidP="00F977A3">
            <w:pPr>
              <w:spacing w:before="0" w:after="0"/>
              <w:jc w:val="right"/>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1,71%</w:t>
            </w:r>
          </w:p>
        </w:tc>
        <w:tc>
          <w:tcPr>
            <w:tcW w:w="1134" w:type="dxa"/>
            <w:tcBorders>
              <w:top w:val="nil"/>
              <w:left w:val="nil"/>
              <w:bottom w:val="single" w:sz="8" w:space="0" w:color="auto"/>
              <w:right w:val="single" w:sz="8" w:space="0" w:color="auto"/>
            </w:tcBorders>
            <w:shd w:val="clear" w:color="auto" w:fill="auto"/>
            <w:vAlign w:val="center"/>
            <w:hideMark/>
          </w:tcPr>
          <w:p w:rsidR="00F977A3" w:rsidRPr="00F977A3" w:rsidRDefault="00F977A3" w:rsidP="00F977A3">
            <w:pPr>
              <w:spacing w:before="0" w:after="0"/>
              <w:jc w:val="center"/>
              <w:rPr>
                <w:rFonts w:ascii="Calibri" w:eastAsia="Times New Roman" w:hAnsi="Calibri" w:cs="Times New Roman"/>
                <w:color w:val="000000"/>
                <w:sz w:val="20"/>
                <w:szCs w:val="20"/>
                <w:lang w:eastAsia="cs-CZ"/>
              </w:rPr>
            </w:pPr>
            <w:r w:rsidRPr="00F977A3">
              <w:rPr>
                <w:rFonts w:ascii="Calibri" w:eastAsia="Times New Roman" w:hAnsi="Calibri" w:cs="Times New Roman"/>
                <w:color w:val="000000"/>
                <w:sz w:val="20"/>
                <w:szCs w:val="20"/>
                <w:lang w:eastAsia="cs-CZ"/>
              </w:rPr>
              <w:t>0,20</w:t>
            </w:r>
          </w:p>
        </w:tc>
      </w:tr>
      <w:tr w:rsidR="00F977A3" w:rsidRPr="00F977A3" w:rsidTr="00BA1762">
        <w:trPr>
          <w:trHeight w:val="323"/>
        </w:trPr>
        <w:tc>
          <w:tcPr>
            <w:tcW w:w="720" w:type="dxa"/>
            <w:tcBorders>
              <w:top w:val="nil"/>
              <w:left w:val="single" w:sz="8" w:space="0" w:color="auto"/>
              <w:bottom w:val="single" w:sz="8" w:space="0" w:color="auto"/>
              <w:right w:val="nil"/>
            </w:tcBorders>
            <w:shd w:val="clear" w:color="auto" w:fill="auto"/>
            <w:noWrap/>
            <w:vAlign w:val="center"/>
            <w:hideMark/>
          </w:tcPr>
          <w:p w:rsidR="00F977A3" w:rsidRPr="00F977A3" w:rsidRDefault="00F977A3" w:rsidP="00F977A3">
            <w:pPr>
              <w:spacing w:before="0" w:after="0"/>
              <w:jc w:val="center"/>
              <w:rPr>
                <w:rFonts w:ascii="Calibri" w:eastAsia="Times New Roman" w:hAnsi="Calibri" w:cs="Times New Roman"/>
                <w:i/>
                <w:iCs/>
                <w:color w:val="000000"/>
                <w:sz w:val="20"/>
                <w:szCs w:val="20"/>
                <w:lang w:eastAsia="cs-CZ"/>
              </w:rPr>
            </w:pPr>
            <w:r w:rsidRPr="00F977A3">
              <w:rPr>
                <w:rFonts w:ascii="Calibri" w:eastAsia="Times New Roman" w:hAnsi="Calibri" w:cs="Times New Roman"/>
                <w:i/>
                <w:iCs/>
                <w:color w:val="000000"/>
                <w:sz w:val="20"/>
                <w:szCs w:val="20"/>
                <w:lang w:eastAsia="cs-CZ"/>
              </w:rPr>
              <w:t>PZN:</w:t>
            </w:r>
          </w:p>
        </w:tc>
        <w:tc>
          <w:tcPr>
            <w:tcW w:w="8363" w:type="dxa"/>
            <w:gridSpan w:val="4"/>
            <w:tcBorders>
              <w:top w:val="single" w:sz="8" w:space="0" w:color="auto"/>
              <w:left w:val="nil"/>
              <w:bottom w:val="single" w:sz="8" w:space="0" w:color="auto"/>
              <w:right w:val="single" w:sz="8" w:space="0" w:color="000000"/>
            </w:tcBorders>
            <w:shd w:val="clear" w:color="auto" w:fill="auto"/>
            <w:vAlign w:val="center"/>
            <w:hideMark/>
          </w:tcPr>
          <w:p w:rsidR="00F977A3" w:rsidRPr="00F977A3" w:rsidRDefault="00F977A3" w:rsidP="00F977A3">
            <w:pPr>
              <w:spacing w:before="0" w:after="0"/>
              <w:jc w:val="left"/>
              <w:rPr>
                <w:rFonts w:ascii="Calibri" w:eastAsia="Times New Roman" w:hAnsi="Calibri" w:cs="Times New Roman"/>
                <w:i/>
                <w:iCs/>
                <w:color w:val="000000"/>
                <w:sz w:val="20"/>
                <w:szCs w:val="20"/>
                <w:lang w:eastAsia="cs-CZ"/>
              </w:rPr>
            </w:pPr>
            <w:r w:rsidRPr="00F977A3">
              <w:rPr>
                <w:rFonts w:ascii="Calibri" w:eastAsia="Times New Roman" w:hAnsi="Calibri" w:cs="Times New Roman"/>
                <w:i/>
                <w:iCs/>
                <w:color w:val="000000"/>
                <w:sz w:val="20"/>
                <w:szCs w:val="20"/>
                <w:lang w:eastAsia="cs-CZ"/>
              </w:rPr>
              <w:t xml:space="preserve">Výčet obsahuje </w:t>
            </w:r>
            <w:proofErr w:type="spellStart"/>
            <w:r w:rsidRPr="00F977A3">
              <w:rPr>
                <w:rFonts w:ascii="Calibri" w:eastAsia="Times New Roman" w:hAnsi="Calibri" w:cs="Times New Roman"/>
                <w:i/>
                <w:iCs/>
                <w:color w:val="000000"/>
                <w:sz w:val="20"/>
                <w:szCs w:val="20"/>
                <w:lang w:eastAsia="cs-CZ"/>
              </w:rPr>
              <w:t>UoZ</w:t>
            </w:r>
            <w:proofErr w:type="spellEnd"/>
            <w:r w:rsidRPr="00F977A3">
              <w:rPr>
                <w:rFonts w:ascii="Calibri" w:eastAsia="Times New Roman" w:hAnsi="Calibri" w:cs="Times New Roman"/>
                <w:i/>
                <w:iCs/>
                <w:color w:val="000000"/>
                <w:sz w:val="20"/>
                <w:szCs w:val="20"/>
                <w:lang w:eastAsia="cs-CZ"/>
              </w:rPr>
              <w:t xml:space="preserve"> podle skupin CZ-ISCO s více jak 1% podílem na </w:t>
            </w:r>
            <w:proofErr w:type="spellStart"/>
            <w:r w:rsidRPr="00F977A3">
              <w:rPr>
                <w:rFonts w:ascii="Calibri" w:eastAsia="Times New Roman" w:hAnsi="Calibri" w:cs="Times New Roman"/>
                <w:i/>
                <w:iCs/>
                <w:color w:val="000000"/>
                <w:sz w:val="20"/>
                <w:szCs w:val="20"/>
                <w:lang w:eastAsia="cs-CZ"/>
              </w:rPr>
              <w:t>UoZ</w:t>
            </w:r>
            <w:proofErr w:type="spellEnd"/>
            <w:r w:rsidRPr="00F977A3">
              <w:rPr>
                <w:rFonts w:ascii="Calibri" w:eastAsia="Times New Roman" w:hAnsi="Calibri" w:cs="Times New Roman"/>
                <w:i/>
                <w:iCs/>
                <w:color w:val="000000"/>
                <w:sz w:val="20"/>
                <w:szCs w:val="20"/>
                <w:lang w:eastAsia="cs-CZ"/>
              </w:rPr>
              <w:t xml:space="preserve">, celkem výčet zahrnuje 65 % </w:t>
            </w:r>
            <w:proofErr w:type="spellStart"/>
            <w:r w:rsidRPr="00F977A3">
              <w:rPr>
                <w:rFonts w:ascii="Calibri" w:eastAsia="Times New Roman" w:hAnsi="Calibri" w:cs="Times New Roman"/>
                <w:i/>
                <w:iCs/>
                <w:color w:val="000000"/>
                <w:sz w:val="20"/>
                <w:szCs w:val="20"/>
                <w:lang w:eastAsia="cs-CZ"/>
              </w:rPr>
              <w:t>UoZ</w:t>
            </w:r>
            <w:proofErr w:type="spellEnd"/>
            <w:r w:rsidRPr="00F977A3">
              <w:rPr>
                <w:rFonts w:ascii="Calibri" w:eastAsia="Times New Roman" w:hAnsi="Calibri" w:cs="Times New Roman"/>
                <w:i/>
                <w:iCs/>
                <w:color w:val="000000"/>
                <w:sz w:val="20"/>
                <w:szCs w:val="20"/>
                <w:lang w:eastAsia="cs-CZ"/>
              </w:rPr>
              <w:t xml:space="preserve">, u 11,7 % </w:t>
            </w:r>
            <w:proofErr w:type="spellStart"/>
            <w:r w:rsidRPr="00F977A3">
              <w:rPr>
                <w:rFonts w:ascii="Calibri" w:eastAsia="Times New Roman" w:hAnsi="Calibri" w:cs="Times New Roman"/>
                <w:i/>
                <w:iCs/>
                <w:color w:val="000000"/>
                <w:sz w:val="20"/>
                <w:szCs w:val="20"/>
                <w:lang w:eastAsia="cs-CZ"/>
              </w:rPr>
              <w:t>UoZ</w:t>
            </w:r>
            <w:proofErr w:type="spellEnd"/>
            <w:r w:rsidRPr="00F977A3">
              <w:rPr>
                <w:rFonts w:ascii="Calibri" w:eastAsia="Times New Roman" w:hAnsi="Calibri" w:cs="Times New Roman"/>
                <w:i/>
                <w:iCs/>
                <w:color w:val="000000"/>
                <w:sz w:val="20"/>
                <w:szCs w:val="20"/>
                <w:lang w:eastAsia="cs-CZ"/>
              </w:rPr>
              <w:t xml:space="preserve"> CZ-ISCO zadáno na méně než 3 místa</w:t>
            </w:r>
          </w:p>
        </w:tc>
      </w:tr>
    </w:tbl>
    <w:p w:rsidR="00B32003" w:rsidRDefault="00BA1762" w:rsidP="009A6A6C">
      <w:r>
        <w:t xml:space="preserve">V případě uchazečů o zaměstnání pak největší problém s uplatněním lze očekávat v případě zaměstnanců z řad podskupiny </w:t>
      </w:r>
      <w:r>
        <w:rPr>
          <w:i/>
        </w:rPr>
        <w:t>411-Všeobecní administrativní pracovníci</w:t>
      </w:r>
      <w:r>
        <w:t xml:space="preserve">, jejichž podíl na </w:t>
      </w:r>
      <w:proofErr w:type="spellStart"/>
      <w:r>
        <w:t>UoZ</w:t>
      </w:r>
      <w:proofErr w:type="spellEnd"/>
      <w:r>
        <w:t xml:space="preserve"> je 7% a o 1 VPM v této podskupině se jich uchází více jak 15. Z početnějších skupin, více jak 3% podíl na </w:t>
      </w:r>
      <w:proofErr w:type="spellStart"/>
      <w:r>
        <w:t>UoZ</w:t>
      </w:r>
      <w:proofErr w:type="spellEnd"/>
      <w:r>
        <w:t xml:space="preserve">, pak následují podskupiny: </w:t>
      </w:r>
      <w:r>
        <w:rPr>
          <w:i/>
        </w:rPr>
        <w:t>832-</w:t>
      </w:r>
      <w:r w:rsidRPr="00BA1762">
        <w:t xml:space="preserve"> </w:t>
      </w:r>
      <w:r w:rsidRPr="00BA1762">
        <w:rPr>
          <w:i/>
        </w:rPr>
        <w:t>Řidiči motocyklů a automobilů (kromě nákladních</w:t>
      </w:r>
      <w:r>
        <w:rPr>
          <w:i/>
        </w:rPr>
        <w:t>), 522-</w:t>
      </w:r>
      <w:r w:rsidRPr="00BA1762">
        <w:rPr>
          <w:i/>
        </w:rPr>
        <w:t>Provozovatelé maloobchodních a velkoobchodních prodejen, pr</w:t>
      </w:r>
      <w:r>
        <w:rPr>
          <w:i/>
        </w:rPr>
        <w:t>odavači a příbuzní pracovníci v </w:t>
      </w:r>
      <w:r w:rsidRPr="00BA1762">
        <w:rPr>
          <w:i/>
        </w:rPr>
        <w:t>prodejnách</w:t>
      </w:r>
      <w:r>
        <w:rPr>
          <w:i/>
        </w:rPr>
        <w:t>, 541-</w:t>
      </w:r>
      <w:r w:rsidRPr="00BA1762">
        <w:t xml:space="preserve"> </w:t>
      </w:r>
      <w:r w:rsidRPr="00BA1762">
        <w:rPr>
          <w:i/>
        </w:rPr>
        <w:t>Pracovníci v oblasti ochrany a ostrahy</w:t>
      </w:r>
      <w:r>
        <w:t xml:space="preserve"> a </w:t>
      </w:r>
      <w:r>
        <w:rPr>
          <w:i/>
        </w:rPr>
        <w:t>911-</w:t>
      </w:r>
      <w:r w:rsidRPr="00BA1762">
        <w:t xml:space="preserve"> </w:t>
      </w:r>
      <w:r>
        <w:rPr>
          <w:i/>
        </w:rPr>
        <w:t>Uklízeči a </w:t>
      </w:r>
      <w:r w:rsidRPr="00BA1762">
        <w:rPr>
          <w:i/>
        </w:rPr>
        <w:t>pomocníci v domácnostech, hotelích, administrativních, průmyslových a jiných objektech</w:t>
      </w:r>
      <w:r>
        <w:rPr>
          <w:i/>
        </w:rPr>
        <w:t>.</w:t>
      </w:r>
      <w:r w:rsidRPr="00BA1762">
        <w:rPr>
          <w:i/>
        </w:rPr>
        <w:t xml:space="preserve"> </w:t>
      </w:r>
      <w:r>
        <w:t>Ve všech těchto podskupinách se o jedno VPM uchází více jak 2 uchazeči o zaměstnání.</w:t>
      </w:r>
    </w:p>
    <w:p w:rsidR="00336F6E" w:rsidRDefault="00336F6E" w:rsidP="00336F6E">
      <w:pPr>
        <w:pStyle w:val="Nadpis2"/>
      </w:pPr>
      <w:bookmarkStart w:id="54" w:name="_Toc476556239"/>
      <w:bookmarkStart w:id="55" w:name="_Toc492628601"/>
      <w:bookmarkStart w:id="56" w:name="_Toc509474131"/>
      <w:r>
        <w:t>Cizí státní příslušníci na českém trhu práce</w:t>
      </w:r>
      <w:bookmarkEnd w:id="54"/>
      <w:bookmarkEnd w:id="55"/>
      <w:bookmarkEnd w:id="56"/>
    </w:p>
    <w:p w:rsidR="00336F6E" w:rsidRDefault="00336F6E" w:rsidP="00336F6E">
      <w:pPr>
        <w:rPr>
          <w:szCs w:val="24"/>
        </w:rPr>
      </w:pPr>
      <w:r>
        <w:rPr>
          <w:szCs w:val="24"/>
        </w:rPr>
        <w:t>Počet cizích státních příslušníků pohybujících se na českém trhu práce v posledních letech významně narůstá, a to v souvislosti s obnoveným růstem české ekonomiky od roku 2014</w:t>
      </w:r>
      <w:r>
        <w:rPr>
          <w:rStyle w:val="Znakapoznpodarou"/>
        </w:rPr>
        <w:footnoteReference w:id="12"/>
      </w:r>
      <w:r>
        <w:rPr>
          <w:szCs w:val="24"/>
        </w:rPr>
        <w:t xml:space="preserve">. </w:t>
      </w:r>
      <w:r w:rsidRPr="00017052">
        <w:rPr>
          <w:b/>
          <w:szCs w:val="24"/>
        </w:rPr>
        <w:t xml:space="preserve">Zatímco počet </w:t>
      </w:r>
      <w:r>
        <w:rPr>
          <w:b/>
          <w:szCs w:val="24"/>
        </w:rPr>
        <w:t>cizích státních příslušníků</w:t>
      </w:r>
      <w:r w:rsidRPr="00017052">
        <w:rPr>
          <w:b/>
          <w:szCs w:val="24"/>
        </w:rPr>
        <w:t xml:space="preserve"> se živno</w:t>
      </w:r>
      <w:r>
        <w:rPr>
          <w:b/>
          <w:szCs w:val="24"/>
        </w:rPr>
        <w:t>stenským oprávněním je stabilní, ke konci roku 2017</w:t>
      </w:r>
      <w:r w:rsidRPr="00017052">
        <w:rPr>
          <w:b/>
          <w:szCs w:val="24"/>
        </w:rPr>
        <w:t xml:space="preserve"> </w:t>
      </w:r>
      <w:r w:rsidRPr="0083284E">
        <w:rPr>
          <w:b/>
          <w:szCs w:val="24"/>
        </w:rPr>
        <w:t>se jednalo o 87 228 osob</w:t>
      </w:r>
      <w:r>
        <w:rPr>
          <w:szCs w:val="24"/>
        </w:rPr>
        <w:t xml:space="preserve">, </w:t>
      </w:r>
      <w:r w:rsidRPr="00017052">
        <w:rPr>
          <w:b/>
          <w:szCs w:val="24"/>
        </w:rPr>
        <w:t xml:space="preserve">rapidně vzrůstá počet zaměstnanců, tj. osob, které eviduje ÚP ČR. </w:t>
      </w:r>
      <w:r>
        <w:rPr>
          <w:b/>
          <w:szCs w:val="24"/>
        </w:rPr>
        <w:t>K 31. 12. 2017</w:t>
      </w:r>
      <w:r w:rsidRPr="00017052">
        <w:rPr>
          <w:b/>
          <w:szCs w:val="24"/>
        </w:rPr>
        <w:t xml:space="preserve"> se na českém trhu práce pohybovalo v postavení zaměstnanců celkem </w:t>
      </w:r>
      <w:r>
        <w:rPr>
          <w:b/>
          <w:szCs w:val="24"/>
        </w:rPr>
        <w:t>472 354</w:t>
      </w:r>
      <w:r w:rsidRPr="00017052">
        <w:rPr>
          <w:b/>
          <w:szCs w:val="24"/>
        </w:rPr>
        <w:t xml:space="preserve"> cizích státních příslušníků</w:t>
      </w:r>
      <w:r>
        <w:rPr>
          <w:szCs w:val="24"/>
        </w:rPr>
        <w:t xml:space="preserve">, což je o 89 465 osob více než ke konci roku 2016 (nárůst </w:t>
      </w:r>
      <w:r w:rsidRPr="0083284E">
        <w:rPr>
          <w:szCs w:val="24"/>
        </w:rPr>
        <w:t>o </w:t>
      </w:r>
      <w:r>
        <w:rPr>
          <w:szCs w:val="24"/>
        </w:rPr>
        <w:t>23,4</w:t>
      </w:r>
      <w:r w:rsidRPr="0083284E">
        <w:rPr>
          <w:szCs w:val="24"/>
        </w:rPr>
        <w:t xml:space="preserve"> %)</w:t>
      </w:r>
      <w:r>
        <w:rPr>
          <w:szCs w:val="24"/>
        </w:rPr>
        <w:t xml:space="preserve"> a o 232 112 osob více než v roce 2007.</w:t>
      </w:r>
    </w:p>
    <w:p w:rsidR="00336F6E" w:rsidRDefault="00336F6E" w:rsidP="00336F6E">
      <w:pPr>
        <w:pStyle w:val="Nadpis3"/>
      </w:pPr>
      <w:bookmarkStart w:id="57" w:name="_Toc476556240"/>
      <w:bookmarkStart w:id="58" w:name="_Toc492628602"/>
      <w:bookmarkStart w:id="59" w:name="_Toc509474132"/>
      <w:r>
        <w:t>Cizí státní příslušníci - zaměstnanci</w:t>
      </w:r>
      <w:bookmarkEnd w:id="57"/>
      <w:bookmarkEnd w:id="58"/>
      <w:bookmarkEnd w:id="59"/>
    </w:p>
    <w:p w:rsidR="00336F6E" w:rsidRDefault="00336F6E" w:rsidP="00336F6E">
      <w:pPr>
        <w:rPr>
          <w:szCs w:val="24"/>
        </w:rPr>
      </w:pPr>
      <w:r>
        <w:rPr>
          <w:szCs w:val="24"/>
        </w:rPr>
        <w:t xml:space="preserve">Většina cizích státních příslušníků v postavení zaměstnanců na českém trhu práce jsou občané zemí EU, a to k 31. 12. 2017 s podílem 70 %, tj. 330 530 osob. </w:t>
      </w:r>
      <w:r w:rsidRPr="000A42E1">
        <w:rPr>
          <w:szCs w:val="24"/>
        </w:rPr>
        <w:t>Podíl občanů zemí EU tak při souběžném nárůstu absolutního počtu podílově poklesl oproti roku 2016 o 4,4 p. b.</w:t>
      </w:r>
      <w:r>
        <w:rPr>
          <w:szCs w:val="24"/>
        </w:rPr>
        <w:t xml:space="preserve">, oproti polovině roku 2017 pak o 1,6 p. b. Obecně se na růstu počtu cizích státních příslušníků-zaměstnanců podílejí právě občané EU. Výrazně v této skupině k 31. 12. 2017 (ale i v dlouhodobějším časovém horizontu) </w:t>
      </w:r>
      <w:r w:rsidRPr="00473DD2">
        <w:rPr>
          <w:b/>
          <w:szCs w:val="24"/>
        </w:rPr>
        <w:t xml:space="preserve">dominují občané Slovenska s počtem </w:t>
      </w:r>
      <w:r>
        <w:rPr>
          <w:b/>
          <w:szCs w:val="24"/>
        </w:rPr>
        <w:t>177 059 osob</w:t>
      </w:r>
      <w:r>
        <w:rPr>
          <w:szCs w:val="24"/>
        </w:rPr>
        <w:t xml:space="preserve">, jejich počet oproti stavu k 30. 6. 2017 tak </w:t>
      </w:r>
      <w:r w:rsidRPr="00007254">
        <w:rPr>
          <w:b/>
          <w:szCs w:val="24"/>
        </w:rPr>
        <w:t>narostl o</w:t>
      </w:r>
      <w:r>
        <w:rPr>
          <w:szCs w:val="24"/>
        </w:rPr>
        <w:t xml:space="preserve"> </w:t>
      </w:r>
      <w:r w:rsidRPr="00007254">
        <w:rPr>
          <w:b/>
          <w:szCs w:val="24"/>
        </w:rPr>
        <w:t>11 361 osob</w:t>
      </w:r>
      <w:r>
        <w:rPr>
          <w:szCs w:val="24"/>
        </w:rPr>
        <w:t>. Následují občané Rumunska –  39 504 osob, Polska – 39 083 osob a Bulharska – 31 528. U všech těchto skupin došlo během roku 2017 k růstu.</w:t>
      </w:r>
    </w:p>
    <w:p w:rsidR="00336F6E" w:rsidRDefault="00336F6E" w:rsidP="00336F6E">
      <w:pPr>
        <w:rPr>
          <w:szCs w:val="24"/>
        </w:rPr>
      </w:pPr>
      <w:r w:rsidRPr="00473DD2">
        <w:rPr>
          <w:b/>
          <w:szCs w:val="24"/>
        </w:rPr>
        <w:t xml:space="preserve">Z občanů třetích zemí měli </w:t>
      </w:r>
      <w:r>
        <w:rPr>
          <w:b/>
          <w:szCs w:val="24"/>
        </w:rPr>
        <w:t>k 31. 12. 2017</w:t>
      </w:r>
      <w:r w:rsidRPr="00473DD2">
        <w:rPr>
          <w:b/>
          <w:szCs w:val="24"/>
        </w:rPr>
        <w:t xml:space="preserve"> dominantní zastoupení mezi zaměstnanci občané Ukrajiny</w:t>
      </w:r>
      <w:r>
        <w:rPr>
          <w:b/>
          <w:szCs w:val="24"/>
        </w:rPr>
        <w:t>, a to s počtem 81 695</w:t>
      </w:r>
      <w:r w:rsidRPr="00473DD2">
        <w:rPr>
          <w:b/>
          <w:szCs w:val="24"/>
        </w:rPr>
        <w:t xml:space="preserve"> osob</w:t>
      </w:r>
      <w:r>
        <w:rPr>
          <w:szCs w:val="24"/>
        </w:rPr>
        <w:t xml:space="preserve">, kteří tak tvoří mezi zaměstnanci druhou nejpočetnější skupinu a u nichž tedy došlo oproti konci roku 2016 (54 571) k nárůstu </w:t>
      </w:r>
      <w:r w:rsidRPr="002146C1">
        <w:rPr>
          <w:szCs w:val="24"/>
        </w:rPr>
        <w:t xml:space="preserve">o </w:t>
      </w:r>
      <w:r>
        <w:rPr>
          <w:szCs w:val="24"/>
        </w:rPr>
        <w:t>49,7</w:t>
      </w:r>
      <w:r w:rsidRPr="002146C1">
        <w:rPr>
          <w:szCs w:val="24"/>
        </w:rPr>
        <w:t xml:space="preserve"> %.</w:t>
      </w:r>
      <w:r>
        <w:rPr>
          <w:szCs w:val="24"/>
        </w:rPr>
        <w:t xml:space="preserve"> Ostatní státní příslušníci byli zastoupeni řádově méně, tj. občané Ruska – 11 080 osob, Vietnamu – 9 805 osob, Mongolska - 4 395 osob, Moldavska - 3 726. Strukturu cizích státních příslušníků a její vývoj od roku 2004 zobrazuje </w:t>
      </w:r>
      <w:r>
        <w:rPr>
          <w:szCs w:val="24"/>
        </w:rPr>
        <w:fldChar w:fldCharType="begin"/>
      </w:r>
      <w:r>
        <w:rPr>
          <w:szCs w:val="24"/>
        </w:rPr>
        <w:instrText xml:space="preserve"> REF _Ref508701804 \h </w:instrText>
      </w:r>
      <w:r>
        <w:rPr>
          <w:szCs w:val="24"/>
        </w:rPr>
      </w:r>
      <w:r>
        <w:rPr>
          <w:szCs w:val="24"/>
        </w:rPr>
        <w:fldChar w:fldCharType="separate"/>
      </w:r>
      <w:r w:rsidR="00F41CBA">
        <w:t xml:space="preserve">Graf č.: </w:t>
      </w:r>
      <w:r w:rsidR="00F41CBA">
        <w:rPr>
          <w:noProof/>
        </w:rPr>
        <w:t>13</w:t>
      </w:r>
      <w:r>
        <w:rPr>
          <w:szCs w:val="24"/>
        </w:rPr>
        <w:fldChar w:fldCharType="end"/>
      </w:r>
      <w:r>
        <w:rPr>
          <w:szCs w:val="24"/>
        </w:rPr>
        <w:t>.</w:t>
      </w:r>
    </w:p>
    <w:p w:rsidR="00336F6E" w:rsidRPr="00336F6E" w:rsidRDefault="00336F6E" w:rsidP="00336F6E">
      <w:pPr>
        <w:rPr>
          <w:szCs w:val="24"/>
        </w:rPr>
      </w:pPr>
      <w:r w:rsidRPr="00336F6E">
        <w:t>Jak ukazuje</w:t>
      </w:r>
      <w:r w:rsidR="008F7C8B">
        <w:t xml:space="preserve"> </w:t>
      </w:r>
      <w:r w:rsidR="008F7C8B">
        <w:fldChar w:fldCharType="begin"/>
      </w:r>
      <w:r w:rsidR="008F7C8B">
        <w:instrText xml:space="preserve"> REF _Ref508715440 \h </w:instrText>
      </w:r>
      <w:r w:rsidR="008F7C8B">
        <w:fldChar w:fldCharType="separate"/>
      </w:r>
      <w:r w:rsidR="00F41CBA">
        <w:t xml:space="preserve">Graf č.: </w:t>
      </w:r>
      <w:r w:rsidR="00F41CBA">
        <w:rPr>
          <w:noProof/>
        </w:rPr>
        <w:t>14</w:t>
      </w:r>
      <w:r w:rsidR="008F7C8B">
        <w:fldChar w:fldCharType="end"/>
      </w:r>
      <w:r>
        <w:rPr>
          <w:szCs w:val="24"/>
        </w:rPr>
        <w:t>,</w:t>
      </w:r>
      <w:r w:rsidRPr="00336F6E">
        <w:rPr>
          <w:szCs w:val="24"/>
        </w:rPr>
        <w:t xml:space="preserve"> z dlouhodobého hlediska nejvyšší nárůst vykazuje počet občanů Slovenska. Velmi výrazný je nárůst zejména po roce 2013. </w:t>
      </w:r>
      <w:r w:rsidR="008950BE">
        <w:rPr>
          <w:szCs w:val="24"/>
        </w:rPr>
        <w:t>V</w:t>
      </w:r>
      <w:r w:rsidRPr="00336F6E">
        <w:rPr>
          <w:szCs w:val="24"/>
        </w:rPr>
        <w:t>zhledem k významnému nárůstu jiných státních příslušníků však podíl této skupiny na zahraniční zaměstnanosti v ČR od roku 2014 setrvale klesá (aktuálně 37,5 %). Počet státních příslušníků Ukrajiny rostl zejména v letech 2004 až 2008, kdy dosáhl maxima 81 tis. osob s následným poklesem. Teprve v posledních letech s obnoveným hospodářským růstem je znatelný opětovný nárůst této skupiny cizích státních příslušníků, a to velmi dynamicky. Významný je rovněž nárůst občanů Rumunska a Bulharska po vstupu těchto zemí do EU.</w:t>
      </w:r>
    </w:p>
    <w:p w:rsidR="00336F6E" w:rsidRDefault="00336F6E" w:rsidP="00336F6E">
      <w:pPr>
        <w:pStyle w:val="Titulek"/>
        <w:keepNext/>
      </w:pPr>
      <w:bookmarkStart w:id="60" w:name="_Ref508701804"/>
      <w:bookmarkStart w:id="61" w:name="_Toc508704215"/>
      <w:r>
        <w:t xml:space="preserve">Graf č.: </w:t>
      </w:r>
      <w:r w:rsidR="007B53ED">
        <w:fldChar w:fldCharType="begin"/>
      </w:r>
      <w:r w:rsidR="007B53ED">
        <w:instrText xml:space="preserve"> SEQ Graf_č.: \* ARABIC </w:instrText>
      </w:r>
      <w:r w:rsidR="007B53ED">
        <w:fldChar w:fldCharType="separate"/>
      </w:r>
      <w:r w:rsidR="00F41CBA">
        <w:rPr>
          <w:noProof/>
        </w:rPr>
        <w:t>13</w:t>
      </w:r>
      <w:r w:rsidR="007B53ED">
        <w:rPr>
          <w:noProof/>
        </w:rPr>
        <w:fldChar w:fldCharType="end"/>
      </w:r>
      <w:bookmarkEnd w:id="60"/>
      <w:r>
        <w:t xml:space="preserve"> Vývoj struktury cizích státních příslušníků evidovaných UP ČR (zaměstnanci) na českém trhu práce</w:t>
      </w:r>
      <w:bookmarkEnd w:id="61"/>
    </w:p>
    <w:p w:rsidR="00336F6E" w:rsidRDefault="00336F6E" w:rsidP="00336F6E">
      <w:pPr>
        <w:rPr>
          <w:szCs w:val="24"/>
        </w:rPr>
      </w:pPr>
      <w:r>
        <w:rPr>
          <w:noProof/>
          <w:lang w:eastAsia="cs-CZ"/>
        </w:rPr>
        <w:drawing>
          <wp:inline distT="0" distB="0" distL="0" distR="0" wp14:anchorId="43E52E20" wp14:editId="4A27613C">
            <wp:extent cx="5760720" cy="2978965"/>
            <wp:effectExtent l="0" t="0" r="11430" b="12065"/>
            <wp:docPr id="11" name="Graf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336F6E" w:rsidRDefault="00336F6E" w:rsidP="00336F6E">
      <w:pPr>
        <w:pStyle w:val="Titulek"/>
        <w:keepNext/>
      </w:pPr>
      <w:bookmarkStart w:id="62" w:name="_Ref508701854"/>
    </w:p>
    <w:p w:rsidR="00336F6E" w:rsidRDefault="00336F6E" w:rsidP="00336F6E">
      <w:pPr>
        <w:pStyle w:val="Titulek"/>
        <w:keepNext/>
      </w:pPr>
      <w:bookmarkStart w:id="63" w:name="_Ref508715440"/>
      <w:bookmarkStart w:id="64" w:name="_Toc508704216"/>
      <w:r>
        <w:t xml:space="preserve">Graf č.: </w:t>
      </w:r>
      <w:r w:rsidR="007B53ED">
        <w:fldChar w:fldCharType="begin"/>
      </w:r>
      <w:r w:rsidR="007B53ED">
        <w:instrText xml:space="preserve"> SEQ Graf_č.: \* ARABIC </w:instrText>
      </w:r>
      <w:r w:rsidR="007B53ED">
        <w:fldChar w:fldCharType="separate"/>
      </w:r>
      <w:r w:rsidR="00F41CBA">
        <w:rPr>
          <w:noProof/>
        </w:rPr>
        <w:t>14</w:t>
      </w:r>
      <w:r w:rsidR="007B53ED">
        <w:rPr>
          <w:noProof/>
        </w:rPr>
        <w:fldChar w:fldCharType="end"/>
      </w:r>
      <w:bookmarkEnd w:id="62"/>
      <w:bookmarkEnd w:id="63"/>
      <w:r>
        <w:t xml:space="preserve"> Vývoj počtu cizích státních příslušníků v postavení zaměstnanců na českém trhu práce</w:t>
      </w:r>
      <w:bookmarkEnd w:id="64"/>
    </w:p>
    <w:p w:rsidR="00336F6E" w:rsidRDefault="00336F6E" w:rsidP="00336F6E">
      <w:pPr>
        <w:rPr>
          <w:szCs w:val="24"/>
        </w:rPr>
      </w:pPr>
      <w:r>
        <w:rPr>
          <w:noProof/>
          <w:lang w:eastAsia="cs-CZ"/>
        </w:rPr>
        <w:drawing>
          <wp:inline distT="0" distB="0" distL="0" distR="0" wp14:anchorId="63CA0BF1" wp14:editId="593911E3">
            <wp:extent cx="5760720" cy="3292540"/>
            <wp:effectExtent l="0" t="0" r="11430" b="22225"/>
            <wp:docPr id="14" name="Graf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336F6E" w:rsidRDefault="00336F6E" w:rsidP="00336F6E">
      <w:pPr>
        <w:rPr>
          <w:szCs w:val="24"/>
        </w:rPr>
      </w:pPr>
    </w:p>
    <w:p w:rsidR="00336F6E" w:rsidRDefault="00336F6E" w:rsidP="00336F6E">
      <w:pPr>
        <w:spacing w:before="240"/>
        <w:rPr>
          <w:szCs w:val="24"/>
        </w:rPr>
      </w:pPr>
      <w:r w:rsidRPr="00D31DE6">
        <w:rPr>
          <w:szCs w:val="24"/>
        </w:rPr>
        <w:t>Většina cizí</w:t>
      </w:r>
      <w:r>
        <w:rPr>
          <w:szCs w:val="24"/>
        </w:rPr>
        <w:t xml:space="preserve">ch státních příslušníků pracuje ve </w:t>
      </w:r>
      <w:r w:rsidRPr="00F942F2">
        <w:rPr>
          <w:i/>
          <w:szCs w:val="24"/>
        </w:rPr>
        <w:t>zpracovatelském průmyslu</w:t>
      </w:r>
      <w:r>
        <w:rPr>
          <w:szCs w:val="24"/>
        </w:rPr>
        <w:t xml:space="preserve">, a to s podílem 30 %, přičemž podíl tohoto sektoru hospodářství zůstal v průběhu roku 2017 víceméně konstantní. Nicméně ve zpracovatelském průmyslu klesá podíl zaměstnanců pocházejících ze zemí EU, meziročně se podíl občanů EU na zahraničních pracovních ve zpracovatelském průmyslu snížil o 4,1 p. b. </w:t>
      </w:r>
      <w:proofErr w:type="gramStart"/>
      <w:r>
        <w:rPr>
          <w:szCs w:val="24"/>
        </w:rPr>
        <w:t>na</w:t>
      </w:r>
      <w:proofErr w:type="gramEnd"/>
      <w:r>
        <w:rPr>
          <w:szCs w:val="24"/>
        </w:rPr>
        <w:t xml:space="preserve"> hodnotu 76,4 %. Významná část cizích státních příslušníků je pak zaměstnána v sektoru </w:t>
      </w:r>
      <w:r w:rsidRPr="00F942F2">
        <w:rPr>
          <w:i/>
          <w:szCs w:val="24"/>
        </w:rPr>
        <w:t>administrativních a podpůrných činností</w:t>
      </w:r>
      <w:r>
        <w:rPr>
          <w:szCs w:val="24"/>
        </w:rPr>
        <w:t>, kde je za celkového počtu cizích státníc</w:t>
      </w:r>
      <w:r w:rsidR="008F7C8B">
        <w:rPr>
          <w:szCs w:val="24"/>
        </w:rPr>
        <w:t>h příslušníků zaměstnáno 16,7 %.</w:t>
      </w:r>
      <w:r>
        <w:rPr>
          <w:szCs w:val="24"/>
        </w:rPr>
        <w:t xml:space="preserve"> </w:t>
      </w:r>
      <w:r w:rsidR="008F7C8B">
        <w:rPr>
          <w:szCs w:val="24"/>
        </w:rPr>
        <w:t>P</w:t>
      </w:r>
      <w:r>
        <w:rPr>
          <w:szCs w:val="24"/>
        </w:rPr>
        <w:t xml:space="preserve">odíl tohoto sektoru hospodářství na zahraniční zaměstnanosti v posledních letech vzrůstá. Z pohledu klasifikace zaměstnání pak dominuje dlouhodobě hl. třída zaměstnání, dle klasifikace CZ-ISCO, </w:t>
      </w:r>
      <w:r w:rsidR="00465AA5">
        <w:rPr>
          <w:i/>
          <w:szCs w:val="24"/>
        </w:rPr>
        <w:t>pomocní a </w:t>
      </w:r>
      <w:r>
        <w:rPr>
          <w:i/>
          <w:szCs w:val="24"/>
        </w:rPr>
        <w:t xml:space="preserve">nekvalifikovaní pracovníci, </w:t>
      </w:r>
      <w:r>
        <w:rPr>
          <w:szCs w:val="24"/>
        </w:rPr>
        <w:t xml:space="preserve">a to s podílem 31 % (oproti </w:t>
      </w:r>
      <w:proofErr w:type="gramStart"/>
      <w:r>
        <w:rPr>
          <w:szCs w:val="24"/>
        </w:rPr>
        <w:t>pol.</w:t>
      </w:r>
      <w:proofErr w:type="gramEnd"/>
      <w:r>
        <w:rPr>
          <w:szCs w:val="24"/>
        </w:rPr>
        <w:t xml:space="preserve"> 2017 mírný pokles zastoupení o 0,7 p. b. – může souviset s útlumem sezónních prací v zimních měsících), další dominantní třídou je </w:t>
      </w:r>
      <w:r>
        <w:rPr>
          <w:i/>
          <w:szCs w:val="24"/>
        </w:rPr>
        <w:t>obsluha strojů a zařízení, montéři</w:t>
      </w:r>
      <w:r>
        <w:rPr>
          <w:szCs w:val="24"/>
        </w:rPr>
        <w:t xml:space="preserve"> s podílem 20,5 %. Nejvyšší zastoupení občanů třetích zemí je sledováno v hl. třídě </w:t>
      </w:r>
      <w:r>
        <w:rPr>
          <w:i/>
          <w:szCs w:val="24"/>
        </w:rPr>
        <w:t>pracovníků ve službách a prodeji</w:t>
      </w:r>
      <w:r>
        <w:rPr>
          <w:szCs w:val="24"/>
        </w:rPr>
        <w:t xml:space="preserve">, kde podíl občanů třetích zemí na zahraniční zaměstnanosti činí 47,2 %, naopak nejnižší zastoupení je mezi </w:t>
      </w:r>
      <w:r>
        <w:rPr>
          <w:i/>
          <w:szCs w:val="24"/>
        </w:rPr>
        <w:t>technickými a odbornými pracovníky</w:t>
      </w:r>
      <w:r>
        <w:rPr>
          <w:szCs w:val="24"/>
        </w:rPr>
        <w:t xml:space="preserve"> (21,7 %) a </w:t>
      </w:r>
      <w:r>
        <w:rPr>
          <w:i/>
          <w:szCs w:val="24"/>
        </w:rPr>
        <w:t>obsluhou strojů, zařízení a montéři</w:t>
      </w:r>
      <w:r>
        <w:rPr>
          <w:szCs w:val="24"/>
        </w:rPr>
        <w:t xml:space="preserve"> (22,8 %). </w:t>
      </w:r>
    </w:p>
    <w:p w:rsidR="00336F6E" w:rsidRDefault="00336F6E" w:rsidP="00336F6E">
      <w:pPr>
        <w:pStyle w:val="Nadpis3"/>
      </w:pPr>
      <w:bookmarkStart w:id="65" w:name="_Toc509474133"/>
      <w:bookmarkStart w:id="66" w:name="_Toc476556242"/>
      <w:bookmarkStart w:id="67" w:name="_Toc492628604"/>
      <w:r>
        <w:t>VPM pro cizince</w:t>
      </w:r>
      <w:bookmarkEnd w:id="65"/>
    </w:p>
    <w:p w:rsidR="00336F6E" w:rsidRDefault="00336F6E" w:rsidP="00336F6E">
      <w:r>
        <w:t>Zaměstnavateli identifikovaný nedostatek pracovní síly (ať reálný či potenciální), zejména v některých povoláních a regionech</w:t>
      </w:r>
      <w:r w:rsidR="008F7C8B">
        <w:t>,</w:t>
      </w:r>
      <w:r>
        <w:t xml:space="preserve"> se rovněž odráží v soustavném nárůstu počtu i podílu volných pracovních míst, která jsou vhodná pro cizince. Zatímco ještě v 1. polovině roku 2017 byl nárůst podílu takovýchto míst na celkovém počtu hlášených VPM relativně nízký (podíl VPM vhodných pro cizince na všech hlášených VPM vzrostl mezi koncem roku 2016 a závěrem 1. pol. 2017 pouze o  0,2 p. b. </w:t>
      </w:r>
      <w:proofErr w:type="gramStart"/>
      <w:r>
        <w:t>na</w:t>
      </w:r>
      <w:proofErr w:type="gramEnd"/>
      <w:r>
        <w:t xml:space="preserve"> hodnotu 37 %), v průběhu 2. poloviny roku 2017 došlo k významně dynamické změně. </w:t>
      </w:r>
      <w:r w:rsidRPr="00336F6E">
        <w:rPr>
          <w:b/>
        </w:rPr>
        <w:t>K 31. 12. 2017 bylo jako VPM vhodných pro cizince uváděno</w:t>
      </w:r>
      <w:r>
        <w:rPr>
          <w:b/>
        </w:rPr>
        <w:t xml:space="preserve"> j</w:t>
      </w:r>
      <w:r w:rsidRPr="00336F6E">
        <w:rPr>
          <w:b/>
        </w:rPr>
        <w:t>iž 47,7 % hlášených VPM</w:t>
      </w:r>
      <w:r>
        <w:t xml:space="preserve">, mezi pololetími tak podíl těchto pracovních míst vzrostl o 10. p. b. Strukturu zobrazuje následující </w:t>
      </w:r>
      <w:r w:rsidR="002214B1">
        <w:fldChar w:fldCharType="begin"/>
      </w:r>
      <w:r w:rsidR="002214B1">
        <w:instrText xml:space="preserve"> REF _Ref508703948 \h </w:instrText>
      </w:r>
      <w:r w:rsidR="002214B1">
        <w:fldChar w:fldCharType="separate"/>
      </w:r>
      <w:r w:rsidR="00F41CBA">
        <w:t xml:space="preserve">Tabulka </w:t>
      </w:r>
      <w:r w:rsidR="00F41CBA">
        <w:rPr>
          <w:noProof/>
        </w:rPr>
        <w:t>9</w:t>
      </w:r>
      <w:r w:rsidR="002214B1">
        <w:fldChar w:fldCharType="end"/>
      </w:r>
      <w:r w:rsidR="002214B1">
        <w:t xml:space="preserve"> a </w:t>
      </w:r>
      <w:r w:rsidR="002214B1">
        <w:fldChar w:fldCharType="begin"/>
      </w:r>
      <w:r w:rsidR="002214B1">
        <w:instrText xml:space="preserve"> REF _Ref508704034 \h </w:instrText>
      </w:r>
      <w:r w:rsidR="002214B1">
        <w:fldChar w:fldCharType="separate"/>
      </w:r>
      <w:r w:rsidR="00F41CBA">
        <w:t xml:space="preserve">Graf č.: </w:t>
      </w:r>
      <w:r w:rsidR="00F41CBA">
        <w:rPr>
          <w:noProof/>
        </w:rPr>
        <w:t>15</w:t>
      </w:r>
      <w:r w:rsidR="002214B1">
        <w:fldChar w:fldCharType="end"/>
      </w:r>
      <w:r>
        <w:t>.</w:t>
      </w:r>
    </w:p>
    <w:p w:rsidR="00465AA5" w:rsidRDefault="00465AA5" w:rsidP="00465AA5">
      <w:pPr>
        <w:pStyle w:val="Titulek"/>
        <w:keepNext/>
      </w:pPr>
      <w:bookmarkStart w:id="68" w:name="_Ref508703948"/>
      <w:bookmarkStart w:id="69" w:name="_Toc508704228"/>
      <w:r>
        <w:t xml:space="preserve">Tabulka </w:t>
      </w:r>
      <w:r w:rsidR="007B53ED">
        <w:fldChar w:fldCharType="begin"/>
      </w:r>
      <w:r w:rsidR="007B53ED">
        <w:instrText xml:space="preserve"> SEQ Tabulka \* ARABIC </w:instrText>
      </w:r>
      <w:r w:rsidR="007B53ED">
        <w:fldChar w:fldCharType="separate"/>
      </w:r>
      <w:r w:rsidR="00F41CBA">
        <w:rPr>
          <w:noProof/>
        </w:rPr>
        <w:t>9</w:t>
      </w:r>
      <w:r w:rsidR="007B53ED">
        <w:rPr>
          <w:noProof/>
        </w:rPr>
        <w:fldChar w:fldCharType="end"/>
      </w:r>
      <w:bookmarkEnd w:id="68"/>
      <w:r>
        <w:t xml:space="preserve"> VPM pro cizince (k 31. 12. 2017)</w:t>
      </w:r>
      <w:bookmarkEnd w:id="69"/>
    </w:p>
    <w:tbl>
      <w:tblPr>
        <w:tblW w:w="9214" w:type="dxa"/>
        <w:tblInd w:w="-72" w:type="dxa"/>
        <w:tblLayout w:type="fixed"/>
        <w:tblCellMar>
          <w:left w:w="70" w:type="dxa"/>
          <w:right w:w="70" w:type="dxa"/>
        </w:tblCellMar>
        <w:tblLook w:val="04A0" w:firstRow="1" w:lastRow="0" w:firstColumn="1" w:lastColumn="0" w:noHBand="0" w:noVBand="1"/>
      </w:tblPr>
      <w:tblGrid>
        <w:gridCol w:w="284"/>
        <w:gridCol w:w="2977"/>
        <w:gridCol w:w="992"/>
        <w:gridCol w:w="992"/>
        <w:gridCol w:w="993"/>
        <w:gridCol w:w="708"/>
        <w:gridCol w:w="851"/>
        <w:gridCol w:w="611"/>
        <w:gridCol w:w="806"/>
      </w:tblGrid>
      <w:tr w:rsidR="0080161E" w:rsidRPr="00336F6E" w:rsidTr="0080161E">
        <w:trPr>
          <w:trHeight w:val="292"/>
        </w:trPr>
        <w:tc>
          <w:tcPr>
            <w:tcW w:w="3261" w:type="dxa"/>
            <w:gridSpan w:val="2"/>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80161E" w:rsidRDefault="00336F6E" w:rsidP="00465AA5">
            <w:pPr>
              <w:spacing w:before="0" w:after="0"/>
              <w:jc w:val="center"/>
              <w:rPr>
                <w:rFonts w:eastAsia="Times New Roman" w:cs="Arial"/>
                <w:b/>
                <w:bCs/>
                <w:color w:val="000000"/>
                <w:sz w:val="20"/>
                <w:szCs w:val="20"/>
                <w:lang w:eastAsia="cs-CZ"/>
              </w:rPr>
            </w:pPr>
            <w:r w:rsidRPr="00336F6E">
              <w:rPr>
                <w:rFonts w:eastAsia="Times New Roman" w:cs="Arial"/>
                <w:b/>
                <w:bCs/>
                <w:color w:val="000000"/>
                <w:sz w:val="20"/>
                <w:szCs w:val="20"/>
                <w:lang w:eastAsia="cs-CZ"/>
              </w:rPr>
              <w:t>Profese podle CZ-ISCO</w:t>
            </w:r>
            <w:r w:rsidR="0080161E">
              <w:rPr>
                <w:rFonts w:eastAsia="Times New Roman" w:cs="Arial"/>
                <w:b/>
                <w:bCs/>
                <w:color w:val="000000"/>
                <w:sz w:val="20"/>
                <w:szCs w:val="20"/>
                <w:lang w:eastAsia="cs-CZ"/>
              </w:rPr>
              <w:t xml:space="preserve"> </w:t>
            </w:r>
          </w:p>
          <w:p w:rsidR="00336F6E" w:rsidRPr="00336F6E" w:rsidRDefault="0080161E" w:rsidP="00465AA5">
            <w:pPr>
              <w:spacing w:before="0" w:after="0"/>
              <w:jc w:val="center"/>
              <w:rPr>
                <w:rFonts w:eastAsia="Times New Roman" w:cs="Arial"/>
                <w:b/>
                <w:bCs/>
                <w:color w:val="000000"/>
                <w:sz w:val="20"/>
                <w:szCs w:val="20"/>
                <w:lang w:eastAsia="cs-CZ"/>
              </w:rPr>
            </w:pPr>
            <w:r>
              <w:rPr>
                <w:rFonts w:eastAsia="Times New Roman" w:cs="Arial"/>
                <w:b/>
                <w:bCs/>
                <w:color w:val="000000"/>
                <w:sz w:val="20"/>
                <w:szCs w:val="20"/>
                <w:lang w:eastAsia="cs-CZ"/>
              </w:rPr>
              <w:t>K 31. 12. 2017</w:t>
            </w:r>
          </w:p>
        </w:tc>
        <w:tc>
          <w:tcPr>
            <w:tcW w:w="992"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336F6E" w:rsidRPr="00336F6E" w:rsidRDefault="00336F6E" w:rsidP="00465AA5">
            <w:pPr>
              <w:spacing w:before="0" w:after="0"/>
              <w:jc w:val="center"/>
              <w:rPr>
                <w:rFonts w:eastAsia="Times New Roman" w:cs="Arial"/>
                <w:b/>
                <w:bCs/>
                <w:color w:val="000000"/>
                <w:sz w:val="20"/>
                <w:szCs w:val="20"/>
                <w:lang w:eastAsia="cs-CZ"/>
              </w:rPr>
            </w:pPr>
            <w:proofErr w:type="spellStart"/>
            <w:r w:rsidRPr="00336F6E">
              <w:rPr>
                <w:rFonts w:eastAsia="Times New Roman" w:cs="Arial"/>
                <w:b/>
                <w:bCs/>
                <w:color w:val="000000"/>
                <w:sz w:val="20"/>
                <w:szCs w:val="20"/>
                <w:lang w:eastAsia="cs-CZ"/>
              </w:rPr>
              <w:t>UoZ</w:t>
            </w:r>
            <w:proofErr w:type="spellEnd"/>
          </w:p>
        </w:tc>
        <w:tc>
          <w:tcPr>
            <w:tcW w:w="4155" w:type="dxa"/>
            <w:gridSpan w:val="5"/>
            <w:tcBorders>
              <w:top w:val="single" w:sz="12" w:space="0" w:color="auto"/>
              <w:left w:val="single" w:sz="12" w:space="0" w:color="auto"/>
              <w:bottom w:val="nil"/>
              <w:right w:val="single" w:sz="8" w:space="0" w:color="000000"/>
            </w:tcBorders>
            <w:shd w:val="clear" w:color="auto" w:fill="auto"/>
            <w:noWrap/>
            <w:vAlign w:val="center"/>
            <w:hideMark/>
          </w:tcPr>
          <w:p w:rsidR="00336F6E" w:rsidRPr="00336F6E" w:rsidRDefault="00336F6E" w:rsidP="00465AA5">
            <w:pPr>
              <w:spacing w:before="0" w:after="0"/>
              <w:jc w:val="center"/>
              <w:rPr>
                <w:rFonts w:eastAsia="Times New Roman" w:cs="Arial"/>
                <w:b/>
                <w:bCs/>
                <w:color w:val="000000"/>
                <w:sz w:val="20"/>
                <w:szCs w:val="20"/>
                <w:lang w:eastAsia="cs-CZ"/>
              </w:rPr>
            </w:pPr>
            <w:r w:rsidRPr="00336F6E">
              <w:rPr>
                <w:rFonts w:eastAsia="Times New Roman" w:cs="Arial"/>
                <w:b/>
                <w:bCs/>
                <w:color w:val="000000"/>
                <w:sz w:val="20"/>
                <w:szCs w:val="20"/>
                <w:lang w:eastAsia="cs-CZ"/>
              </w:rPr>
              <w:t>VPM</w:t>
            </w:r>
          </w:p>
        </w:tc>
        <w:tc>
          <w:tcPr>
            <w:tcW w:w="806" w:type="dxa"/>
            <w:vMerge w:val="restart"/>
            <w:tcBorders>
              <w:top w:val="single" w:sz="12" w:space="0" w:color="auto"/>
              <w:left w:val="single" w:sz="8" w:space="0" w:color="auto"/>
              <w:bottom w:val="single" w:sz="8" w:space="0" w:color="000000"/>
              <w:right w:val="single" w:sz="12" w:space="0" w:color="auto"/>
            </w:tcBorders>
            <w:shd w:val="clear" w:color="auto" w:fill="auto"/>
            <w:vAlign w:val="center"/>
            <w:hideMark/>
          </w:tcPr>
          <w:p w:rsidR="0080161E" w:rsidRDefault="00336F6E" w:rsidP="00465AA5">
            <w:pPr>
              <w:spacing w:before="0" w:after="0"/>
              <w:jc w:val="center"/>
              <w:rPr>
                <w:rFonts w:eastAsia="Times New Roman" w:cs="Arial"/>
                <w:b/>
                <w:bCs/>
                <w:color w:val="000000"/>
                <w:sz w:val="20"/>
                <w:szCs w:val="20"/>
                <w:lang w:eastAsia="cs-CZ"/>
              </w:rPr>
            </w:pPr>
            <w:proofErr w:type="spellStart"/>
            <w:r w:rsidRPr="00336F6E">
              <w:rPr>
                <w:rFonts w:eastAsia="Times New Roman" w:cs="Arial"/>
                <w:b/>
                <w:bCs/>
                <w:color w:val="000000"/>
                <w:sz w:val="20"/>
                <w:szCs w:val="20"/>
                <w:lang w:eastAsia="cs-CZ"/>
              </w:rPr>
              <w:t>UoZ</w:t>
            </w:r>
            <w:proofErr w:type="spellEnd"/>
            <w:r w:rsidR="0080161E">
              <w:rPr>
                <w:rFonts w:eastAsia="Times New Roman" w:cs="Arial"/>
                <w:b/>
                <w:bCs/>
                <w:color w:val="000000"/>
                <w:sz w:val="20"/>
                <w:szCs w:val="20"/>
                <w:lang w:eastAsia="cs-CZ"/>
              </w:rPr>
              <w:t xml:space="preserve"> </w:t>
            </w:r>
            <w:r w:rsidRPr="00336F6E">
              <w:rPr>
                <w:rFonts w:eastAsia="Times New Roman" w:cs="Arial"/>
                <w:b/>
                <w:bCs/>
                <w:color w:val="000000"/>
                <w:sz w:val="20"/>
                <w:szCs w:val="20"/>
                <w:lang w:eastAsia="cs-CZ"/>
              </w:rPr>
              <w:t>/</w:t>
            </w:r>
          </w:p>
          <w:p w:rsidR="00336F6E" w:rsidRPr="00336F6E" w:rsidRDefault="00336F6E" w:rsidP="00465AA5">
            <w:pPr>
              <w:spacing w:before="0" w:after="0"/>
              <w:jc w:val="center"/>
              <w:rPr>
                <w:rFonts w:eastAsia="Times New Roman" w:cs="Arial"/>
                <w:b/>
                <w:bCs/>
                <w:color w:val="000000"/>
                <w:sz w:val="20"/>
                <w:szCs w:val="20"/>
                <w:lang w:eastAsia="cs-CZ"/>
              </w:rPr>
            </w:pPr>
            <w:r w:rsidRPr="00336F6E">
              <w:rPr>
                <w:rFonts w:eastAsia="Times New Roman" w:cs="Arial"/>
                <w:b/>
                <w:bCs/>
                <w:color w:val="000000"/>
                <w:sz w:val="20"/>
                <w:szCs w:val="20"/>
                <w:lang w:eastAsia="cs-CZ"/>
              </w:rPr>
              <w:t xml:space="preserve">VPM </w:t>
            </w:r>
          </w:p>
        </w:tc>
      </w:tr>
      <w:tr w:rsidR="0080161E" w:rsidRPr="00336F6E" w:rsidTr="0080161E">
        <w:trPr>
          <w:trHeight w:val="278"/>
        </w:trPr>
        <w:tc>
          <w:tcPr>
            <w:tcW w:w="3261" w:type="dxa"/>
            <w:gridSpan w:val="2"/>
            <w:vMerge/>
            <w:tcBorders>
              <w:top w:val="single" w:sz="12" w:space="0" w:color="auto"/>
              <w:left w:val="single" w:sz="12" w:space="0" w:color="auto"/>
              <w:bottom w:val="single" w:sz="8" w:space="0" w:color="000000"/>
              <w:right w:val="single" w:sz="12" w:space="0" w:color="auto"/>
            </w:tcBorders>
            <w:vAlign w:val="center"/>
            <w:hideMark/>
          </w:tcPr>
          <w:p w:rsidR="00336F6E" w:rsidRPr="00336F6E" w:rsidRDefault="00336F6E" w:rsidP="00465AA5">
            <w:pPr>
              <w:spacing w:before="0" w:after="0"/>
              <w:jc w:val="left"/>
              <w:rPr>
                <w:rFonts w:eastAsia="Times New Roman" w:cs="Arial"/>
                <w:b/>
                <w:bCs/>
                <w:color w:val="000000"/>
                <w:sz w:val="20"/>
                <w:szCs w:val="20"/>
                <w:lang w:eastAsia="cs-CZ"/>
              </w:rPr>
            </w:pPr>
          </w:p>
        </w:tc>
        <w:tc>
          <w:tcPr>
            <w:tcW w:w="992" w:type="dxa"/>
            <w:vMerge/>
            <w:tcBorders>
              <w:top w:val="single" w:sz="12" w:space="0" w:color="auto"/>
              <w:left w:val="single" w:sz="12" w:space="0" w:color="auto"/>
              <w:bottom w:val="single" w:sz="8" w:space="0" w:color="000000"/>
              <w:right w:val="single" w:sz="12" w:space="0" w:color="auto"/>
            </w:tcBorders>
            <w:vAlign w:val="center"/>
            <w:hideMark/>
          </w:tcPr>
          <w:p w:rsidR="00336F6E" w:rsidRPr="00336F6E" w:rsidRDefault="00336F6E" w:rsidP="00465AA5">
            <w:pPr>
              <w:spacing w:before="0" w:after="0"/>
              <w:jc w:val="left"/>
              <w:rPr>
                <w:rFonts w:eastAsia="Times New Roman" w:cs="Arial"/>
                <w:b/>
                <w:bCs/>
                <w:color w:val="000000"/>
                <w:sz w:val="20"/>
                <w:szCs w:val="20"/>
                <w:lang w:eastAsia="cs-CZ"/>
              </w:rPr>
            </w:pPr>
          </w:p>
        </w:tc>
        <w:tc>
          <w:tcPr>
            <w:tcW w:w="992" w:type="dxa"/>
            <w:vMerge w:val="restart"/>
            <w:tcBorders>
              <w:top w:val="nil"/>
              <w:left w:val="single" w:sz="12" w:space="0" w:color="auto"/>
              <w:bottom w:val="single" w:sz="8" w:space="0" w:color="000000"/>
              <w:right w:val="nil"/>
            </w:tcBorders>
            <w:shd w:val="clear" w:color="auto" w:fill="auto"/>
            <w:vAlign w:val="center"/>
            <w:hideMark/>
          </w:tcPr>
          <w:p w:rsidR="00336F6E" w:rsidRPr="00336F6E" w:rsidRDefault="00336F6E" w:rsidP="00465AA5">
            <w:pPr>
              <w:spacing w:before="0" w:after="0"/>
              <w:jc w:val="center"/>
              <w:rPr>
                <w:rFonts w:eastAsia="Times New Roman" w:cs="Arial"/>
                <w:b/>
                <w:bCs/>
                <w:color w:val="000000"/>
                <w:sz w:val="20"/>
                <w:szCs w:val="20"/>
                <w:lang w:eastAsia="cs-CZ"/>
              </w:rPr>
            </w:pPr>
          </w:p>
        </w:tc>
        <w:tc>
          <w:tcPr>
            <w:tcW w:w="3163" w:type="dxa"/>
            <w:gridSpan w:val="4"/>
            <w:tcBorders>
              <w:top w:val="single" w:sz="4" w:space="0" w:color="auto"/>
              <w:left w:val="single" w:sz="4" w:space="0" w:color="auto"/>
              <w:bottom w:val="nil"/>
              <w:right w:val="single" w:sz="8" w:space="0" w:color="000000"/>
            </w:tcBorders>
            <w:shd w:val="clear" w:color="auto" w:fill="auto"/>
            <w:noWrap/>
            <w:vAlign w:val="center"/>
            <w:hideMark/>
          </w:tcPr>
          <w:p w:rsidR="00336F6E" w:rsidRPr="00336F6E" w:rsidRDefault="00336F6E" w:rsidP="00465AA5">
            <w:pPr>
              <w:spacing w:before="0" w:after="0"/>
              <w:jc w:val="center"/>
              <w:rPr>
                <w:rFonts w:eastAsia="Times New Roman" w:cs="Arial"/>
                <w:color w:val="000000"/>
                <w:sz w:val="20"/>
                <w:szCs w:val="20"/>
                <w:lang w:eastAsia="cs-CZ"/>
              </w:rPr>
            </w:pPr>
            <w:r w:rsidRPr="00336F6E">
              <w:rPr>
                <w:rFonts w:eastAsia="Times New Roman" w:cs="Arial"/>
                <w:color w:val="000000"/>
                <w:sz w:val="20"/>
                <w:szCs w:val="20"/>
                <w:lang w:eastAsia="cs-CZ"/>
              </w:rPr>
              <w:t>Pro cizince (z toho)</w:t>
            </w:r>
          </w:p>
        </w:tc>
        <w:tc>
          <w:tcPr>
            <w:tcW w:w="806" w:type="dxa"/>
            <w:vMerge/>
            <w:tcBorders>
              <w:top w:val="single" w:sz="12" w:space="0" w:color="auto"/>
              <w:left w:val="single" w:sz="8" w:space="0" w:color="auto"/>
              <w:bottom w:val="single" w:sz="8" w:space="0" w:color="000000"/>
              <w:right w:val="single" w:sz="12" w:space="0" w:color="auto"/>
            </w:tcBorders>
            <w:vAlign w:val="center"/>
            <w:hideMark/>
          </w:tcPr>
          <w:p w:rsidR="00336F6E" w:rsidRPr="00336F6E" w:rsidRDefault="00336F6E" w:rsidP="00465AA5">
            <w:pPr>
              <w:spacing w:before="0" w:after="0"/>
              <w:jc w:val="left"/>
              <w:rPr>
                <w:rFonts w:eastAsia="Times New Roman" w:cs="Arial"/>
                <w:b/>
                <w:bCs/>
                <w:color w:val="000000"/>
                <w:sz w:val="20"/>
                <w:szCs w:val="20"/>
                <w:lang w:eastAsia="cs-CZ"/>
              </w:rPr>
            </w:pPr>
          </w:p>
        </w:tc>
      </w:tr>
      <w:tr w:rsidR="0080161E" w:rsidRPr="00336F6E" w:rsidTr="0080161E">
        <w:trPr>
          <w:trHeight w:val="278"/>
        </w:trPr>
        <w:tc>
          <w:tcPr>
            <w:tcW w:w="3261" w:type="dxa"/>
            <w:gridSpan w:val="2"/>
            <w:vMerge/>
            <w:tcBorders>
              <w:top w:val="single" w:sz="12" w:space="0" w:color="auto"/>
              <w:left w:val="single" w:sz="12" w:space="0" w:color="auto"/>
              <w:bottom w:val="single" w:sz="8" w:space="0" w:color="000000"/>
              <w:right w:val="single" w:sz="12" w:space="0" w:color="auto"/>
            </w:tcBorders>
            <w:vAlign w:val="center"/>
            <w:hideMark/>
          </w:tcPr>
          <w:p w:rsidR="00336F6E" w:rsidRPr="00336F6E" w:rsidRDefault="00336F6E" w:rsidP="00465AA5">
            <w:pPr>
              <w:spacing w:before="0" w:after="0"/>
              <w:jc w:val="left"/>
              <w:rPr>
                <w:rFonts w:eastAsia="Times New Roman" w:cs="Arial"/>
                <w:b/>
                <w:bCs/>
                <w:color w:val="000000"/>
                <w:sz w:val="20"/>
                <w:szCs w:val="20"/>
                <w:lang w:eastAsia="cs-CZ"/>
              </w:rPr>
            </w:pPr>
          </w:p>
        </w:tc>
        <w:tc>
          <w:tcPr>
            <w:tcW w:w="992" w:type="dxa"/>
            <w:vMerge/>
            <w:tcBorders>
              <w:top w:val="single" w:sz="12" w:space="0" w:color="auto"/>
              <w:left w:val="single" w:sz="12" w:space="0" w:color="auto"/>
              <w:bottom w:val="single" w:sz="8" w:space="0" w:color="000000"/>
              <w:right w:val="single" w:sz="12" w:space="0" w:color="auto"/>
            </w:tcBorders>
            <w:vAlign w:val="center"/>
            <w:hideMark/>
          </w:tcPr>
          <w:p w:rsidR="00336F6E" w:rsidRPr="00336F6E" w:rsidRDefault="00336F6E" w:rsidP="00465AA5">
            <w:pPr>
              <w:spacing w:before="0" w:after="0"/>
              <w:jc w:val="left"/>
              <w:rPr>
                <w:rFonts w:eastAsia="Times New Roman" w:cs="Arial"/>
                <w:b/>
                <w:bCs/>
                <w:color w:val="000000"/>
                <w:sz w:val="20"/>
                <w:szCs w:val="20"/>
                <w:lang w:eastAsia="cs-CZ"/>
              </w:rPr>
            </w:pPr>
          </w:p>
        </w:tc>
        <w:tc>
          <w:tcPr>
            <w:tcW w:w="992" w:type="dxa"/>
            <w:vMerge/>
            <w:tcBorders>
              <w:top w:val="nil"/>
              <w:left w:val="single" w:sz="12" w:space="0" w:color="auto"/>
              <w:bottom w:val="single" w:sz="8" w:space="0" w:color="000000"/>
              <w:right w:val="nil"/>
            </w:tcBorders>
            <w:vAlign w:val="center"/>
            <w:hideMark/>
          </w:tcPr>
          <w:p w:rsidR="00336F6E" w:rsidRPr="00336F6E" w:rsidRDefault="00336F6E" w:rsidP="00465AA5">
            <w:pPr>
              <w:spacing w:before="0" w:after="0"/>
              <w:jc w:val="left"/>
              <w:rPr>
                <w:rFonts w:eastAsia="Times New Roman" w:cs="Arial"/>
                <w:b/>
                <w:bCs/>
                <w:color w:val="000000"/>
                <w:sz w:val="20"/>
                <w:szCs w:val="20"/>
                <w:lang w:eastAsia="cs-CZ"/>
              </w:rPr>
            </w:pPr>
          </w:p>
        </w:tc>
        <w:tc>
          <w:tcPr>
            <w:tcW w:w="993" w:type="dxa"/>
            <w:vMerge w:val="restart"/>
            <w:tcBorders>
              <w:top w:val="nil"/>
              <w:left w:val="single" w:sz="4" w:space="0" w:color="auto"/>
              <w:bottom w:val="single" w:sz="8" w:space="0" w:color="000000"/>
              <w:right w:val="dotted" w:sz="4" w:space="0" w:color="auto"/>
            </w:tcBorders>
            <w:shd w:val="clear" w:color="auto" w:fill="auto"/>
            <w:vAlign w:val="center"/>
            <w:hideMark/>
          </w:tcPr>
          <w:p w:rsidR="00336F6E" w:rsidRPr="00336F6E" w:rsidRDefault="00336F6E" w:rsidP="00465AA5">
            <w:pPr>
              <w:spacing w:before="0" w:after="0"/>
              <w:jc w:val="center"/>
              <w:rPr>
                <w:rFonts w:eastAsia="Times New Roman" w:cs="Arial"/>
                <w:color w:val="000000"/>
                <w:sz w:val="20"/>
                <w:szCs w:val="20"/>
                <w:lang w:eastAsia="cs-CZ"/>
              </w:rPr>
            </w:pPr>
          </w:p>
        </w:tc>
        <w:tc>
          <w:tcPr>
            <w:tcW w:w="708" w:type="dxa"/>
            <w:vMerge w:val="restart"/>
            <w:tcBorders>
              <w:top w:val="dotted" w:sz="4" w:space="0" w:color="auto"/>
              <w:left w:val="dotted" w:sz="4" w:space="0" w:color="auto"/>
              <w:bottom w:val="single" w:sz="8" w:space="0" w:color="000000"/>
              <w:right w:val="dotted" w:sz="4" w:space="0" w:color="auto"/>
            </w:tcBorders>
            <w:shd w:val="clear" w:color="auto" w:fill="auto"/>
            <w:vAlign w:val="center"/>
            <w:hideMark/>
          </w:tcPr>
          <w:p w:rsidR="00336F6E" w:rsidRPr="00336F6E" w:rsidRDefault="00336F6E" w:rsidP="00465AA5">
            <w:pPr>
              <w:spacing w:before="0" w:after="0"/>
              <w:jc w:val="center"/>
              <w:rPr>
                <w:rFonts w:eastAsia="Times New Roman" w:cs="Arial"/>
                <w:i/>
                <w:iCs/>
                <w:color w:val="000000"/>
                <w:sz w:val="16"/>
                <w:szCs w:val="16"/>
                <w:lang w:eastAsia="cs-CZ"/>
              </w:rPr>
            </w:pPr>
            <w:proofErr w:type="gramStart"/>
            <w:r w:rsidRPr="00336F6E">
              <w:rPr>
                <w:rFonts w:eastAsia="Times New Roman" w:cs="Arial"/>
                <w:i/>
                <w:iCs/>
                <w:color w:val="000000"/>
                <w:sz w:val="16"/>
                <w:szCs w:val="16"/>
                <w:lang w:eastAsia="cs-CZ"/>
              </w:rPr>
              <w:t xml:space="preserve">povol. k </w:t>
            </w:r>
            <w:proofErr w:type="spellStart"/>
            <w:r w:rsidRPr="00336F6E">
              <w:rPr>
                <w:rFonts w:eastAsia="Times New Roman" w:cs="Arial"/>
                <w:i/>
                <w:iCs/>
                <w:color w:val="000000"/>
                <w:sz w:val="16"/>
                <w:szCs w:val="16"/>
                <w:lang w:eastAsia="cs-CZ"/>
              </w:rPr>
              <w:t>zaměst</w:t>
            </w:r>
            <w:proofErr w:type="spellEnd"/>
            <w:proofErr w:type="gramEnd"/>
            <w:r w:rsidRPr="00336F6E">
              <w:rPr>
                <w:rFonts w:eastAsia="Times New Roman" w:cs="Arial"/>
                <w:i/>
                <w:iCs/>
                <w:color w:val="000000"/>
                <w:sz w:val="16"/>
                <w:szCs w:val="16"/>
                <w:lang w:eastAsia="cs-CZ"/>
              </w:rPr>
              <w:t xml:space="preserve">. </w:t>
            </w:r>
          </w:p>
        </w:tc>
        <w:tc>
          <w:tcPr>
            <w:tcW w:w="851" w:type="dxa"/>
            <w:vMerge w:val="restart"/>
            <w:tcBorders>
              <w:top w:val="dotted" w:sz="4" w:space="0" w:color="auto"/>
              <w:left w:val="dotted" w:sz="4" w:space="0" w:color="auto"/>
              <w:bottom w:val="single" w:sz="8" w:space="0" w:color="000000"/>
              <w:right w:val="dotted" w:sz="4" w:space="0" w:color="auto"/>
            </w:tcBorders>
            <w:shd w:val="clear" w:color="auto" w:fill="auto"/>
            <w:vAlign w:val="center"/>
            <w:hideMark/>
          </w:tcPr>
          <w:p w:rsidR="00336F6E" w:rsidRPr="00336F6E" w:rsidRDefault="00336F6E" w:rsidP="00465AA5">
            <w:pPr>
              <w:spacing w:before="0" w:after="0"/>
              <w:jc w:val="center"/>
              <w:rPr>
                <w:rFonts w:eastAsia="Times New Roman" w:cs="Arial"/>
                <w:i/>
                <w:iCs/>
                <w:color w:val="000000"/>
                <w:sz w:val="16"/>
                <w:szCs w:val="16"/>
                <w:lang w:eastAsia="cs-CZ"/>
              </w:rPr>
            </w:pPr>
            <w:proofErr w:type="spellStart"/>
            <w:r w:rsidRPr="00336F6E">
              <w:rPr>
                <w:rFonts w:eastAsia="Times New Roman" w:cs="Arial"/>
                <w:i/>
                <w:iCs/>
                <w:color w:val="000000"/>
                <w:sz w:val="16"/>
                <w:szCs w:val="16"/>
                <w:lang w:eastAsia="cs-CZ"/>
              </w:rPr>
              <w:t>zam</w:t>
            </w:r>
            <w:proofErr w:type="spellEnd"/>
            <w:r w:rsidRPr="00336F6E">
              <w:rPr>
                <w:rFonts w:eastAsia="Times New Roman" w:cs="Arial"/>
                <w:i/>
                <w:iCs/>
                <w:color w:val="000000"/>
                <w:sz w:val="16"/>
                <w:szCs w:val="16"/>
                <w:lang w:eastAsia="cs-CZ"/>
              </w:rPr>
              <w:t>. kart</w:t>
            </w:r>
            <w:r w:rsidR="0080161E">
              <w:rPr>
                <w:rFonts w:eastAsia="Times New Roman" w:cs="Arial"/>
                <w:i/>
                <w:iCs/>
                <w:color w:val="000000"/>
                <w:sz w:val="16"/>
                <w:szCs w:val="16"/>
                <w:lang w:eastAsia="cs-CZ"/>
              </w:rPr>
              <w:t>a</w:t>
            </w:r>
          </w:p>
        </w:tc>
        <w:tc>
          <w:tcPr>
            <w:tcW w:w="611" w:type="dxa"/>
            <w:vMerge w:val="restart"/>
            <w:tcBorders>
              <w:top w:val="dotted" w:sz="4" w:space="0" w:color="auto"/>
              <w:left w:val="dotted" w:sz="4" w:space="0" w:color="auto"/>
              <w:bottom w:val="single" w:sz="8" w:space="0" w:color="000000"/>
              <w:right w:val="single" w:sz="8" w:space="0" w:color="auto"/>
            </w:tcBorders>
            <w:shd w:val="clear" w:color="auto" w:fill="auto"/>
            <w:vAlign w:val="center"/>
            <w:hideMark/>
          </w:tcPr>
          <w:p w:rsidR="00336F6E" w:rsidRPr="00336F6E" w:rsidRDefault="00336F6E" w:rsidP="00465AA5">
            <w:pPr>
              <w:spacing w:before="0" w:after="0"/>
              <w:jc w:val="center"/>
              <w:rPr>
                <w:rFonts w:eastAsia="Times New Roman" w:cs="Arial"/>
                <w:i/>
                <w:iCs/>
                <w:color w:val="000000"/>
                <w:sz w:val="16"/>
                <w:szCs w:val="16"/>
                <w:lang w:eastAsia="cs-CZ"/>
              </w:rPr>
            </w:pPr>
            <w:r w:rsidRPr="00336F6E">
              <w:rPr>
                <w:rFonts w:eastAsia="Times New Roman" w:cs="Arial"/>
                <w:i/>
                <w:iCs/>
                <w:color w:val="000000"/>
                <w:sz w:val="16"/>
                <w:szCs w:val="16"/>
                <w:lang w:eastAsia="cs-CZ"/>
              </w:rPr>
              <w:t xml:space="preserve"> modr</w:t>
            </w:r>
            <w:r w:rsidR="0080161E">
              <w:rPr>
                <w:rFonts w:eastAsia="Times New Roman" w:cs="Arial"/>
                <w:i/>
                <w:iCs/>
                <w:color w:val="000000"/>
                <w:sz w:val="16"/>
                <w:szCs w:val="16"/>
                <w:lang w:eastAsia="cs-CZ"/>
              </w:rPr>
              <w:t>á</w:t>
            </w:r>
            <w:r w:rsidRPr="00336F6E">
              <w:rPr>
                <w:rFonts w:eastAsia="Times New Roman" w:cs="Arial"/>
                <w:i/>
                <w:iCs/>
                <w:color w:val="000000"/>
                <w:sz w:val="16"/>
                <w:szCs w:val="16"/>
                <w:lang w:eastAsia="cs-CZ"/>
              </w:rPr>
              <w:t xml:space="preserve"> kart</w:t>
            </w:r>
            <w:r w:rsidR="0080161E">
              <w:rPr>
                <w:rFonts w:eastAsia="Times New Roman" w:cs="Arial"/>
                <w:i/>
                <w:iCs/>
                <w:color w:val="000000"/>
                <w:sz w:val="16"/>
                <w:szCs w:val="16"/>
                <w:lang w:eastAsia="cs-CZ"/>
              </w:rPr>
              <w:t>a</w:t>
            </w:r>
          </w:p>
        </w:tc>
        <w:tc>
          <w:tcPr>
            <w:tcW w:w="806" w:type="dxa"/>
            <w:vMerge/>
            <w:tcBorders>
              <w:top w:val="single" w:sz="12" w:space="0" w:color="auto"/>
              <w:left w:val="single" w:sz="8" w:space="0" w:color="auto"/>
              <w:bottom w:val="single" w:sz="8" w:space="0" w:color="000000"/>
              <w:right w:val="single" w:sz="12" w:space="0" w:color="auto"/>
            </w:tcBorders>
            <w:vAlign w:val="center"/>
            <w:hideMark/>
          </w:tcPr>
          <w:p w:rsidR="00336F6E" w:rsidRPr="00336F6E" w:rsidRDefault="00336F6E" w:rsidP="00465AA5">
            <w:pPr>
              <w:spacing w:before="0" w:after="0"/>
              <w:jc w:val="left"/>
              <w:rPr>
                <w:rFonts w:eastAsia="Times New Roman" w:cs="Arial"/>
                <w:b/>
                <w:bCs/>
                <w:color w:val="000000"/>
                <w:sz w:val="20"/>
                <w:szCs w:val="20"/>
                <w:lang w:eastAsia="cs-CZ"/>
              </w:rPr>
            </w:pPr>
          </w:p>
        </w:tc>
      </w:tr>
      <w:tr w:rsidR="0080161E" w:rsidRPr="00336F6E" w:rsidTr="0080161E">
        <w:trPr>
          <w:trHeight w:val="278"/>
        </w:trPr>
        <w:tc>
          <w:tcPr>
            <w:tcW w:w="3261" w:type="dxa"/>
            <w:gridSpan w:val="2"/>
            <w:vMerge/>
            <w:tcBorders>
              <w:top w:val="single" w:sz="12" w:space="0" w:color="auto"/>
              <w:left w:val="single" w:sz="12" w:space="0" w:color="auto"/>
              <w:bottom w:val="single" w:sz="8" w:space="0" w:color="000000"/>
              <w:right w:val="single" w:sz="12" w:space="0" w:color="auto"/>
            </w:tcBorders>
            <w:vAlign w:val="center"/>
            <w:hideMark/>
          </w:tcPr>
          <w:p w:rsidR="00336F6E" w:rsidRPr="00336F6E" w:rsidRDefault="00336F6E" w:rsidP="00465AA5">
            <w:pPr>
              <w:spacing w:before="0" w:after="0"/>
              <w:jc w:val="left"/>
              <w:rPr>
                <w:rFonts w:eastAsia="Times New Roman" w:cs="Arial"/>
                <w:b/>
                <w:bCs/>
                <w:color w:val="000000"/>
                <w:sz w:val="20"/>
                <w:szCs w:val="20"/>
                <w:lang w:eastAsia="cs-CZ"/>
              </w:rPr>
            </w:pPr>
          </w:p>
        </w:tc>
        <w:tc>
          <w:tcPr>
            <w:tcW w:w="992" w:type="dxa"/>
            <w:vMerge/>
            <w:tcBorders>
              <w:top w:val="single" w:sz="12" w:space="0" w:color="auto"/>
              <w:left w:val="single" w:sz="12" w:space="0" w:color="auto"/>
              <w:bottom w:val="single" w:sz="8" w:space="0" w:color="000000"/>
              <w:right w:val="single" w:sz="12" w:space="0" w:color="auto"/>
            </w:tcBorders>
            <w:vAlign w:val="center"/>
            <w:hideMark/>
          </w:tcPr>
          <w:p w:rsidR="00336F6E" w:rsidRPr="00336F6E" w:rsidRDefault="00336F6E" w:rsidP="00465AA5">
            <w:pPr>
              <w:spacing w:before="0" w:after="0"/>
              <w:jc w:val="left"/>
              <w:rPr>
                <w:rFonts w:eastAsia="Times New Roman" w:cs="Arial"/>
                <w:b/>
                <w:bCs/>
                <w:color w:val="000000"/>
                <w:sz w:val="20"/>
                <w:szCs w:val="20"/>
                <w:lang w:eastAsia="cs-CZ"/>
              </w:rPr>
            </w:pPr>
          </w:p>
        </w:tc>
        <w:tc>
          <w:tcPr>
            <w:tcW w:w="992" w:type="dxa"/>
            <w:vMerge/>
            <w:tcBorders>
              <w:top w:val="nil"/>
              <w:left w:val="single" w:sz="12" w:space="0" w:color="auto"/>
              <w:bottom w:val="single" w:sz="8" w:space="0" w:color="000000"/>
              <w:right w:val="nil"/>
            </w:tcBorders>
            <w:vAlign w:val="center"/>
            <w:hideMark/>
          </w:tcPr>
          <w:p w:rsidR="00336F6E" w:rsidRPr="00336F6E" w:rsidRDefault="00336F6E" w:rsidP="00465AA5">
            <w:pPr>
              <w:spacing w:before="0" w:after="0"/>
              <w:jc w:val="left"/>
              <w:rPr>
                <w:rFonts w:eastAsia="Times New Roman" w:cs="Arial"/>
                <w:b/>
                <w:bCs/>
                <w:color w:val="000000"/>
                <w:sz w:val="20"/>
                <w:szCs w:val="20"/>
                <w:lang w:eastAsia="cs-CZ"/>
              </w:rPr>
            </w:pPr>
          </w:p>
        </w:tc>
        <w:tc>
          <w:tcPr>
            <w:tcW w:w="993" w:type="dxa"/>
            <w:vMerge/>
            <w:tcBorders>
              <w:top w:val="nil"/>
              <w:left w:val="single" w:sz="4" w:space="0" w:color="auto"/>
              <w:bottom w:val="single" w:sz="8" w:space="0" w:color="000000"/>
              <w:right w:val="dotted" w:sz="4" w:space="0" w:color="auto"/>
            </w:tcBorders>
            <w:vAlign w:val="center"/>
            <w:hideMark/>
          </w:tcPr>
          <w:p w:rsidR="00336F6E" w:rsidRPr="00336F6E" w:rsidRDefault="00336F6E" w:rsidP="00465AA5">
            <w:pPr>
              <w:spacing w:before="0" w:after="0"/>
              <w:jc w:val="left"/>
              <w:rPr>
                <w:rFonts w:eastAsia="Times New Roman" w:cs="Arial"/>
                <w:color w:val="000000"/>
                <w:sz w:val="20"/>
                <w:szCs w:val="20"/>
                <w:lang w:eastAsia="cs-CZ"/>
              </w:rPr>
            </w:pPr>
          </w:p>
        </w:tc>
        <w:tc>
          <w:tcPr>
            <w:tcW w:w="708" w:type="dxa"/>
            <w:vMerge/>
            <w:tcBorders>
              <w:top w:val="single" w:sz="4" w:space="0" w:color="auto"/>
              <w:left w:val="dotted" w:sz="4" w:space="0" w:color="auto"/>
              <w:bottom w:val="single" w:sz="8" w:space="0" w:color="000000"/>
              <w:right w:val="dotted" w:sz="4" w:space="0" w:color="auto"/>
            </w:tcBorders>
            <w:vAlign w:val="center"/>
            <w:hideMark/>
          </w:tcPr>
          <w:p w:rsidR="00336F6E" w:rsidRPr="00336F6E" w:rsidRDefault="00336F6E" w:rsidP="00465AA5">
            <w:pPr>
              <w:spacing w:before="0" w:after="0"/>
              <w:jc w:val="left"/>
              <w:rPr>
                <w:rFonts w:eastAsia="Times New Roman" w:cs="Arial"/>
                <w:i/>
                <w:iCs/>
                <w:color w:val="000000"/>
                <w:sz w:val="16"/>
                <w:szCs w:val="16"/>
                <w:lang w:eastAsia="cs-CZ"/>
              </w:rPr>
            </w:pPr>
          </w:p>
        </w:tc>
        <w:tc>
          <w:tcPr>
            <w:tcW w:w="851" w:type="dxa"/>
            <w:vMerge/>
            <w:tcBorders>
              <w:top w:val="single" w:sz="4" w:space="0" w:color="auto"/>
              <w:left w:val="dotted" w:sz="4" w:space="0" w:color="auto"/>
              <w:bottom w:val="single" w:sz="8" w:space="0" w:color="000000"/>
              <w:right w:val="dotted" w:sz="4" w:space="0" w:color="auto"/>
            </w:tcBorders>
            <w:vAlign w:val="center"/>
            <w:hideMark/>
          </w:tcPr>
          <w:p w:rsidR="00336F6E" w:rsidRPr="00336F6E" w:rsidRDefault="00336F6E" w:rsidP="00465AA5">
            <w:pPr>
              <w:spacing w:before="0" w:after="0"/>
              <w:jc w:val="left"/>
              <w:rPr>
                <w:rFonts w:eastAsia="Times New Roman" w:cs="Arial"/>
                <w:i/>
                <w:iCs/>
                <w:color w:val="000000"/>
                <w:sz w:val="16"/>
                <w:szCs w:val="16"/>
                <w:lang w:eastAsia="cs-CZ"/>
              </w:rPr>
            </w:pPr>
          </w:p>
        </w:tc>
        <w:tc>
          <w:tcPr>
            <w:tcW w:w="611" w:type="dxa"/>
            <w:vMerge/>
            <w:tcBorders>
              <w:top w:val="single" w:sz="4" w:space="0" w:color="auto"/>
              <w:left w:val="dotted" w:sz="4" w:space="0" w:color="auto"/>
              <w:bottom w:val="single" w:sz="8" w:space="0" w:color="000000"/>
              <w:right w:val="single" w:sz="8" w:space="0" w:color="auto"/>
            </w:tcBorders>
            <w:vAlign w:val="center"/>
            <w:hideMark/>
          </w:tcPr>
          <w:p w:rsidR="00336F6E" w:rsidRPr="00336F6E" w:rsidRDefault="00336F6E" w:rsidP="00465AA5">
            <w:pPr>
              <w:spacing w:before="0" w:after="0"/>
              <w:jc w:val="left"/>
              <w:rPr>
                <w:rFonts w:eastAsia="Times New Roman" w:cs="Arial"/>
                <w:i/>
                <w:iCs/>
                <w:color w:val="000000"/>
                <w:sz w:val="16"/>
                <w:szCs w:val="16"/>
                <w:lang w:eastAsia="cs-CZ"/>
              </w:rPr>
            </w:pPr>
          </w:p>
        </w:tc>
        <w:tc>
          <w:tcPr>
            <w:tcW w:w="806" w:type="dxa"/>
            <w:vMerge/>
            <w:tcBorders>
              <w:top w:val="single" w:sz="12" w:space="0" w:color="auto"/>
              <w:left w:val="single" w:sz="8" w:space="0" w:color="auto"/>
              <w:bottom w:val="single" w:sz="8" w:space="0" w:color="000000"/>
              <w:right w:val="single" w:sz="12" w:space="0" w:color="auto"/>
            </w:tcBorders>
            <w:vAlign w:val="center"/>
            <w:hideMark/>
          </w:tcPr>
          <w:p w:rsidR="00336F6E" w:rsidRPr="00336F6E" w:rsidRDefault="00336F6E" w:rsidP="00465AA5">
            <w:pPr>
              <w:spacing w:before="0" w:after="0"/>
              <w:jc w:val="left"/>
              <w:rPr>
                <w:rFonts w:eastAsia="Times New Roman" w:cs="Arial"/>
                <w:b/>
                <w:bCs/>
                <w:color w:val="000000"/>
                <w:sz w:val="20"/>
                <w:szCs w:val="20"/>
                <w:lang w:eastAsia="cs-CZ"/>
              </w:rPr>
            </w:pPr>
          </w:p>
        </w:tc>
      </w:tr>
      <w:tr w:rsidR="0080161E" w:rsidRPr="00336F6E" w:rsidTr="00465AA5">
        <w:trPr>
          <w:trHeight w:val="230"/>
        </w:trPr>
        <w:tc>
          <w:tcPr>
            <w:tcW w:w="3261" w:type="dxa"/>
            <w:gridSpan w:val="2"/>
            <w:vMerge/>
            <w:tcBorders>
              <w:top w:val="single" w:sz="12" w:space="0" w:color="auto"/>
              <w:left w:val="single" w:sz="12" w:space="0" w:color="auto"/>
              <w:bottom w:val="double" w:sz="4" w:space="0" w:color="auto"/>
              <w:right w:val="single" w:sz="12" w:space="0" w:color="auto"/>
            </w:tcBorders>
            <w:vAlign w:val="center"/>
            <w:hideMark/>
          </w:tcPr>
          <w:p w:rsidR="00336F6E" w:rsidRPr="00336F6E" w:rsidRDefault="00336F6E" w:rsidP="00465AA5">
            <w:pPr>
              <w:spacing w:before="0" w:after="0"/>
              <w:jc w:val="left"/>
              <w:rPr>
                <w:rFonts w:eastAsia="Times New Roman" w:cs="Arial"/>
                <w:b/>
                <w:bCs/>
                <w:color w:val="000000"/>
                <w:sz w:val="20"/>
                <w:szCs w:val="20"/>
                <w:lang w:eastAsia="cs-CZ"/>
              </w:rPr>
            </w:pPr>
          </w:p>
        </w:tc>
        <w:tc>
          <w:tcPr>
            <w:tcW w:w="992" w:type="dxa"/>
            <w:vMerge/>
            <w:tcBorders>
              <w:top w:val="single" w:sz="12" w:space="0" w:color="auto"/>
              <w:left w:val="single" w:sz="12" w:space="0" w:color="auto"/>
              <w:bottom w:val="double" w:sz="4" w:space="0" w:color="auto"/>
              <w:right w:val="single" w:sz="12" w:space="0" w:color="auto"/>
            </w:tcBorders>
            <w:vAlign w:val="center"/>
            <w:hideMark/>
          </w:tcPr>
          <w:p w:rsidR="00336F6E" w:rsidRPr="00336F6E" w:rsidRDefault="00336F6E" w:rsidP="00465AA5">
            <w:pPr>
              <w:spacing w:before="0" w:after="0"/>
              <w:jc w:val="left"/>
              <w:rPr>
                <w:rFonts w:eastAsia="Times New Roman" w:cs="Arial"/>
                <w:b/>
                <w:bCs/>
                <w:color w:val="000000"/>
                <w:sz w:val="20"/>
                <w:szCs w:val="20"/>
                <w:lang w:eastAsia="cs-CZ"/>
              </w:rPr>
            </w:pPr>
          </w:p>
        </w:tc>
        <w:tc>
          <w:tcPr>
            <w:tcW w:w="992" w:type="dxa"/>
            <w:vMerge/>
            <w:tcBorders>
              <w:top w:val="nil"/>
              <w:left w:val="single" w:sz="12" w:space="0" w:color="auto"/>
              <w:bottom w:val="double" w:sz="4" w:space="0" w:color="auto"/>
              <w:right w:val="nil"/>
            </w:tcBorders>
            <w:vAlign w:val="center"/>
            <w:hideMark/>
          </w:tcPr>
          <w:p w:rsidR="00336F6E" w:rsidRPr="00336F6E" w:rsidRDefault="00336F6E" w:rsidP="00465AA5">
            <w:pPr>
              <w:spacing w:before="0" w:after="0"/>
              <w:jc w:val="left"/>
              <w:rPr>
                <w:rFonts w:eastAsia="Times New Roman" w:cs="Arial"/>
                <w:b/>
                <w:bCs/>
                <w:color w:val="000000"/>
                <w:sz w:val="20"/>
                <w:szCs w:val="20"/>
                <w:lang w:eastAsia="cs-CZ"/>
              </w:rPr>
            </w:pPr>
          </w:p>
        </w:tc>
        <w:tc>
          <w:tcPr>
            <w:tcW w:w="993" w:type="dxa"/>
            <w:vMerge/>
            <w:tcBorders>
              <w:top w:val="nil"/>
              <w:left w:val="single" w:sz="4" w:space="0" w:color="auto"/>
              <w:bottom w:val="double" w:sz="4" w:space="0" w:color="auto"/>
              <w:right w:val="dotted" w:sz="4" w:space="0" w:color="auto"/>
            </w:tcBorders>
            <w:vAlign w:val="center"/>
            <w:hideMark/>
          </w:tcPr>
          <w:p w:rsidR="00336F6E" w:rsidRPr="00336F6E" w:rsidRDefault="00336F6E" w:rsidP="00465AA5">
            <w:pPr>
              <w:spacing w:before="0" w:after="0"/>
              <w:jc w:val="left"/>
              <w:rPr>
                <w:rFonts w:eastAsia="Times New Roman" w:cs="Arial"/>
                <w:color w:val="000000"/>
                <w:sz w:val="20"/>
                <w:szCs w:val="20"/>
                <w:lang w:eastAsia="cs-CZ"/>
              </w:rPr>
            </w:pPr>
          </w:p>
        </w:tc>
        <w:tc>
          <w:tcPr>
            <w:tcW w:w="708" w:type="dxa"/>
            <w:vMerge/>
            <w:tcBorders>
              <w:top w:val="single" w:sz="4" w:space="0" w:color="auto"/>
              <w:left w:val="dotted" w:sz="4" w:space="0" w:color="auto"/>
              <w:bottom w:val="double" w:sz="4" w:space="0" w:color="auto"/>
              <w:right w:val="dotted" w:sz="4" w:space="0" w:color="auto"/>
            </w:tcBorders>
            <w:vAlign w:val="center"/>
            <w:hideMark/>
          </w:tcPr>
          <w:p w:rsidR="00336F6E" w:rsidRPr="00336F6E" w:rsidRDefault="00336F6E" w:rsidP="00465AA5">
            <w:pPr>
              <w:spacing w:before="0" w:after="0"/>
              <w:jc w:val="left"/>
              <w:rPr>
                <w:rFonts w:eastAsia="Times New Roman" w:cs="Arial"/>
                <w:i/>
                <w:iCs/>
                <w:color w:val="000000"/>
                <w:sz w:val="16"/>
                <w:szCs w:val="16"/>
                <w:lang w:eastAsia="cs-CZ"/>
              </w:rPr>
            </w:pPr>
          </w:p>
        </w:tc>
        <w:tc>
          <w:tcPr>
            <w:tcW w:w="851" w:type="dxa"/>
            <w:vMerge/>
            <w:tcBorders>
              <w:top w:val="single" w:sz="4" w:space="0" w:color="auto"/>
              <w:left w:val="dotted" w:sz="4" w:space="0" w:color="auto"/>
              <w:bottom w:val="double" w:sz="4" w:space="0" w:color="auto"/>
              <w:right w:val="dotted" w:sz="4" w:space="0" w:color="auto"/>
            </w:tcBorders>
            <w:vAlign w:val="center"/>
            <w:hideMark/>
          </w:tcPr>
          <w:p w:rsidR="00336F6E" w:rsidRPr="00336F6E" w:rsidRDefault="00336F6E" w:rsidP="00465AA5">
            <w:pPr>
              <w:spacing w:before="0" w:after="0"/>
              <w:jc w:val="left"/>
              <w:rPr>
                <w:rFonts w:eastAsia="Times New Roman" w:cs="Arial"/>
                <w:i/>
                <w:iCs/>
                <w:color w:val="000000"/>
                <w:sz w:val="16"/>
                <w:szCs w:val="16"/>
                <w:lang w:eastAsia="cs-CZ"/>
              </w:rPr>
            </w:pPr>
          </w:p>
        </w:tc>
        <w:tc>
          <w:tcPr>
            <w:tcW w:w="611" w:type="dxa"/>
            <w:vMerge/>
            <w:tcBorders>
              <w:top w:val="single" w:sz="4" w:space="0" w:color="auto"/>
              <w:left w:val="dotted" w:sz="4" w:space="0" w:color="auto"/>
              <w:bottom w:val="double" w:sz="4" w:space="0" w:color="auto"/>
              <w:right w:val="single" w:sz="8" w:space="0" w:color="auto"/>
            </w:tcBorders>
            <w:vAlign w:val="center"/>
            <w:hideMark/>
          </w:tcPr>
          <w:p w:rsidR="00336F6E" w:rsidRPr="00336F6E" w:rsidRDefault="00336F6E" w:rsidP="00465AA5">
            <w:pPr>
              <w:spacing w:before="0" w:after="0"/>
              <w:jc w:val="left"/>
              <w:rPr>
                <w:rFonts w:eastAsia="Times New Roman" w:cs="Arial"/>
                <w:i/>
                <w:iCs/>
                <w:color w:val="000000"/>
                <w:sz w:val="16"/>
                <w:szCs w:val="16"/>
                <w:lang w:eastAsia="cs-CZ"/>
              </w:rPr>
            </w:pPr>
          </w:p>
        </w:tc>
        <w:tc>
          <w:tcPr>
            <w:tcW w:w="806" w:type="dxa"/>
            <w:vMerge/>
            <w:tcBorders>
              <w:top w:val="single" w:sz="12" w:space="0" w:color="auto"/>
              <w:left w:val="single" w:sz="8" w:space="0" w:color="auto"/>
              <w:bottom w:val="double" w:sz="4" w:space="0" w:color="auto"/>
              <w:right w:val="single" w:sz="12" w:space="0" w:color="auto"/>
            </w:tcBorders>
            <w:vAlign w:val="center"/>
            <w:hideMark/>
          </w:tcPr>
          <w:p w:rsidR="00336F6E" w:rsidRPr="00336F6E" w:rsidRDefault="00336F6E" w:rsidP="00465AA5">
            <w:pPr>
              <w:spacing w:before="0" w:after="0"/>
              <w:jc w:val="left"/>
              <w:rPr>
                <w:rFonts w:eastAsia="Times New Roman" w:cs="Arial"/>
                <w:b/>
                <w:bCs/>
                <w:color w:val="000000"/>
                <w:sz w:val="20"/>
                <w:szCs w:val="20"/>
                <w:lang w:eastAsia="cs-CZ"/>
              </w:rPr>
            </w:pPr>
          </w:p>
        </w:tc>
      </w:tr>
      <w:tr w:rsidR="0080161E" w:rsidRPr="00336F6E" w:rsidTr="0080161E">
        <w:trPr>
          <w:trHeight w:val="278"/>
        </w:trPr>
        <w:tc>
          <w:tcPr>
            <w:tcW w:w="284" w:type="dxa"/>
            <w:tcBorders>
              <w:top w:val="double" w:sz="4" w:space="0" w:color="auto"/>
              <w:left w:val="single" w:sz="12" w:space="0" w:color="auto"/>
              <w:bottom w:val="double" w:sz="4" w:space="0" w:color="auto"/>
              <w:right w:val="nil"/>
            </w:tcBorders>
            <w:shd w:val="clear" w:color="auto" w:fill="auto"/>
            <w:noWrap/>
            <w:vAlign w:val="bottom"/>
            <w:hideMark/>
          </w:tcPr>
          <w:p w:rsidR="00336F6E" w:rsidRPr="00336F6E" w:rsidRDefault="00336F6E" w:rsidP="00465AA5">
            <w:pPr>
              <w:spacing w:before="0" w:after="0"/>
              <w:jc w:val="left"/>
              <w:rPr>
                <w:rFonts w:eastAsia="Times New Roman" w:cs="Arial"/>
                <w:b/>
                <w:bCs/>
                <w:color w:val="000000"/>
                <w:sz w:val="20"/>
                <w:szCs w:val="20"/>
                <w:lang w:eastAsia="cs-CZ"/>
              </w:rPr>
            </w:pPr>
          </w:p>
        </w:tc>
        <w:tc>
          <w:tcPr>
            <w:tcW w:w="2977" w:type="dxa"/>
            <w:tcBorders>
              <w:top w:val="double" w:sz="4" w:space="0" w:color="auto"/>
              <w:left w:val="nil"/>
              <w:bottom w:val="double" w:sz="4" w:space="0" w:color="auto"/>
              <w:right w:val="single" w:sz="12" w:space="0" w:color="auto"/>
            </w:tcBorders>
            <w:shd w:val="clear" w:color="auto" w:fill="auto"/>
            <w:noWrap/>
            <w:vAlign w:val="bottom"/>
            <w:hideMark/>
          </w:tcPr>
          <w:p w:rsidR="00336F6E" w:rsidRPr="00336F6E" w:rsidRDefault="00336F6E" w:rsidP="00465AA5">
            <w:pPr>
              <w:spacing w:before="0" w:after="0"/>
              <w:jc w:val="left"/>
              <w:rPr>
                <w:rFonts w:eastAsia="Times New Roman" w:cs="Arial"/>
                <w:b/>
                <w:bCs/>
                <w:color w:val="000000"/>
                <w:sz w:val="20"/>
                <w:szCs w:val="20"/>
                <w:lang w:eastAsia="cs-CZ"/>
              </w:rPr>
            </w:pPr>
            <w:r w:rsidRPr="00336F6E">
              <w:rPr>
                <w:rFonts w:eastAsia="Times New Roman" w:cs="Arial"/>
                <w:b/>
                <w:bCs/>
                <w:color w:val="000000"/>
                <w:sz w:val="20"/>
                <w:szCs w:val="20"/>
                <w:lang w:eastAsia="cs-CZ"/>
              </w:rPr>
              <w:t>Celkem</w:t>
            </w:r>
          </w:p>
        </w:tc>
        <w:tc>
          <w:tcPr>
            <w:tcW w:w="992" w:type="dxa"/>
            <w:tcBorders>
              <w:top w:val="double" w:sz="4" w:space="0" w:color="auto"/>
              <w:left w:val="single" w:sz="12" w:space="0" w:color="auto"/>
              <w:bottom w:val="double" w:sz="4" w:space="0" w:color="auto"/>
              <w:right w:val="single" w:sz="12" w:space="0" w:color="auto"/>
            </w:tcBorders>
            <w:shd w:val="clear" w:color="auto" w:fill="auto"/>
            <w:noWrap/>
            <w:vAlign w:val="bottom"/>
            <w:hideMark/>
          </w:tcPr>
          <w:p w:rsidR="00336F6E" w:rsidRPr="00336F6E" w:rsidRDefault="00336F6E" w:rsidP="00465AA5">
            <w:pPr>
              <w:spacing w:before="0" w:after="0"/>
              <w:jc w:val="right"/>
              <w:rPr>
                <w:rFonts w:eastAsia="Times New Roman" w:cs="Arial"/>
                <w:b/>
                <w:bCs/>
                <w:color w:val="000000"/>
                <w:sz w:val="20"/>
                <w:szCs w:val="20"/>
                <w:lang w:eastAsia="cs-CZ"/>
              </w:rPr>
            </w:pPr>
            <w:r w:rsidRPr="00336F6E">
              <w:rPr>
                <w:rFonts w:eastAsia="Times New Roman" w:cs="Arial"/>
                <w:b/>
                <w:bCs/>
                <w:color w:val="000000"/>
                <w:sz w:val="20"/>
                <w:szCs w:val="20"/>
                <w:lang w:eastAsia="cs-CZ"/>
              </w:rPr>
              <w:t>280 620</w:t>
            </w:r>
          </w:p>
        </w:tc>
        <w:tc>
          <w:tcPr>
            <w:tcW w:w="992" w:type="dxa"/>
            <w:tcBorders>
              <w:top w:val="double" w:sz="4" w:space="0" w:color="auto"/>
              <w:left w:val="single" w:sz="12" w:space="0" w:color="auto"/>
              <w:bottom w:val="double" w:sz="4" w:space="0" w:color="auto"/>
              <w:right w:val="single"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b/>
                <w:bCs/>
                <w:color w:val="000000"/>
                <w:sz w:val="20"/>
                <w:szCs w:val="20"/>
                <w:lang w:eastAsia="cs-CZ"/>
              </w:rPr>
            </w:pPr>
            <w:r w:rsidRPr="00336F6E">
              <w:rPr>
                <w:rFonts w:eastAsia="Times New Roman" w:cs="Arial"/>
                <w:b/>
                <w:bCs/>
                <w:color w:val="000000"/>
                <w:sz w:val="20"/>
                <w:szCs w:val="20"/>
                <w:lang w:eastAsia="cs-CZ"/>
              </w:rPr>
              <w:t>216 695</w:t>
            </w:r>
          </w:p>
        </w:tc>
        <w:tc>
          <w:tcPr>
            <w:tcW w:w="993" w:type="dxa"/>
            <w:tcBorders>
              <w:top w:val="double" w:sz="4" w:space="0" w:color="auto"/>
              <w:left w:val="nil"/>
              <w:bottom w:val="doub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b/>
                <w:bCs/>
                <w:color w:val="000000"/>
                <w:sz w:val="20"/>
                <w:szCs w:val="20"/>
                <w:lang w:eastAsia="cs-CZ"/>
              </w:rPr>
            </w:pPr>
            <w:r w:rsidRPr="00336F6E">
              <w:rPr>
                <w:rFonts w:eastAsia="Times New Roman" w:cs="Arial"/>
                <w:b/>
                <w:bCs/>
                <w:color w:val="000000"/>
                <w:sz w:val="20"/>
                <w:szCs w:val="20"/>
                <w:lang w:eastAsia="cs-CZ"/>
              </w:rPr>
              <w:t>103 354</w:t>
            </w:r>
          </w:p>
        </w:tc>
        <w:tc>
          <w:tcPr>
            <w:tcW w:w="708" w:type="dxa"/>
            <w:tcBorders>
              <w:top w:val="double" w:sz="4" w:space="0" w:color="auto"/>
              <w:left w:val="dotted" w:sz="4" w:space="0" w:color="auto"/>
              <w:bottom w:val="doub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1 001</w:t>
            </w:r>
          </w:p>
        </w:tc>
        <w:tc>
          <w:tcPr>
            <w:tcW w:w="851" w:type="dxa"/>
            <w:tcBorders>
              <w:top w:val="double" w:sz="4" w:space="0" w:color="auto"/>
              <w:left w:val="dotted" w:sz="4" w:space="0" w:color="auto"/>
              <w:bottom w:val="doub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101 136</w:t>
            </w:r>
          </w:p>
        </w:tc>
        <w:tc>
          <w:tcPr>
            <w:tcW w:w="611" w:type="dxa"/>
            <w:tcBorders>
              <w:top w:val="double" w:sz="4" w:space="0" w:color="auto"/>
              <w:left w:val="dotted" w:sz="4" w:space="0" w:color="auto"/>
              <w:bottom w:val="double" w:sz="4" w:space="0" w:color="auto"/>
              <w:right w:val="single" w:sz="8"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1 217</w:t>
            </w:r>
          </w:p>
        </w:tc>
        <w:tc>
          <w:tcPr>
            <w:tcW w:w="806" w:type="dxa"/>
            <w:tcBorders>
              <w:top w:val="double" w:sz="4" w:space="0" w:color="auto"/>
              <w:left w:val="nil"/>
              <w:bottom w:val="double" w:sz="4" w:space="0" w:color="auto"/>
              <w:right w:val="single" w:sz="12" w:space="0" w:color="auto"/>
            </w:tcBorders>
            <w:shd w:val="clear" w:color="auto" w:fill="auto"/>
            <w:noWrap/>
            <w:vAlign w:val="bottom"/>
            <w:hideMark/>
          </w:tcPr>
          <w:p w:rsidR="00336F6E" w:rsidRPr="00336F6E" w:rsidRDefault="00336F6E" w:rsidP="00465AA5">
            <w:pPr>
              <w:spacing w:before="0" w:after="0"/>
              <w:jc w:val="right"/>
              <w:rPr>
                <w:rFonts w:eastAsia="Times New Roman" w:cs="Arial"/>
                <w:b/>
                <w:bCs/>
                <w:color w:val="000000"/>
                <w:sz w:val="20"/>
                <w:szCs w:val="20"/>
                <w:lang w:eastAsia="cs-CZ"/>
              </w:rPr>
            </w:pPr>
            <w:r w:rsidRPr="00336F6E">
              <w:rPr>
                <w:rFonts w:eastAsia="Times New Roman" w:cs="Arial"/>
                <w:b/>
                <w:bCs/>
                <w:color w:val="000000"/>
                <w:sz w:val="20"/>
                <w:szCs w:val="20"/>
                <w:lang w:eastAsia="cs-CZ"/>
              </w:rPr>
              <w:t>1,29</w:t>
            </w:r>
          </w:p>
        </w:tc>
      </w:tr>
      <w:tr w:rsidR="0080161E" w:rsidRPr="00336F6E" w:rsidTr="0080161E">
        <w:trPr>
          <w:trHeight w:val="278"/>
        </w:trPr>
        <w:tc>
          <w:tcPr>
            <w:tcW w:w="284" w:type="dxa"/>
            <w:tcBorders>
              <w:top w:val="double" w:sz="4" w:space="0" w:color="auto"/>
              <w:left w:val="single" w:sz="12" w:space="0" w:color="auto"/>
              <w:bottom w:val="single" w:sz="4" w:space="0" w:color="auto"/>
              <w:right w:val="single"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0</w:t>
            </w:r>
          </w:p>
        </w:tc>
        <w:tc>
          <w:tcPr>
            <w:tcW w:w="2977" w:type="dxa"/>
            <w:tcBorders>
              <w:top w:val="double" w:sz="4" w:space="0" w:color="auto"/>
              <w:left w:val="nil"/>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left"/>
              <w:rPr>
                <w:rFonts w:eastAsia="Times New Roman" w:cs="Arial"/>
                <w:color w:val="000000"/>
                <w:sz w:val="20"/>
                <w:szCs w:val="20"/>
                <w:lang w:eastAsia="cs-CZ"/>
              </w:rPr>
            </w:pPr>
            <w:r w:rsidRPr="00336F6E">
              <w:rPr>
                <w:rFonts w:eastAsia="Times New Roman" w:cs="Arial"/>
                <w:color w:val="000000"/>
                <w:sz w:val="20"/>
                <w:szCs w:val="20"/>
                <w:lang w:eastAsia="cs-CZ"/>
              </w:rPr>
              <w:t>Zaměstnanci v</w:t>
            </w:r>
            <w:r w:rsidR="0080161E">
              <w:rPr>
                <w:rFonts w:eastAsia="Times New Roman" w:cs="Arial"/>
                <w:color w:val="000000"/>
                <w:sz w:val="20"/>
                <w:szCs w:val="20"/>
                <w:lang w:eastAsia="cs-CZ"/>
              </w:rPr>
              <w:t> </w:t>
            </w:r>
            <w:proofErr w:type="spellStart"/>
            <w:r w:rsidRPr="00336F6E">
              <w:rPr>
                <w:rFonts w:eastAsia="Times New Roman" w:cs="Arial"/>
                <w:color w:val="000000"/>
                <w:sz w:val="20"/>
                <w:szCs w:val="20"/>
                <w:lang w:eastAsia="cs-CZ"/>
              </w:rPr>
              <w:t>ozb</w:t>
            </w:r>
            <w:r w:rsidR="0080161E">
              <w:rPr>
                <w:rFonts w:eastAsia="Times New Roman" w:cs="Arial"/>
                <w:color w:val="000000"/>
                <w:sz w:val="20"/>
                <w:szCs w:val="20"/>
                <w:lang w:eastAsia="cs-CZ"/>
              </w:rPr>
              <w:t>r</w:t>
            </w:r>
            <w:proofErr w:type="spellEnd"/>
            <w:r w:rsidR="0080161E">
              <w:rPr>
                <w:rFonts w:eastAsia="Times New Roman" w:cs="Arial"/>
                <w:color w:val="000000"/>
                <w:sz w:val="20"/>
                <w:szCs w:val="20"/>
                <w:lang w:eastAsia="cs-CZ"/>
              </w:rPr>
              <w:t>.</w:t>
            </w:r>
            <w:r w:rsidRPr="00336F6E">
              <w:rPr>
                <w:rFonts w:eastAsia="Times New Roman" w:cs="Arial"/>
                <w:color w:val="000000"/>
                <w:sz w:val="20"/>
                <w:szCs w:val="20"/>
                <w:lang w:eastAsia="cs-CZ"/>
              </w:rPr>
              <w:t xml:space="preserve"> silách</w:t>
            </w:r>
          </w:p>
        </w:tc>
        <w:tc>
          <w:tcPr>
            <w:tcW w:w="992" w:type="dxa"/>
            <w:tcBorders>
              <w:top w:val="double" w:sz="4" w:space="0" w:color="auto"/>
              <w:left w:val="single" w:sz="12" w:space="0" w:color="auto"/>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110</w:t>
            </w:r>
          </w:p>
        </w:tc>
        <w:tc>
          <w:tcPr>
            <w:tcW w:w="992" w:type="dxa"/>
            <w:tcBorders>
              <w:top w:val="double" w:sz="4" w:space="0" w:color="auto"/>
              <w:left w:val="single" w:sz="12" w:space="0" w:color="auto"/>
              <w:bottom w:val="single" w:sz="4" w:space="0" w:color="auto"/>
              <w:right w:val="single"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380</w:t>
            </w:r>
          </w:p>
        </w:tc>
        <w:tc>
          <w:tcPr>
            <w:tcW w:w="993" w:type="dxa"/>
            <w:tcBorders>
              <w:top w:val="double" w:sz="4" w:space="0" w:color="auto"/>
              <w:left w:val="nil"/>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0</w:t>
            </w:r>
          </w:p>
        </w:tc>
        <w:tc>
          <w:tcPr>
            <w:tcW w:w="708" w:type="dxa"/>
            <w:tcBorders>
              <w:top w:val="double" w:sz="4" w:space="0" w:color="auto"/>
              <w:left w:val="dotted" w:sz="4" w:space="0" w:color="auto"/>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0</w:t>
            </w:r>
          </w:p>
        </w:tc>
        <w:tc>
          <w:tcPr>
            <w:tcW w:w="851" w:type="dxa"/>
            <w:tcBorders>
              <w:top w:val="double" w:sz="4" w:space="0" w:color="auto"/>
              <w:left w:val="dotted" w:sz="4" w:space="0" w:color="auto"/>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0</w:t>
            </w:r>
          </w:p>
        </w:tc>
        <w:tc>
          <w:tcPr>
            <w:tcW w:w="611" w:type="dxa"/>
            <w:tcBorders>
              <w:top w:val="double" w:sz="4" w:space="0" w:color="auto"/>
              <w:left w:val="dotted" w:sz="4" w:space="0" w:color="auto"/>
              <w:bottom w:val="single" w:sz="4" w:space="0" w:color="auto"/>
              <w:right w:val="single" w:sz="8"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0</w:t>
            </w:r>
          </w:p>
        </w:tc>
        <w:tc>
          <w:tcPr>
            <w:tcW w:w="806" w:type="dxa"/>
            <w:tcBorders>
              <w:top w:val="double" w:sz="4" w:space="0" w:color="auto"/>
              <w:left w:val="nil"/>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0,29</w:t>
            </w:r>
          </w:p>
        </w:tc>
      </w:tr>
      <w:tr w:rsidR="0080161E" w:rsidRPr="00336F6E" w:rsidTr="0080161E">
        <w:trPr>
          <w:trHeight w:val="278"/>
        </w:trPr>
        <w:tc>
          <w:tcPr>
            <w:tcW w:w="284" w:type="dxa"/>
            <w:tcBorders>
              <w:top w:val="nil"/>
              <w:left w:val="single" w:sz="12" w:space="0" w:color="auto"/>
              <w:bottom w:val="single" w:sz="4" w:space="0" w:color="auto"/>
              <w:right w:val="single"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1</w:t>
            </w:r>
          </w:p>
        </w:tc>
        <w:tc>
          <w:tcPr>
            <w:tcW w:w="2977" w:type="dxa"/>
            <w:tcBorders>
              <w:top w:val="nil"/>
              <w:left w:val="nil"/>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left"/>
              <w:rPr>
                <w:rFonts w:eastAsia="Times New Roman" w:cs="Arial"/>
                <w:color w:val="000000"/>
                <w:sz w:val="20"/>
                <w:szCs w:val="20"/>
                <w:lang w:eastAsia="cs-CZ"/>
              </w:rPr>
            </w:pPr>
            <w:r w:rsidRPr="00336F6E">
              <w:rPr>
                <w:rFonts w:eastAsia="Times New Roman" w:cs="Arial"/>
                <w:color w:val="000000"/>
                <w:sz w:val="20"/>
                <w:szCs w:val="20"/>
                <w:lang w:eastAsia="cs-CZ"/>
              </w:rPr>
              <w:t xml:space="preserve">Zákonodárci a řídící </w:t>
            </w:r>
            <w:proofErr w:type="spellStart"/>
            <w:r w:rsidRPr="00336F6E">
              <w:rPr>
                <w:rFonts w:eastAsia="Times New Roman" w:cs="Arial"/>
                <w:color w:val="000000"/>
                <w:sz w:val="20"/>
                <w:szCs w:val="20"/>
                <w:lang w:eastAsia="cs-CZ"/>
              </w:rPr>
              <w:t>prac</w:t>
            </w:r>
            <w:proofErr w:type="spellEnd"/>
            <w:r w:rsidR="0080161E">
              <w:rPr>
                <w:rFonts w:eastAsia="Times New Roman" w:cs="Arial"/>
                <w:color w:val="000000"/>
                <w:sz w:val="20"/>
                <w:szCs w:val="20"/>
                <w:lang w:eastAsia="cs-CZ"/>
              </w:rPr>
              <w:t>.</w:t>
            </w:r>
          </w:p>
        </w:tc>
        <w:tc>
          <w:tcPr>
            <w:tcW w:w="992" w:type="dxa"/>
            <w:tcBorders>
              <w:top w:val="nil"/>
              <w:left w:val="single" w:sz="12" w:space="0" w:color="auto"/>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3 564</w:t>
            </w:r>
          </w:p>
        </w:tc>
        <w:tc>
          <w:tcPr>
            <w:tcW w:w="992" w:type="dxa"/>
            <w:tcBorders>
              <w:top w:val="nil"/>
              <w:left w:val="single" w:sz="12" w:space="0" w:color="auto"/>
              <w:bottom w:val="single" w:sz="4" w:space="0" w:color="auto"/>
              <w:right w:val="single"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1 717</w:t>
            </w:r>
          </w:p>
        </w:tc>
        <w:tc>
          <w:tcPr>
            <w:tcW w:w="993" w:type="dxa"/>
            <w:tcBorders>
              <w:top w:val="nil"/>
              <w:left w:val="nil"/>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923</w:t>
            </w:r>
          </w:p>
        </w:tc>
        <w:tc>
          <w:tcPr>
            <w:tcW w:w="708" w:type="dxa"/>
            <w:tcBorders>
              <w:top w:val="nil"/>
              <w:left w:val="dotted" w:sz="4" w:space="0" w:color="auto"/>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20</w:t>
            </w:r>
          </w:p>
        </w:tc>
        <w:tc>
          <w:tcPr>
            <w:tcW w:w="851" w:type="dxa"/>
            <w:tcBorders>
              <w:top w:val="nil"/>
              <w:left w:val="dotted" w:sz="4" w:space="0" w:color="auto"/>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786</w:t>
            </w:r>
          </w:p>
        </w:tc>
        <w:tc>
          <w:tcPr>
            <w:tcW w:w="611" w:type="dxa"/>
            <w:tcBorders>
              <w:top w:val="nil"/>
              <w:left w:val="dotted" w:sz="4" w:space="0" w:color="auto"/>
              <w:bottom w:val="single" w:sz="4" w:space="0" w:color="auto"/>
              <w:right w:val="single" w:sz="8"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117</w:t>
            </w:r>
          </w:p>
        </w:tc>
        <w:tc>
          <w:tcPr>
            <w:tcW w:w="806" w:type="dxa"/>
            <w:tcBorders>
              <w:top w:val="nil"/>
              <w:left w:val="nil"/>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2,08</w:t>
            </w:r>
          </w:p>
        </w:tc>
      </w:tr>
      <w:tr w:rsidR="0080161E" w:rsidRPr="00336F6E" w:rsidTr="0080161E">
        <w:trPr>
          <w:trHeight w:val="278"/>
        </w:trPr>
        <w:tc>
          <w:tcPr>
            <w:tcW w:w="284" w:type="dxa"/>
            <w:tcBorders>
              <w:top w:val="nil"/>
              <w:left w:val="single" w:sz="12" w:space="0" w:color="auto"/>
              <w:bottom w:val="single" w:sz="4" w:space="0" w:color="auto"/>
              <w:right w:val="single"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2</w:t>
            </w:r>
          </w:p>
        </w:tc>
        <w:tc>
          <w:tcPr>
            <w:tcW w:w="2977" w:type="dxa"/>
            <w:tcBorders>
              <w:top w:val="nil"/>
              <w:left w:val="nil"/>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left"/>
              <w:rPr>
                <w:rFonts w:eastAsia="Times New Roman" w:cs="Arial"/>
                <w:color w:val="000000"/>
                <w:sz w:val="20"/>
                <w:szCs w:val="20"/>
                <w:lang w:eastAsia="cs-CZ"/>
              </w:rPr>
            </w:pPr>
            <w:r w:rsidRPr="00336F6E">
              <w:rPr>
                <w:rFonts w:eastAsia="Times New Roman" w:cs="Arial"/>
                <w:color w:val="000000"/>
                <w:sz w:val="20"/>
                <w:szCs w:val="20"/>
                <w:lang w:eastAsia="cs-CZ"/>
              </w:rPr>
              <w:t>Specialisté</w:t>
            </w:r>
          </w:p>
        </w:tc>
        <w:tc>
          <w:tcPr>
            <w:tcW w:w="992" w:type="dxa"/>
            <w:tcBorders>
              <w:top w:val="nil"/>
              <w:left w:val="single" w:sz="12" w:space="0" w:color="auto"/>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13 271</w:t>
            </w:r>
          </w:p>
        </w:tc>
        <w:tc>
          <w:tcPr>
            <w:tcW w:w="992" w:type="dxa"/>
            <w:tcBorders>
              <w:top w:val="nil"/>
              <w:left w:val="single" w:sz="12" w:space="0" w:color="auto"/>
              <w:bottom w:val="single" w:sz="4" w:space="0" w:color="auto"/>
              <w:right w:val="single"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14 282</w:t>
            </w:r>
          </w:p>
        </w:tc>
        <w:tc>
          <w:tcPr>
            <w:tcW w:w="993" w:type="dxa"/>
            <w:tcBorders>
              <w:top w:val="nil"/>
              <w:left w:val="nil"/>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7 949</w:t>
            </w:r>
          </w:p>
        </w:tc>
        <w:tc>
          <w:tcPr>
            <w:tcW w:w="708" w:type="dxa"/>
            <w:tcBorders>
              <w:top w:val="nil"/>
              <w:left w:val="dotted" w:sz="4" w:space="0" w:color="auto"/>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20</w:t>
            </w:r>
          </w:p>
        </w:tc>
        <w:tc>
          <w:tcPr>
            <w:tcW w:w="851" w:type="dxa"/>
            <w:tcBorders>
              <w:top w:val="nil"/>
              <w:left w:val="dotted" w:sz="4" w:space="0" w:color="auto"/>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6 908</w:t>
            </w:r>
          </w:p>
        </w:tc>
        <w:tc>
          <w:tcPr>
            <w:tcW w:w="611" w:type="dxa"/>
            <w:tcBorders>
              <w:top w:val="nil"/>
              <w:left w:val="dotted" w:sz="4" w:space="0" w:color="auto"/>
              <w:bottom w:val="single" w:sz="4" w:space="0" w:color="auto"/>
              <w:right w:val="single" w:sz="8"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1 021</w:t>
            </w:r>
          </w:p>
        </w:tc>
        <w:tc>
          <w:tcPr>
            <w:tcW w:w="806" w:type="dxa"/>
            <w:tcBorders>
              <w:top w:val="nil"/>
              <w:left w:val="nil"/>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0,93</w:t>
            </w:r>
          </w:p>
        </w:tc>
      </w:tr>
      <w:tr w:rsidR="0080161E" w:rsidRPr="00336F6E" w:rsidTr="0080161E">
        <w:trPr>
          <w:trHeight w:val="278"/>
        </w:trPr>
        <w:tc>
          <w:tcPr>
            <w:tcW w:w="284" w:type="dxa"/>
            <w:tcBorders>
              <w:top w:val="nil"/>
              <w:left w:val="single" w:sz="12" w:space="0" w:color="auto"/>
              <w:bottom w:val="single" w:sz="4" w:space="0" w:color="auto"/>
              <w:right w:val="single"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3</w:t>
            </w:r>
          </w:p>
        </w:tc>
        <w:tc>
          <w:tcPr>
            <w:tcW w:w="2977" w:type="dxa"/>
            <w:tcBorders>
              <w:top w:val="nil"/>
              <w:left w:val="nil"/>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left"/>
              <w:rPr>
                <w:rFonts w:eastAsia="Times New Roman" w:cs="Arial"/>
                <w:color w:val="000000"/>
                <w:sz w:val="20"/>
                <w:szCs w:val="20"/>
                <w:lang w:eastAsia="cs-CZ"/>
              </w:rPr>
            </w:pPr>
            <w:r w:rsidRPr="00336F6E">
              <w:rPr>
                <w:rFonts w:eastAsia="Times New Roman" w:cs="Arial"/>
                <w:color w:val="000000"/>
                <w:sz w:val="20"/>
                <w:szCs w:val="20"/>
                <w:lang w:eastAsia="cs-CZ"/>
              </w:rPr>
              <w:t xml:space="preserve">Techničtí a odborní </w:t>
            </w:r>
            <w:proofErr w:type="spellStart"/>
            <w:r w:rsidRPr="00336F6E">
              <w:rPr>
                <w:rFonts w:eastAsia="Times New Roman" w:cs="Arial"/>
                <w:color w:val="000000"/>
                <w:sz w:val="20"/>
                <w:szCs w:val="20"/>
                <w:lang w:eastAsia="cs-CZ"/>
              </w:rPr>
              <w:t>prac</w:t>
            </w:r>
            <w:proofErr w:type="spellEnd"/>
            <w:r w:rsidR="0080161E">
              <w:rPr>
                <w:rFonts w:eastAsia="Times New Roman" w:cs="Arial"/>
                <w:color w:val="000000"/>
                <w:sz w:val="20"/>
                <w:szCs w:val="20"/>
                <w:lang w:eastAsia="cs-CZ"/>
              </w:rPr>
              <w:t>.</w:t>
            </w:r>
          </w:p>
        </w:tc>
        <w:tc>
          <w:tcPr>
            <w:tcW w:w="992" w:type="dxa"/>
            <w:tcBorders>
              <w:top w:val="nil"/>
              <w:left w:val="single" w:sz="12" w:space="0" w:color="auto"/>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18 575</w:t>
            </w:r>
          </w:p>
        </w:tc>
        <w:tc>
          <w:tcPr>
            <w:tcW w:w="992" w:type="dxa"/>
            <w:tcBorders>
              <w:top w:val="nil"/>
              <w:left w:val="single" w:sz="12" w:space="0" w:color="auto"/>
              <w:bottom w:val="single" w:sz="4" w:space="0" w:color="auto"/>
              <w:right w:val="single"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12 464</w:t>
            </w:r>
          </w:p>
        </w:tc>
        <w:tc>
          <w:tcPr>
            <w:tcW w:w="993" w:type="dxa"/>
            <w:tcBorders>
              <w:top w:val="nil"/>
              <w:left w:val="nil"/>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3 557</w:t>
            </w:r>
          </w:p>
        </w:tc>
        <w:tc>
          <w:tcPr>
            <w:tcW w:w="708" w:type="dxa"/>
            <w:tcBorders>
              <w:top w:val="nil"/>
              <w:left w:val="dotted" w:sz="4" w:space="0" w:color="auto"/>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17</w:t>
            </w:r>
          </w:p>
        </w:tc>
        <w:tc>
          <w:tcPr>
            <w:tcW w:w="851" w:type="dxa"/>
            <w:tcBorders>
              <w:top w:val="nil"/>
              <w:left w:val="dotted" w:sz="4" w:space="0" w:color="auto"/>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3 470</w:t>
            </w:r>
          </w:p>
        </w:tc>
        <w:tc>
          <w:tcPr>
            <w:tcW w:w="611" w:type="dxa"/>
            <w:tcBorders>
              <w:top w:val="nil"/>
              <w:left w:val="dotted" w:sz="4" w:space="0" w:color="auto"/>
              <w:bottom w:val="single" w:sz="4" w:space="0" w:color="auto"/>
              <w:right w:val="single" w:sz="8"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70</w:t>
            </w:r>
          </w:p>
        </w:tc>
        <w:tc>
          <w:tcPr>
            <w:tcW w:w="806" w:type="dxa"/>
            <w:tcBorders>
              <w:top w:val="nil"/>
              <w:left w:val="nil"/>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1,49</w:t>
            </w:r>
          </w:p>
        </w:tc>
      </w:tr>
      <w:tr w:rsidR="0080161E" w:rsidRPr="00336F6E" w:rsidTr="0080161E">
        <w:trPr>
          <w:trHeight w:val="278"/>
        </w:trPr>
        <w:tc>
          <w:tcPr>
            <w:tcW w:w="284" w:type="dxa"/>
            <w:tcBorders>
              <w:top w:val="nil"/>
              <w:left w:val="single" w:sz="12" w:space="0" w:color="auto"/>
              <w:bottom w:val="single" w:sz="4" w:space="0" w:color="auto"/>
              <w:right w:val="single"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4</w:t>
            </w:r>
          </w:p>
        </w:tc>
        <w:tc>
          <w:tcPr>
            <w:tcW w:w="2977" w:type="dxa"/>
            <w:tcBorders>
              <w:top w:val="nil"/>
              <w:left w:val="nil"/>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left"/>
              <w:rPr>
                <w:rFonts w:eastAsia="Times New Roman" w:cs="Arial"/>
                <w:color w:val="000000"/>
                <w:sz w:val="20"/>
                <w:szCs w:val="20"/>
                <w:lang w:eastAsia="cs-CZ"/>
              </w:rPr>
            </w:pPr>
            <w:r w:rsidRPr="00336F6E">
              <w:rPr>
                <w:rFonts w:eastAsia="Times New Roman" w:cs="Arial"/>
                <w:color w:val="000000"/>
                <w:sz w:val="20"/>
                <w:szCs w:val="20"/>
                <w:lang w:eastAsia="cs-CZ"/>
              </w:rPr>
              <w:t>Úředníci</w:t>
            </w:r>
          </w:p>
        </w:tc>
        <w:tc>
          <w:tcPr>
            <w:tcW w:w="992" w:type="dxa"/>
            <w:tcBorders>
              <w:top w:val="nil"/>
              <w:left w:val="single" w:sz="12" w:space="0" w:color="auto"/>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31 520</w:t>
            </w:r>
          </w:p>
        </w:tc>
        <w:tc>
          <w:tcPr>
            <w:tcW w:w="992" w:type="dxa"/>
            <w:tcBorders>
              <w:top w:val="nil"/>
              <w:left w:val="single" w:sz="12" w:space="0" w:color="auto"/>
              <w:bottom w:val="single" w:sz="4" w:space="0" w:color="auto"/>
              <w:right w:val="single"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6 672</w:t>
            </w:r>
          </w:p>
        </w:tc>
        <w:tc>
          <w:tcPr>
            <w:tcW w:w="993" w:type="dxa"/>
            <w:tcBorders>
              <w:top w:val="nil"/>
              <w:left w:val="nil"/>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2 090</w:t>
            </w:r>
          </w:p>
        </w:tc>
        <w:tc>
          <w:tcPr>
            <w:tcW w:w="708" w:type="dxa"/>
            <w:tcBorders>
              <w:top w:val="nil"/>
              <w:left w:val="dotted" w:sz="4" w:space="0" w:color="auto"/>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8</w:t>
            </w:r>
          </w:p>
        </w:tc>
        <w:tc>
          <w:tcPr>
            <w:tcW w:w="851" w:type="dxa"/>
            <w:tcBorders>
              <w:top w:val="nil"/>
              <w:left w:val="dotted" w:sz="4" w:space="0" w:color="auto"/>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2 078</w:t>
            </w:r>
          </w:p>
        </w:tc>
        <w:tc>
          <w:tcPr>
            <w:tcW w:w="611" w:type="dxa"/>
            <w:tcBorders>
              <w:top w:val="nil"/>
              <w:left w:val="dotted" w:sz="4" w:space="0" w:color="auto"/>
              <w:bottom w:val="single" w:sz="4" w:space="0" w:color="auto"/>
              <w:right w:val="single" w:sz="8"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4</w:t>
            </w:r>
          </w:p>
        </w:tc>
        <w:tc>
          <w:tcPr>
            <w:tcW w:w="806" w:type="dxa"/>
            <w:tcBorders>
              <w:top w:val="nil"/>
              <w:left w:val="nil"/>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4,72</w:t>
            </w:r>
          </w:p>
        </w:tc>
      </w:tr>
      <w:tr w:rsidR="0080161E" w:rsidRPr="00336F6E" w:rsidTr="0080161E">
        <w:trPr>
          <w:trHeight w:val="278"/>
        </w:trPr>
        <w:tc>
          <w:tcPr>
            <w:tcW w:w="284" w:type="dxa"/>
            <w:tcBorders>
              <w:top w:val="nil"/>
              <w:left w:val="single" w:sz="12" w:space="0" w:color="auto"/>
              <w:bottom w:val="single" w:sz="4" w:space="0" w:color="auto"/>
              <w:right w:val="single"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5</w:t>
            </w:r>
          </w:p>
        </w:tc>
        <w:tc>
          <w:tcPr>
            <w:tcW w:w="2977" w:type="dxa"/>
            <w:tcBorders>
              <w:top w:val="nil"/>
              <w:left w:val="nil"/>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left"/>
              <w:rPr>
                <w:rFonts w:eastAsia="Times New Roman" w:cs="Arial"/>
                <w:color w:val="000000"/>
                <w:sz w:val="20"/>
                <w:szCs w:val="20"/>
                <w:lang w:eastAsia="cs-CZ"/>
              </w:rPr>
            </w:pPr>
            <w:proofErr w:type="spellStart"/>
            <w:r w:rsidRPr="00336F6E">
              <w:rPr>
                <w:rFonts w:eastAsia="Times New Roman" w:cs="Arial"/>
                <w:color w:val="000000"/>
                <w:sz w:val="20"/>
                <w:szCs w:val="20"/>
                <w:lang w:eastAsia="cs-CZ"/>
              </w:rPr>
              <w:t>Prac</w:t>
            </w:r>
            <w:proofErr w:type="spellEnd"/>
            <w:r w:rsidR="0080161E">
              <w:rPr>
                <w:rFonts w:eastAsia="Times New Roman" w:cs="Arial"/>
                <w:color w:val="000000"/>
                <w:sz w:val="20"/>
                <w:szCs w:val="20"/>
                <w:lang w:eastAsia="cs-CZ"/>
              </w:rPr>
              <w:t>.</w:t>
            </w:r>
            <w:r w:rsidRPr="00336F6E">
              <w:rPr>
                <w:rFonts w:eastAsia="Times New Roman" w:cs="Arial"/>
                <w:color w:val="000000"/>
                <w:sz w:val="20"/>
                <w:szCs w:val="20"/>
                <w:lang w:eastAsia="cs-CZ"/>
              </w:rPr>
              <w:t xml:space="preserve"> </w:t>
            </w:r>
            <w:proofErr w:type="gramStart"/>
            <w:r w:rsidRPr="00336F6E">
              <w:rPr>
                <w:rFonts w:eastAsia="Times New Roman" w:cs="Arial"/>
                <w:color w:val="000000"/>
                <w:sz w:val="20"/>
                <w:szCs w:val="20"/>
                <w:lang w:eastAsia="cs-CZ"/>
              </w:rPr>
              <w:t>ve</w:t>
            </w:r>
            <w:proofErr w:type="gramEnd"/>
            <w:r w:rsidRPr="00336F6E">
              <w:rPr>
                <w:rFonts w:eastAsia="Times New Roman" w:cs="Arial"/>
                <w:color w:val="000000"/>
                <w:sz w:val="20"/>
                <w:szCs w:val="20"/>
                <w:lang w:eastAsia="cs-CZ"/>
              </w:rPr>
              <w:t xml:space="preserve"> službách a prodeji</w:t>
            </w:r>
          </w:p>
        </w:tc>
        <w:tc>
          <w:tcPr>
            <w:tcW w:w="992" w:type="dxa"/>
            <w:tcBorders>
              <w:top w:val="nil"/>
              <w:left w:val="single" w:sz="12" w:space="0" w:color="auto"/>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55 725</w:t>
            </w:r>
          </w:p>
        </w:tc>
        <w:tc>
          <w:tcPr>
            <w:tcW w:w="992" w:type="dxa"/>
            <w:tcBorders>
              <w:top w:val="nil"/>
              <w:left w:val="single" w:sz="12" w:space="0" w:color="auto"/>
              <w:bottom w:val="single" w:sz="4" w:space="0" w:color="auto"/>
              <w:right w:val="single"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25 581</w:t>
            </w:r>
          </w:p>
        </w:tc>
        <w:tc>
          <w:tcPr>
            <w:tcW w:w="993" w:type="dxa"/>
            <w:tcBorders>
              <w:top w:val="nil"/>
              <w:left w:val="nil"/>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8 089</w:t>
            </w:r>
          </w:p>
        </w:tc>
        <w:tc>
          <w:tcPr>
            <w:tcW w:w="708" w:type="dxa"/>
            <w:tcBorders>
              <w:top w:val="nil"/>
              <w:left w:val="dotted" w:sz="4" w:space="0" w:color="auto"/>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20</w:t>
            </w:r>
          </w:p>
        </w:tc>
        <w:tc>
          <w:tcPr>
            <w:tcW w:w="851" w:type="dxa"/>
            <w:tcBorders>
              <w:top w:val="nil"/>
              <w:left w:val="dotted" w:sz="4" w:space="0" w:color="auto"/>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8 064</w:t>
            </w:r>
          </w:p>
        </w:tc>
        <w:tc>
          <w:tcPr>
            <w:tcW w:w="611" w:type="dxa"/>
            <w:tcBorders>
              <w:top w:val="nil"/>
              <w:left w:val="dotted" w:sz="4" w:space="0" w:color="auto"/>
              <w:bottom w:val="single" w:sz="4" w:space="0" w:color="auto"/>
              <w:right w:val="single" w:sz="8"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5</w:t>
            </w:r>
          </w:p>
        </w:tc>
        <w:tc>
          <w:tcPr>
            <w:tcW w:w="806" w:type="dxa"/>
            <w:tcBorders>
              <w:top w:val="nil"/>
              <w:left w:val="nil"/>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2,18</w:t>
            </w:r>
          </w:p>
        </w:tc>
      </w:tr>
      <w:tr w:rsidR="0080161E" w:rsidRPr="00336F6E" w:rsidTr="0080161E">
        <w:trPr>
          <w:trHeight w:val="278"/>
        </w:trPr>
        <w:tc>
          <w:tcPr>
            <w:tcW w:w="284" w:type="dxa"/>
            <w:tcBorders>
              <w:top w:val="nil"/>
              <w:left w:val="single" w:sz="12" w:space="0" w:color="auto"/>
              <w:bottom w:val="single" w:sz="4" w:space="0" w:color="auto"/>
              <w:right w:val="single"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6</w:t>
            </w:r>
          </w:p>
        </w:tc>
        <w:tc>
          <w:tcPr>
            <w:tcW w:w="2977" w:type="dxa"/>
            <w:tcBorders>
              <w:top w:val="nil"/>
              <w:left w:val="nil"/>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left"/>
              <w:rPr>
                <w:rFonts w:eastAsia="Times New Roman" w:cs="Arial"/>
                <w:color w:val="000000"/>
                <w:sz w:val="20"/>
                <w:szCs w:val="20"/>
                <w:lang w:eastAsia="cs-CZ"/>
              </w:rPr>
            </w:pPr>
            <w:proofErr w:type="spellStart"/>
            <w:r w:rsidRPr="00336F6E">
              <w:rPr>
                <w:rFonts w:eastAsia="Times New Roman" w:cs="Arial"/>
                <w:color w:val="000000"/>
                <w:sz w:val="20"/>
                <w:szCs w:val="20"/>
                <w:lang w:eastAsia="cs-CZ"/>
              </w:rPr>
              <w:t>Kvalifik</w:t>
            </w:r>
            <w:proofErr w:type="spellEnd"/>
            <w:r w:rsidR="0080161E">
              <w:rPr>
                <w:rFonts w:eastAsia="Times New Roman" w:cs="Arial"/>
                <w:color w:val="000000"/>
                <w:sz w:val="20"/>
                <w:szCs w:val="20"/>
                <w:lang w:eastAsia="cs-CZ"/>
              </w:rPr>
              <w:t>.</w:t>
            </w:r>
            <w:r w:rsidRPr="00336F6E">
              <w:rPr>
                <w:rFonts w:eastAsia="Times New Roman" w:cs="Arial"/>
                <w:color w:val="000000"/>
                <w:sz w:val="20"/>
                <w:szCs w:val="20"/>
                <w:lang w:eastAsia="cs-CZ"/>
              </w:rPr>
              <w:t xml:space="preserve"> </w:t>
            </w:r>
            <w:proofErr w:type="spellStart"/>
            <w:r w:rsidRPr="00336F6E">
              <w:rPr>
                <w:rFonts w:eastAsia="Times New Roman" w:cs="Arial"/>
                <w:color w:val="000000"/>
                <w:sz w:val="20"/>
                <w:szCs w:val="20"/>
                <w:lang w:eastAsia="cs-CZ"/>
              </w:rPr>
              <w:t>prac</w:t>
            </w:r>
            <w:proofErr w:type="spellEnd"/>
            <w:r w:rsidR="0080161E">
              <w:rPr>
                <w:rFonts w:eastAsia="Times New Roman" w:cs="Arial"/>
                <w:color w:val="000000"/>
                <w:sz w:val="20"/>
                <w:szCs w:val="20"/>
                <w:lang w:eastAsia="cs-CZ"/>
              </w:rPr>
              <w:t>.</w:t>
            </w:r>
            <w:r w:rsidRPr="00336F6E">
              <w:rPr>
                <w:rFonts w:eastAsia="Times New Roman" w:cs="Arial"/>
                <w:color w:val="000000"/>
                <w:sz w:val="20"/>
                <w:szCs w:val="20"/>
                <w:lang w:eastAsia="cs-CZ"/>
              </w:rPr>
              <w:t xml:space="preserve"> v zem., </w:t>
            </w:r>
            <w:proofErr w:type="gramStart"/>
            <w:r w:rsidRPr="00336F6E">
              <w:rPr>
                <w:rFonts w:eastAsia="Times New Roman" w:cs="Arial"/>
                <w:color w:val="000000"/>
                <w:sz w:val="20"/>
                <w:szCs w:val="20"/>
                <w:lang w:eastAsia="cs-CZ"/>
              </w:rPr>
              <w:t>les. a ryb</w:t>
            </w:r>
            <w:proofErr w:type="gramEnd"/>
            <w:r w:rsidRPr="00336F6E">
              <w:rPr>
                <w:rFonts w:eastAsia="Times New Roman" w:cs="Arial"/>
                <w:color w:val="000000"/>
                <w:sz w:val="20"/>
                <w:szCs w:val="20"/>
                <w:lang w:eastAsia="cs-CZ"/>
              </w:rPr>
              <w:t>.</w:t>
            </w:r>
          </w:p>
        </w:tc>
        <w:tc>
          <w:tcPr>
            <w:tcW w:w="992" w:type="dxa"/>
            <w:tcBorders>
              <w:top w:val="nil"/>
              <w:left w:val="single" w:sz="12" w:space="0" w:color="auto"/>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3 642</w:t>
            </w:r>
          </w:p>
        </w:tc>
        <w:tc>
          <w:tcPr>
            <w:tcW w:w="992" w:type="dxa"/>
            <w:tcBorders>
              <w:top w:val="nil"/>
              <w:left w:val="single" w:sz="12" w:space="0" w:color="auto"/>
              <w:bottom w:val="single" w:sz="4" w:space="0" w:color="auto"/>
              <w:right w:val="single"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1 691</w:t>
            </w:r>
          </w:p>
        </w:tc>
        <w:tc>
          <w:tcPr>
            <w:tcW w:w="993" w:type="dxa"/>
            <w:tcBorders>
              <w:top w:val="nil"/>
              <w:left w:val="nil"/>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1 022</w:t>
            </w:r>
          </w:p>
        </w:tc>
        <w:tc>
          <w:tcPr>
            <w:tcW w:w="708" w:type="dxa"/>
            <w:tcBorders>
              <w:top w:val="nil"/>
              <w:left w:val="dotted" w:sz="4" w:space="0" w:color="auto"/>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0</w:t>
            </w:r>
          </w:p>
        </w:tc>
        <w:tc>
          <w:tcPr>
            <w:tcW w:w="851" w:type="dxa"/>
            <w:tcBorders>
              <w:top w:val="nil"/>
              <w:left w:val="dotted" w:sz="4" w:space="0" w:color="auto"/>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1 022</w:t>
            </w:r>
          </w:p>
        </w:tc>
        <w:tc>
          <w:tcPr>
            <w:tcW w:w="611" w:type="dxa"/>
            <w:tcBorders>
              <w:top w:val="nil"/>
              <w:left w:val="dotted" w:sz="4" w:space="0" w:color="auto"/>
              <w:bottom w:val="single" w:sz="4" w:space="0" w:color="auto"/>
              <w:right w:val="single" w:sz="8"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0</w:t>
            </w:r>
          </w:p>
        </w:tc>
        <w:tc>
          <w:tcPr>
            <w:tcW w:w="806" w:type="dxa"/>
            <w:tcBorders>
              <w:top w:val="nil"/>
              <w:left w:val="nil"/>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2,15</w:t>
            </w:r>
          </w:p>
        </w:tc>
      </w:tr>
      <w:tr w:rsidR="0080161E" w:rsidRPr="00336F6E" w:rsidTr="0080161E">
        <w:trPr>
          <w:trHeight w:val="278"/>
        </w:trPr>
        <w:tc>
          <w:tcPr>
            <w:tcW w:w="284" w:type="dxa"/>
            <w:tcBorders>
              <w:top w:val="nil"/>
              <w:left w:val="single" w:sz="12" w:space="0" w:color="auto"/>
              <w:bottom w:val="single" w:sz="4" w:space="0" w:color="auto"/>
              <w:right w:val="single"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7</w:t>
            </w:r>
          </w:p>
        </w:tc>
        <w:tc>
          <w:tcPr>
            <w:tcW w:w="2977" w:type="dxa"/>
            <w:tcBorders>
              <w:top w:val="nil"/>
              <w:left w:val="nil"/>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left"/>
              <w:rPr>
                <w:rFonts w:eastAsia="Times New Roman" w:cs="Arial"/>
                <w:color w:val="000000"/>
                <w:sz w:val="20"/>
                <w:szCs w:val="20"/>
                <w:lang w:eastAsia="cs-CZ"/>
              </w:rPr>
            </w:pPr>
            <w:r w:rsidRPr="00336F6E">
              <w:rPr>
                <w:rFonts w:eastAsia="Times New Roman" w:cs="Arial"/>
                <w:color w:val="000000"/>
                <w:sz w:val="20"/>
                <w:szCs w:val="20"/>
                <w:lang w:eastAsia="cs-CZ"/>
              </w:rPr>
              <w:t>Řemeslníci a opraváři</w:t>
            </w:r>
          </w:p>
        </w:tc>
        <w:tc>
          <w:tcPr>
            <w:tcW w:w="992" w:type="dxa"/>
            <w:tcBorders>
              <w:top w:val="nil"/>
              <w:left w:val="single" w:sz="12" w:space="0" w:color="auto"/>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33 753</w:t>
            </w:r>
          </w:p>
        </w:tc>
        <w:tc>
          <w:tcPr>
            <w:tcW w:w="992" w:type="dxa"/>
            <w:tcBorders>
              <w:top w:val="nil"/>
              <w:left w:val="single" w:sz="12" w:space="0" w:color="auto"/>
              <w:bottom w:val="single" w:sz="4" w:space="0" w:color="auto"/>
              <w:right w:val="single"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43 579</w:t>
            </w:r>
          </w:p>
        </w:tc>
        <w:tc>
          <w:tcPr>
            <w:tcW w:w="993" w:type="dxa"/>
            <w:tcBorders>
              <w:top w:val="nil"/>
              <w:left w:val="nil"/>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22 340</w:t>
            </w:r>
          </w:p>
        </w:tc>
        <w:tc>
          <w:tcPr>
            <w:tcW w:w="708" w:type="dxa"/>
            <w:tcBorders>
              <w:top w:val="nil"/>
              <w:left w:val="dotted" w:sz="4" w:space="0" w:color="auto"/>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41</w:t>
            </w:r>
          </w:p>
        </w:tc>
        <w:tc>
          <w:tcPr>
            <w:tcW w:w="851" w:type="dxa"/>
            <w:tcBorders>
              <w:top w:val="nil"/>
              <w:left w:val="dotted" w:sz="4" w:space="0" w:color="auto"/>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22 299</w:t>
            </w:r>
          </w:p>
        </w:tc>
        <w:tc>
          <w:tcPr>
            <w:tcW w:w="611" w:type="dxa"/>
            <w:tcBorders>
              <w:top w:val="nil"/>
              <w:left w:val="dotted" w:sz="4" w:space="0" w:color="auto"/>
              <w:bottom w:val="single" w:sz="4" w:space="0" w:color="auto"/>
              <w:right w:val="single" w:sz="8"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0</w:t>
            </w:r>
          </w:p>
        </w:tc>
        <w:tc>
          <w:tcPr>
            <w:tcW w:w="806" w:type="dxa"/>
            <w:tcBorders>
              <w:top w:val="nil"/>
              <w:left w:val="nil"/>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0,77</w:t>
            </w:r>
          </w:p>
        </w:tc>
      </w:tr>
      <w:tr w:rsidR="0080161E" w:rsidRPr="00336F6E" w:rsidTr="0080161E">
        <w:trPr>
          <w:trHeight w:val="278"/>
        </w:trPr>
        <w:tc>
          <w:tcPr>
            <w:tcW w:w="284" w:type="dxa"/>
            <w:tcBorders>
              <w:top w:val="nil"/>
              <w:left w:val="single" w:sz="12" w:space="0" w:color="auto"/>
              <w:bottom w:val="single" w:sz="4" w:space="0" w:color="auto"/>
              <w:right w:val="single"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8</w:t>
            </w:r>
          </w:p>
        </w:tc>
        <w:tc>
          <w:tcPr>
            <w:tcW w:w="2977" w:type="dxa"/>
            <w:tcBorders>
              <w:top w:val="nil"/>
              <w:left w:val="nil"/>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left"/>
              <w:rPr>
                <w:rFonts w:eastAsia="Times New Roman" w:cs="Arial"/>
                <w:color w:val="000000"/>
                <w:sz w:val="20"/>
                <w:szCs w:val="20"/>
                <w:lang w:eastAsia="cs-CZ"/>
              </w:rPr>
            </w:pPr>
            <w:r w:rsidRPr="00336F6E">
              <w:rPr>
                <w:rFonts w:eastAsia="Times New Roman" w:cs="Arial"/>
                <w:color w:val="000000"/>
                <w:sz w:val="20"/>
                <w:szCs w:val="20"/>
                <w:lang w:eastAsia="cs-CZ"/>
              </w:rPr>
              <w:t>Obsluha strojů a zařízení</w:t>
            </w:r>
          </w:p>
        </w:tc>
        <w:tc>
          <w:tcPr>
            <w:tcW w:w="992" w:type="dxa"/>
            <w:tcBorders>
              <w:top w:val="nil"/>
              <w:left w:val="single" w:sz="12" w:space="0" w:color="auto"/>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27 141</w:t>
            </w:r>
          </w:p>
        </w:tc>
        <w:tc>
          <w:tcPr>
            <w:tcW w:w="992" w:type="dxa"/>
            <w:tcBorders>
              <w:top w:val="nil"/>
              <w:left w:val="single" w:sz="12" w:space="0" w:color="auto"/>
              <w:bottom w:val="single" w:sz="4" w:space="0" w:color="auto"/>
              <w:right w:val="single"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58 921</w:t>
            </w:r>
          </w:p>
        </w:tc>
        <w:tc>
          <w:tcPr>
            <w:tcW w:w="993" w:type="dxa"/>
            <w:tcBorders>
              <w:top w:val="nil"/>
              <w:left w:val="nil"/>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35 031</w:t>
            </w:r>
          </w:p>
        </w:tc>
        <w:tc>
          <w:tcPr>
            <w:tcW w:w="708" w:type="dxa"/>
            <w:tcBorders>
              <w:top w:val="nil"/>
              <w:left w:val="dotted" w:sz="4" w:space="0" w:color="auto"/>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59</w:t>
            </w:r>
          </w:p>
        </w:tc>
        <w:tc>
          <w:tcPr>
            <w:tcW w:w="851" w:type="dxa"/>
            <w:tcBorders>
              <w:top w:val="nil"/>
              <w:left w:val="dotted" w:sz="4" w:space="0" w:color="auto"/>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34 972</w:t>
            </w:r>
          </w:p>
        </w:tc>
        <w:tc>
          <w:tcPr>
            <w:tcW w:w="611" w:type="dxa"/>
            <w:tcBorders>
              <w:top w:val="nil"/>
              <w:left w:val="dotted" w:sz="4" w:space="0" w:color="auto"/>
              <w:bottom w:val="single" w:sz="4" w:space="0" w:color="auto"/>
              <w:right w:val="single" w:sz="8"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0</w:t>
            </w:r>
          </w:p>
        </w:tc>
        <w:tc>
          <w:tcPr>
            <w:tcW w:w="806" w:type="dxa"/>
            <w:tcBorders>
              <w:top w:val="nil"/>
              <w:left w:val="nil"/>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0,46</w:t>
            </w:r>
          </w:p>
        </w:tc>
      </w:tr>
      <w:tr w:rsidR="0080161E" w:rsidRPr="00336F6E" w:rsidTr="0080161E">
        <w:trPr>
          <w:trHeight w:val="278"/>
        </w:trPr>
        <w:tc>
          <w:tcPr>
            <w:tcW w:w="284" w:type="dxa"/>
            <w:tcBorders>
              <w:top w:val="nil"/>
              <w:left w:val="single" w:sz="12" w:space="0" w:color="auto"/>
              <w:bottom w:val="single" w:sz="4" w:space="0" w:color="auto"/>
              <w:right w:val="single"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9</w:t>
            </w:r>
          </w:p>
        </w:tc>
        <w:tc>
          <w:tcPr>
            <w:tcW w:w="2977" w:type="dxa"/>
            <w:tcBorders>
              <w:top w:val="nil"/>
              <w:left w:val="nil"/>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left"/>
              <w:rPr>
                <w:rFonts w:eastAsia="Times New Roman" w:cs="Arial"/>
                <w:color w:val="000000"/>
                <w:sz w:val="20"/>
                <w:szCs w:val="20"/>
                <w:lang w:eastAsia="cs-CZ"/>
              </w:rPr>
            </w:pPr>
            <w:r w:rsidRPr="00336F6E">
              <w:rPr>
                <w:rFonts w:eastAsia="Times New Roman" w:cs="Arial"/>
                <w:color w:val="000000"/>
                <w:sz w:val="20"/>
                <w:szCs w:val="20"/>
                <w:lang w:eastAsia="cs-CZ"/>
              </w:rPr>
              <w:t xml:space="preserve">Pomocní a </w:t>
            </w:r>
            <w:proofErr w:type="spellStart"/>
            <w:r w:rsidRPr="00336F6E">
              <w:rPr>
                <w:rFonts w:eastAsia="Times New Roman" w:cs="Arial"/>
                <w:color w:val="000000"/>
                <w:sz w:val="20"/>
                <w:szCs w:val="20"/>
                <w:lang w:eastAsia="cs-CZ"/>
              </w:rPr>
              <w:t>nekvalifik</w:t>
            </w:r>
            <w:proofErr w:type="spellEnd"/>
            <w:r w:rsidR="0080161E">
              <w:rPr>
                <w:rFonts w:eastAsia="Times New Roman" w:cs="Arial"/>
                <w:color w:val="000000"/>
                <w:sz w:val="20"/>
                <w:szCs w:val="20"/>
                <w:lang w:eastAsia="cs-CZ"/>
              </w:rPr>
              <w:t>.</w:t>
            </w:r>
            <w:r w:rsidRPr="00336F6E">
              <w:rPr>
                <w:rFonts w:eastAsia="Times New Roman" w:cs="Arial"/>
                <w:color w:val="000000"/>
                <w:sz w:val="20"/>
                <w:szCs w:val="20"/>
                <w:lang w:eastAsia="cs-CZ"/>
              </w:rPr>
              <w:t xml:space="preserve"> </w:t>
            </w:r>
            <w:proofErr w:type="spellStart"/>
            <w:r w:rsidRPr="00336F6E">
              <w:rPr>
                <w:rFonts w:eastAsia="Times New Roman" w:cs="Arial"/>
                <w:color w:val="000000"/>
                <w:sz w:val="20"/>
                <w:szCs w:val="20"/>
                <w:lang w:eastAsia="cs-CZ"/>
              </w:rPr>
              <w:t>prac</w:t>
            </w:r>
            <w:proofErr w:type="spellEnd"/>
            <w:r w:rsidR="0080161E">
              <w:rPr>
                <w:rFonts w:eastAsia="Times New Roman" w:cs="Arial"/>
                <w:color w:val="000000"/>
                <w:sz w:val="20"/>
                <w:szCs w:val="20"/>
                <w:lang w:eastAsia="cs-CZ"/>
              </w:rPr>
              <w:t>.</w:t>
            </w:r>
          </w:p>
        </w:tc>
        <w:tc>
          <w:tcPr>
            <w:tcW w:w="992" w:type="dxa"/>
            <w:tcBorders>
              <w:top w:val="nil"/>
              <w:left w:val="single" w:sz="12" w:space="0" w:color="auto"/>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85 936</w:t>
            </w:r>
          </w:p>
        </w:tc>
        <w:tc>
          <w:tcPr>
            <w:tcW w:w="992" w:type="dxa"/>
            <w:tcBorders>
              <w:top w:val="nil"/>
              <w:left w:val="single" w:sz="12" w:space="0" w:color="auto"/>
              <w:bottom w:val="single" w:sz="4" w:space="0" w:color="auto"/>
              <w:right w:val="single"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51 408</w:t>
            </w:r>
          </w:p>
        </w:tc>
        <w:tc>
          <w:tcPr>
            <w:tcW w:w="993" w:type="dxa"/>
            <w:tcBorders>
              <w:top w:val="nil"/>
              <w:left w:val="nil"/>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22 353</w:t>
            </w:r>
          </w:p>
        </w:tc>
        <w:tc>
          <w:tcPr>
            <w:tcW w:w="708" w:type="dxa"/>
            <w:tcBorders>
              <w:top w:val="nil"/>
              <w:left w:val="dotted" w:sz="4" w:space="0" w:color="auto"/>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816</w:t>
            </w:r>
          </w:p>
        </w:tc>
        <w:tc>
          <w:tcPr>
            <w:tcW w:w="851" w:type="dxa"/>
            <w:tcBorders>
              <w:top w:val="nil"/>
              <w:left w:val="dotted" w:sz="4" w:space="0" w:color="auto"/>
              <w:bottom w:val="single" w:sz="4"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21 537</w:t>
            </w:r>
          </w:p>
        </w:tc>
        <w:tc>
          <w:tcPr>
            <w:tcW w:w="611" w:type="dxa"/>
            <w:tcBorders>
              <w:top w:val="nil"/>
              <w:left w:val="dotted" w:sz="4" w:space="0" w:color="auto"/>
              <w:bottom w:val="single" w:sz="4" w:space="0" w:color="auto"/>
              <w:right w:val="single" w:sz="8"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0</w:t>
            </w:r>
          </w:p>
        </w:tc>
        <w:tc>
          <w:tcPr>
            <w:tcW w:w="806" w:type="dxa"/>
            <w:tcBorders>
              <w:top w:val="nil"/>
              <w:left w:val="nil"/>
              <w:bottom w:val="single" w:sz="4" w:space="0" w:color="auto"/>
              <w:right w:val="single" w:sz="12"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1,67</w:t>
            </w:r>
          </w:p>
        </w:tc>
      </w:tr>
      <w:tr w:rsidR="0080161E" w:rsidRPr="00336F6E" w:rsidTr="0080161E">
        <w:trPr>
          <w:trHeight w:val="292"/>
        </w:trPr>
        <w:tc>
          <w:tcPr>
            <w:tcW w:w="284" w:type="dxa"/>
            <w:tcBorders>
              <w:top w:val="nil"/>
              <w:left w:val="single" w:sz="12" w:space="0" w:color="auto"/>
              <w:bottom w:val="single" w:sz="12" w:space="0" w:color="auto"/>
              <w:right w:val="single" w:sz="4" w:space="0" w:color="auto"/>
            </w:tcBorders>
            <w:shd w:val="clear" w:color="auto" w:fill="auto"/>
            <w:noWrap/>
            <w:vAlign w:val="bottom"/>
            <w:hideMark/>
          </w:tcPr>
          <w:p w:rsidR="00336F6E" w:rsidRPr="00336F6E" w:rsidRDefault="00336F6E" w:rsidP="00465AA5">
            <w:pPr>
              <w:spacing w:before="0" w:after="0"/>
              <w:jc w:val="left"/>
              <w:rPr>
                <w:rFonts w:eastAsia="Times New Roman" w:cs="Arial"/>
                <w:color w:val="000000"/>
                <w:sz w:val="20"/>
                <w:szCs w:val="20"/>
                <w:lang w:eastAsia="cs-CZ"/>
              </w:rPr>
            </w:pPr>
            <w:r w:rsidRPr="00336F6E">
              <w:rPr>
                <w:rFonts w:eastAsia="Times New Roman" w:cs="Arial"/>
                <w:color w:val="000000"/>
                <w:sz w:val="20"/>
                <w:szCs w:val="20"/>
                <w:lang w:eastAsia="cs-CZ"/>
              </w:rPr>
              <w:t>x</w:t>
            </w:r>
          </w:p>
        </w:tc>
        <w:tc>
          <w:tcPr>
            <w:tcW w:w="2977" w:type="dxa"/>
            <w:tcBorders>
              <w:top w:val="nil"/>
              <w:left w:val="nil"/>
              <w:bottom w:val="single" w:sz="12" w:space="0" w:color="auto"/>
              <w:right w:val="single" w:sz="12" w:space="0" w:color="auto"/>
            </w:tcBorders>
            <w:shd w:val="clear" w:color="auto" w:fill="auto"/>
            <w:noWrap/>
            <w:vAlign w:val="bottom"/>
            <w:hideMark/>
          </w:tcPr>
          <w:p w:rsidR="00336F6E" w:rsidRPr="00336F6E" w:rsidRDefault="00336F6E" w:rsidP="00465AA5">
            <w:pPr>
              <w:spacing w:before="0" w:after="0"/>
              <w:jc w:val="left"/>
              <w:rPr>
                <w:rFonts w:eastAsia="Times New Roman" w:cs="Arial"/>
                <w:color w:val="000000"/>
                <w:sz w:val="20"/>
                <w:szCs w:val="20"/>
                <w:lang w:eastAsia="cs-CZ"/>
              </w:rPr>
            </w:pPr>
            <w:r w:rsidRPr="00336F6E">
              <w:rPr>
                <w:rFonts w:eastAsia="Times New Roman" w:cs="Arial"/>
                <w:color w:val="000000"/>
                <w:sz w:val="20"/>
                <w:szCs w:val="20"/>
                <w:lang w:eastAsia="cs-CZ"/>
              </w:rPr>
              <w:t>Nezařazení</w:t>
            </w:r>
          </w:p>
        </w:tc>
        <w:tc>
          <w:tcPr>
            <w:tcW w:w="992" w:type="dxa"/>
            <w:tcBorders>
              <w:top w:val="nil"/>
              <w:left w:val="single" w:sz="12" w:space="0" w:color="auto"/>
              <w:bottom w:val="single" w:sz="12" w:space="0" w:color="auto"/>
              <w:right w:val="single" w:sz="12"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7 383</w:t>
            </w:r>
          </w:p>
        </w:tc>
        <w:tc>
          <w:tcPr>
            <w:tcW w:w="992" w:type="dxa"/>
            <w:tcBorders>
              <w:top w:val="nil"/>
              <w:left w:val="single" w:sz="12" w:space="0" w:color="auto"/>
              <w:bottom w:val="single" w:sz="12" w:space="0" w:color="auto"/>
              <w:right w:val="single"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0</w:t>
            </w:r>
          </w:p>
        </w:tc>
        <w:tc>
          <w:tcPr>
            <w:tcW w:w="993" w:type="dxa"/>
            <w:tcBorders>
              <w:top w:val="nil"/>
              <w:left w:val="nil"/>
              <w:bottom w:val="single" w:sz="12"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0</w:t>
            </w:r>
          </w:p>
        </w:tc>
        <w:tc>
          <w:tcPr>
            <w:tcW w:w="708" w:type="dxa"/>
            <w:tcBorders>
              <w:top w:val="nil"/>
              <w:left w:val="dotted" w:sz="4" w:space="0" w:color="auto"/>
              <w:bottom w:val="single" w:sz="12"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0</w:t>
            </w:r>
          </w:p>
        </w:tc>
        <w:tc>
          <w:tcPr>
            <w:tcW w:w="851" w:type="dxa"/>
            <w:tcBorders>
              <w:top w:val="nil"/>
              <w:left w:val="dotted" w:sz="4" w:space="0" w:color="auto"/>
              <w:bottom w:val="single" w:sz="12" w:space="0" w:color="auto"/>
              <w:right w:val="dotted" w:sz="4"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0</w:t>
            </w:r>
          </w:p>
        </w:tc>
        <w:tc>
          <w:tcPr>
            <w:tcW w:w="611" w:type="dxa"/>
            <w:tcBorders>
              <w:top w:val="nil"/>
              <w:left w:val="dotted" w:sz="4" w:space="0" w:color="auto"/>
              <w:bottom w:val="single" w:sz="12" w:space="0" w:color="auto"/>
              <w:right w:val="single" w:sz="8" w:space="0" w:color="auto"/>
            </w:tcBorders>
            <w:shd w:val="clear" w:color="auto" w:fill="auto"/>
            <w:noWrap/>
            <w:vAlign w:val="bottom"/>
            <w:hideMark/>
          </w:tcPr>
          <w:p w:rsidR="00336F6E" w:rsidRPr="00336F6E" w:rsidRDefault="00336F6E" w:rsidP="00465AA5">
            <w:pPr>
              <w:spacing w:before="0" w:after="0"/>
              <w:jc w:val="right"/>
              <w:rPr>
                <w:rFonts w:eastAsia="Times New Roman" w:cs="Arial"/>
                <w:i/>
                <w:iCs/>
                <w:color w:val="000000"/>
                <w:sz w:val="16"/>
                <w:szCs w:val="16"/>
                <w:lang w:eastAsia="cs-CZ"/>
              </w:rPr>
            </w:pPr>
            <w:r w:rsidRPr="00336F6E">
              <w:rPr>
                <w:rFonts w:eastAsia="Times New Roman" w:cs="Arial"/>
                <w:i/>
                <w:iCs/>
                <w:color w:val="000000"/>
                <w:sz w:val="16"/>
                <w:szCs w:val="16"/>
                <w:lang w:eastAsia="cs-CZ"/>
              </w:rPr>
              <w:t>0</w:t>
            </w:r>
          </w:p>
        </w:tc>
        <w:tc>
          <w:tcPr>
            <w:tcW w:w="806" w:type="dxa"/>
            <w:tcBorders>
              <w:top w:val="nil"/>
              <w:left w:val="nil"/>
              <w:bottom w:val="single" w:sz="12" w:space="0" w:color="auto"/>
              <w:right w:val="single" w:sz="12" w:space="0" w:color="auto"/>
            </w:tcBorders>
            <w:shd w:val="clear" w:color="auto" w:fill="auto"/>
            <w:noWrap/>
            <w:vAlign w:val="bottom"/>
            <w:hideMark/>
          </w:tcPr>
          <w:p w:rsidR="00336F6E" w:rsidRPr="00336F6E" w:rsidRDefault="00336F6E" w:rsidP="00465AA5">
            <w:pPr>
              <w:spacing w:before="0" w:after="0"/>
              <w:jc w:val="right"/>
              <w:rPr>
                <w:rFonts w:eastAsia="Times New Roman" w:cs="Arial"/>
                <w:color w:val="000000"/>
                <w:sz w:val="20"/>
                <w:szCs w:val="20"/>
                <w:lang w:eastAsia="cs-CZ"/>
              </w:rPr>
            </w:pPr>
            <w:r w:rsidRPr="00336F6E">
              <w:rPr>
                <w:rFonts w:eastAsia="Times New Roman" w:cs="Arial"/>
                <w:color w:val="000000"/>
                <w:sz w:val="20"/>
                <w:szCs w:val="20"/>
                <w:lang w:eastAsia="cs-CZ"/>
              </w:rPr>
              <w:t>n/a</w:t>
            </w:r>
          </w:p>
        </w:tc>
      </w:tr>
    </w:tbl>
    <w:p w:rsidR="002214B1" w:rsidRDefault="002214B1" w:rsidP="002214B1">
      <w:pPr>
        <w:pStyle w:val="Titulek"/>
        <w:keepNext/>
      </w:pPr>
      <w:bookmarkStart w:id="70" w:name="_Ref508704034"/>
      <w:bookmarkStart w:id="71" w:name="_Toc508704217"/>
      <w:r>
        <w:t xml:space="preserve">Graf č.: </w:t>
      </w:r>
      <w:r w:rsidR="007B53ED">
        <w:fldChar w:fldCharType="begin"/>
      </w:r>
      <w:r w:rsidR="007B53ED">
        <w:instrText xml:space="preserve"> SEQ Graf_č.: \* ARABIC </w:instrText>
      </w:r>
      <w:r w:rsidR="007B53ED">
        <w:fldChar w:fldCharType="separate"/>
      </w:r>
      <w:r w:rsidR="00F41CBA">
        <w:rPr>
          <w:noProof/>
        </w:rPr>
        <w:t>15</w:t>
      </w:r>
      <w:r w:rsidR="007B53ED">
        <w:rPr>
          <w:noProof/>
        </w:rPr>
        <w:fldChar w:fldCharType="end"/>
      </w:r>
      <w:bookmarkEnd w:id="70"/>
      <w:r>
        <w:t xml:space="preserve"> </w:t>
      </w:r>
      <w:r w:rsidRPr="006F17A5">
        <w:t xml:space="preserve">Podíl VPM hlášených jako vhodných pro cizince podle hl. tříd zaměstnání, porovnání s počtem </w:t>
      </w:r>
      <w:proofErr w:type="spellStart"/>
      <w:r w:rsidRPr="006F17A5">
        <w:t>UoZ</w:t>
      </w:r>
      <w:proofErr w:type="spellEnd"/>
      <w:r w:rsidRPr="006F17A5">
        <w:t>/VPM (31. 12. 2017)</w:t>
      </w:r>
      <w:bookmarkEnd w:id="71"/>
    </w:p>
    <w:p w:rsidR="00336F6E" w:rsidRPr="00336F6E" w:rsidRDefault="00465AA5" w:rsidP="00336F6E">
      <w:r>
        <w:rPr>
          <w:noProof/>
          <w:lang w:eastAsia="cs-CZ"/>
        </w:rPr>
        <w:drawing>
          <wp:inline distT="0" distB="0" distL="0" distR="0" wp14:anchorId="7D701C89" wp14:editId="5103A343">
            <wp:extent cx="5760720" cy="3190873"/>
            <wp:effectExtent l="0" t="0" r="11430" b="10160"/>
            <wp:docPr id="20" name="Graf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336F6E" w:rsidRDefault="00336F6E" w:rsidP="00336F6E">
      <w:pPr>
        <w:pStyle w:val="Nadpis3"/>
      </w:pPr>
      <w:bookmarkStart w:id="72" w:name="_Toc509474134"/>
      <w:r>
        <w:t>Zjednodušení přístupu občanů „třetích států“ na český trh práce</w:t>
      </w:r>
      <w:bookmarkEnd w:id="66"/>
      <w:bookmarkEnd w:id="67"/>
      <w:bookmarkEnd w:id="72"/>
    </w:p>
    <w:p w:rsidR="00336F6E" w:rsidRDefault="00336F6E" w:rsidP="00336F6E">
      <w:pPr>
        <w:rPr>
          <w:szCs w:val="24"/>
        </w:rPr>
      </w:pPr>
      <w:r w:rsidRPr="005A7D7E">
        <w:rPr>
          <w:szCs w:val="24"/>
        </w:rPr>
        <w:t>V soul</w:t>
      </w:r>
      <w:r>
        <w:rPr>
          <w:szCs w:val="24"/>
        </w:rPr>
        <w:t xml:space="preserve">adu se zákonem o zaměstnanosti </w:t>
      </w:r>
      <w:r w:rsidRPr="005A7D7E">
        <w:rPr>
          <w:szCs w:val="24"/>
        </w:rPr>
        <w:t>jsou na volné pracovní pozice přednostně umísťován</w:t>
      </w:r>
      <w:r>
        <w:rPr>
          <w:szCs w:val="24"/>
        </w:rPr>
        <w:t>i</w:t>
      </w:r>
      <w:r w:rsidRPr="005A7D7E">
        <w:rPr>
          <w:szCs w:val="24"/>
        </w:rPr>
        <w:t xml:space="preserve"> uchazeči o zaměstnání – občané ČR, případně občané EU nebo občané třetích zemí, kteří </w:t>
      </w:r>
      <w:r>
        <w:rPr>
          <w:szCs w:val="24"/>
        </w:rPr>
        <w:t>mají podle zákona o zaměstnanosti volný přístup na trh práce.</w:t>
      </w:r>
      <w:r w:rsidRPr="005A7D7E">
        <w:rPr>
          <w:szCs w:val="24"/>
        </w:rPr>
        <w:t xml:space="preserve"> Teprve pokud volné pracovní místo nelze s ohledem na požadovanou kvalifikaci nebo nedostatek pracovních sil obsadit jinak, může takové místo obs</w:t>
      </w:r>
      <w:r>
        <w:rPr>
          <w:szCs w:val="24"/>
        </w:rPr>
        <w:t>adit cizinec z </w:t>
      </w:r>
      <w:r w:rsidRPr="005A7D7E">
        <w:rPr>
          <w:szCs w:val="24"/>
        </w:rPr>
        <w:t xml:space="preserve">tzv. třetích států, tedy i Ukrajiny. </w:t>
      </w:r>
    </w:p>
    <w:p w:rsidR="00336F6E" w:rsidRDefault="00336F6E" w:rsidP="00336F6E">
      <w:pPr>
        <w:rPr>
          <w:rFonts w:cs="Arial"/>
          <w:bCs/>
          <w:i/>
          <w:szCs w:val="24"/>
        </w:rPr>
      </w:pPr>
      <w:r w:rsidRPr="00376552">
        <w:rPr>
          <w:szCs w:val="24"/>
        </w:rPr>
        <w:t xml:space="preserve">Zájem o různá pobytová oprávnění ze strany občanů Ukrajiny mnohonásobně překračuje kapacitu zastupitelských úřadů ČR na Ukrajině. </w:t>
      </w:r>
      <w:r>
        <w:rPr>
          <w:szCs w:val="24"/>
        </w:rPr>
        <w:t xml:space="preserve">Z tohoto důvodu schválila vláda ČR dva projekty ukrajinské migrace: </w:t>
      </w:r>
      <w:r>
        <w:rPr>
          <w:rFonts w:cs="Arial"/>
          <w:bCs/>
          <w:i/>
          <w:szCs w:val="24"/>
        </w:rPr>
        <w:t xml:space="preserve">Projekt </w:t>
      </w:r>
      <w:r w:rsidRPr="005A7D7E">
        <w:rPr>
          <w:rFonts w:cs="Arial"/>
          <w:bCs/>
          <w:i/>
          <w:szCs w:val="24"/>
        </w:rPr>
        <w:t>Zvláštní postupy pro vysoce kvalifikované zaměstnance z</w:t>
      </w:r>
      <w:r>
        <w:rPr>
          <w:rFonts w:cs="Arial"/>
          <w:bCs/>
          <w:i/>
          <w:szCs w:val="24"/>
        </w:rPr>
        <w:t> </w:t>
      </w:r>
      <w:r w:rsidRPr="005A7D7E">
        <w:rPr>
          <w:rFonts w:cs="Arial"/>
          <w:bCs/>
          <w:i/>
          <w:szCs w:val="24"/>
        </w:rPr>
        <w:t>Ukrajiny</w:t>
      </w:r>
      <w:r>
        <w:rPr>
          <w:rFonts w:cs="Arial"/>
          <w:bCs/>
          <w:i/>
          <w:szCs w:val="24"/>
        </w:rPr>
        <w:t xml:space="preserve"> (dále jen „Projekt“)</w:t>
      </w:r>
      <w:r>
        <w:rPr>
          <w:rFonts w:cs="Arial"/>
          <w:bCs/>
          <w:szCs w:val="24"/>
        </w:rPr>
        <w:t xml:space="preserve"> a </w:t>
      </w:r>
      <w:r w:rsidRPr="005A7D7E">
        <w:rPr>
          <w:rFonts w:cs="Arial"/>
          <w:bCs/>
          <w:i/>
          <w:szCs w:val="24"/>
        </w:rPr>
        <w:t>Režim zvláštního zacházení pro kvalifikované zaměstnance z</w:t>
      </w:r>
      <w:r>
        <w:rPr>
          <w:rFonts w:cs="Arial"/>
          <w:bCs/>
          <w:i/>
          <w:szCs w:val="24"/>
        </w:rPr>
        <w:t> </w:t>
      </w:r>
      <w:r w:rsidRPr="005A7D7E">
        <w:rPr>
          <w:rFonts w:cs="Arial"/>
          <w:bCs/>
          <w:i/>
          <w:szCs w:val="24"/>
        </w:rPr>
        <w:t>Ukrajiny</w:t>
      </w:r>
      <w:r>
        <w:rPr>
          <w:rFonts w:cs="Arial"/>
          <w:bCs/>
          <w:i/>
          <w:szCs w:val="24"/>
        </w:rPr>
        <w:t xml:space="preserve"> (dále jen „Režim“). </w:t>
      </w:r>
      <w:r>
        <w:rPr>
          <w:szCs w:val="24"/>
        </w:rPr>
        <w:t>P</w:t>
      </w:r>
      <w:r w:rsidRPr="00376552">
        <w:rPr>
          <w:szCs w:val="24"/>
        </w:rPr>
        <w:t xml:space="preserve">rincip spočívá v tom, že budoucí zaměstnavatel se přihlašuje do </w:t>
      </w:r>
      <w:r>
        <w:rPr>
          <w:szCs w:val="24"/>
        </w:rPr>
        <w:t>P</w:t>
      </w:r>
      <w:r w:rsidRPr="00376552">
        <w:rPr>
          <w:szCs w:val="24"/>
        </w:rPr>
        <w:t>rojektu či Režimu již s</w:t>
      </w:r>
      <w:r>
        <w:rPr>
          <w:szCs w:val="24"/>
        </w:rPr>
        <w:t> </w:t>
      </w:r>
      <w:r w:rsidRPr="00376552">
        <w:rPr>
          <w:szCs w:val="24"/>
        </w:rPr>
        <w:t xml:space="preserve">vytipovanými konkrétními zaměstnanci, které následně zastupitelský úřad aktivně kontaktuje a domlouvá si s nimi napřímo termín </w:t>
      </w:r>
      <w:r>
        <w:rPr>
          <w:szCs w:val="24"/>
        </w:rPr>
        <w:t>podání žádosti o zaměstnaneckou kartu</w:t>
      </w:r>
      <w:r w:rsidRPr="00376552">
        <w:rPr>
          <w:szCs w:val="24"/>
        </w:rPr>
        <w:t xml:space="preserve">. Náběr žádostí o zaměstnanecké karty pro zaměstnavatele zařazené do </w:t>
      </w:r>
      <w:r>
        <w:rPr>
          <w:szCs w:val="24"/>
        </w:rPr>
        <w:t>P</w:t>
      </w:r>
      <w:r w:rsidRPr="00376552">
        <w:rPr>
          <w:szCs w:val="24"/>
        </w:rPr>
        <w:t>rojektu a R</w:t>
      </w:r>
      <w:r>
        <w:rPr>
          <w:szCs w:val="24"/>
        </w:rPr>
        <w:t>ežimu</w:t>
      </w:r>
      <w:r w:rsidRPr="00376552">
        <w:rPr>
          <w:szCs w:val="24"/>
        </w:rPr>
        <w:t xml:space="preserve"> je takto výrazně urychlen.</w:t>
      </w:r>
    </w:p>
    <w:p w:rsidR="00336F6E" w:rsidRPr="00336F6E" w:rsidRDefault="00336F6E" w:rsidP="00336F6E">
      <w:pPr>
        <w:rPr>
          <w:rFonts w:cs="Arial"/>
          <w:bCs/>
          <w:szCs w:val="24"/>
          <w:u w:val="single"/>
        </w:rPr>
      </w:pPr>
      <w:r w:rsidRPr="00336F6E">
        <w:rPr>
          <w:rFonts w:cs="Arial"/>
          <w:bCs/>
          <w:szCs w:val="24"/>
          <w:u w:val="single"/>
        </w:rPr>
        <w:t>Projekt „Zvláštní postupy pro vysoce kvalifikované zaměstnance z Ukrajiny“</w:t>
      </w:r>
    </w:p>
    <w:p w:rsidR="00336F6E" w:rsidRPr="00A909DF" w:rsidRDefault="00336F6E" w:rsidP="00336F6E">
      <w:pPr>
        <w:rPr>
          <w:szCs w:val="24"/>
        </w:rPr>
      </w:pPr>
      <w:r>
        <w:rPr>
          <w:szCs w:val="24"/>
        </w:rPr>
        <w:t>Od 9. 11. 2015 je na základě usnesení vlády pilotně r</w:t>
      </w:r>
      <w:r w:rsidRPr="005A7D7E">
        <w:rPr>
          <w:szCs w:val="24"/>
        </w:rPr>
        <w:t xml:space="preserve">ealizován </w:t>
      </w:r>
      <w:r>
        <w:rPr>
          <w:szCs w:val="24"/>
        </w:rPr>
        <w:t xml:space="preserve">projekt „Zvláštní postupy pro vysoce kvalifikované zaměstnance z Ukrajiny“ se </w:t>
      </w:r>
      <w:r w:rsidRPr="005A7D7E">
        <w:rPr>
          <w:szCs w:val="24"/>
        </w:rPr>
        <w:t xml:space="preserve">stanovenou roční kvótou </w:t>
      </w:r>
      <w:r w:rsidRPr="006A37BD">
        <w:rPr>
          <w:szCs w:val="24"/>
        </w:rPr>
        <w:t>500 zaměstnanců</w:t>
      </w:r>
      <w:r w:rsidRPr="005A7D7E">
        <w:rPr>
          <w:szCs w:val="24"/>
        </w:rPr>
        <w:t xml:space="preserve">. Je určen pro specialisty, jejichž pracovní pozice je dle platného znění aktualizované Klasifikace zaměstnání (CZ-ISCO) zpravidla zařazena do hlavních tříd 1 – 3. Žádosti o zařazení do </w:t>
      </w:r>
      <w:r>
        <w:rPr>
          <w:szCs w:val="24"/>
        </w:rPr>
        <w:t>P</w:t>
      </w:r>
      <w:r w:rsidRPr="005A7D7E">
        <w:rPr>
          <w:szCs w:val="24"/>
        </w:rPr>
        <w:t>rojektu přijímá Ministerstvo průmyslu a</w:t>
      </w:r>
      <w:r>
        <w:rPr>
          <w:szCs w:val="24"/>
        </w:rPr>
        <w:t> </w:t>
      </w:r>
      <w:r w:rsidRPr="005A7D7E">
        <w:rPr>
          <w:szCs w:val="24"/>
        </w:rPr>
        <w:t>obchodu, pro zdravotnické profese pak Ministerstvo zdravotnictví.</w:t>
      </w:r>
      <w:r>
        <w:rPr>
          <w:szCs w:val="24"/>
        </w:rPr>
        <w:t xml:space="preserve"> </w:t>
      </w:r>
      <w:r w:rsidRPr="005A7D7E">
        <w:rPr>
          <w:szCs w:val="24"/>
        </w:rPr>
        <w:t>Jedná</w:t>
      </w:r>
      <w:r>
        <w:rPr>
          <w:szCs w:val="24"/>
        </w:rPr>
        <w:t xml:space="preserve"> se většinou o specialisty IT a </w:t>
      </w:r>
      <w:r w:rsidRPr="005A7D7E">
        <w:rPr>
          <w:szCs w:val="24"/>
        </w:rPr>
        <w:t>specialisty v oblasti prodeje a nákupu, stavební in</w:t>
      </w:r>
      <w:r>
        <w:rPr>
          <w:szCs w:val="24"/>
        </w:rPr>
        <w:t>ženýry, strojírenské techniky a </w:t>
      </w:r>
      <w:r w:rsidRPr="005A7D7E">
        <w:rPr>
          <w:szCs w:val="24"/>
        </w:rPr>
        <w:t>další.</w:t>
      </w:r>
      <w:r>
        <w:rPr>
          <w:szCs w:val="24"/>
        </w:rPr>
        <w:t xml:space="preserve"> V prvním roce fungování </w:t>
      </w:r>
      <w:r w:rsidRPr="00A909DF">
        <w:rPr>
          <w:szCs w:val="24"/>
        </w:rPr>
        <w:t>Projektu byla roční kapacita vyčerpána z</w:t>
      </w:r>
      <w:r>
        <w:rPr>
          <w:szCs w:val="24"/>
        </w:rPr>
        <w:t>e</w:t>
      </w:r>
      <w:r w:rsidRPr="00A909DF">
        <w:rPr>
          <w:szCs w:val="24"/>
        </w:rPr>
        <w:t xml:space="preserve"> </w:t>
      </w:r>
      <w:r w:rsidRPr="00A909DF">
        <w:rPr>
          <w:rFonts w:cs="Arial"/>
          <w:sz w:val="22"/>
        </w:rPr>
        <w:t xml:space="preserve">45,8 </w:t>
      </w:r>
      <w:r w:rsidRPr="00A909DF">
        <w:rPr>
          <w:szCs w:val="24"/>
        </w:rPr>
        <w:t xml:space="preserve">%. Od zahájení Projektu </w:t>
      </w:r>
      <w:r>
        <w:rPr>
          <w:szCs w:val="24"/>
        </w:rPr>
        <w:t>bylo</w:t>
      </w:r>
      <w:r w:rsidRPr="00A909DF">
        <w:rPr>
          <w:szCs w:val="24"/>
        </w:rPr>
        <w:t xml:space="preserve"> k 29. 12. 2017 celkem 826 zařazených uchazečů.</w:t>
      </w:r>
    </w:p>
    <w:p w:rsidR="00336F6E" w:rsidRPr="00336F6E" w:rsidRDefault="00336F6E" w:rsidP="00336F6E">
      <w:pPr>
        <w:rPr>
          <w:rFonts w:cs="Arial"/>
          <w:bCs/>
          <w:szCs w:val="24"/>
          <w:u w:val="single"/>
        </w:rPr>
      </w:pPr>
      <w:r w:rsidRPr="00336F6E">
        <w:rPr>
          <w:rFonts w:cs="Arial"/>
          <w:bCs/>
          <w:szCs w:val="24"/>
          <w:u w:val="single"/>
        </w:rPr>
        <w:t>Režim zvláštního zacházení pro kvalifikované zaměstnance z Ukrajiny</w:t>
      </w:r>
    </w:p>
    <w:p w:rsidR="00336F6E" w:rsidRPr="005A7D7E" w:rsidRDefault="00336F6E" w:rsidP="00336F6E">
      <w:pPr>
        <w:rPr>
          <w:szCs w:val="24"/>
        </w:rPr>
      </w:pPr>
      <w:r w:rsidRPr="005A7D7E">
        <w:rPr>
          <w:szCs w:val="24"/>
        </w:rPr>
        <w:t xml:space="preserve">Od 1. </w:t>
      </w:r>
      <w:r>
        <w:rPr>
          <w:szCs w:val="24"/>
        </w:rPr>
        <w:t>8.</w:t>
      </w:r>
      <w:r w:rsidRPr="005A7D7E">
        <w:rPr>
          <w:szCs w:val="24"/>
        </w:rPr>
        <w:t xml:space="preserve"> 2016 je na základě usnesení vlády realizován „Režim zvláštního zacházení pro kvalifikované zaměstnance z Ukrajiny“, jehož cílem je urychlit příchod ukrajinských občanů pro nedostatkové profese střední a nižší kvalifikace. Režim je určený primárně pro technické profese. </w:t>
      </w:r>
    </w:p>
    <w:p w:rsidR="00336F6E" w:rsidRPr="006F7BCA" w:rsidRDefault="00336F6E" w:rsidP="00336F6E">
      <w:pPr>
        <w:rPr>
          <w:szCs w:val="24"/>
        </w:rPr>
      </w:pPr>
      <w:r w:rsidRPr="005A7D7E">
        <w:rPr>
          <w:szCs w:val="24"/>
        </w:rPr>
        <w:t xml:space="preserve">Žádosti o zařazení do Režimu přijímají podnikatelské reprezentace. </w:t>
      </w:r>
      <w:r>
        <w:rPr>
          <w:szCs w:val="24"/>
        </w:rPr>
        <w:t xml:space="preserve">Vzhledem k velkému zájmu zaměstnavatelů byla původní kvóta prvního roku ve výši 3 800 žádostí v podstatě vyčerpána během prvního půl roku fungování Režimu, proto bylo dne 8. 2. 2017 na jednání vlády rozhodnuto o navýšení personální systemizace Ministerstva zahraničních věcí a Ministerstva vnitra, které ve svém důsledku umožnilo zdvojnásobit kapacitu přijímaných žádostí na bezmála 10 000 žádostí o zaměstnanecké karty ročně. </w:t>
      </w:r>
      <w:r w:rsidRPr="008E2F8E">
        <w:rPr>
          <w:szCs w:val="24"/>
        </w:rPr>
        <w:t>Od 1.</w:t>
      </w:r>
      <w:r>
        <w:rPr>
          <w:szCs w:val="24"/>
        </w:rPr>
        <w:t xml:space="preserve"> </w:t>
      </w:r>
      <w:r w:rsidRPr="008E2F8E">
        <w:rPr>
          <w:szCs w:val="24"/>
        </w:rPr>
        <w:t xml:space="preserve">května 2018, tj. dva měsíce po navýšení systemizace </w:t>
      </w:r>
      <w:r>
        <w:rPr>
          <w:szCs w:val="24"/>
        </w:rPr>
        <w:t>Ministerstva zahraničních věcí, Ministerstva vnitra, Ministerstva průmyslu a obchodu a Ministerstva práce a sociálních věcí</w:t>
      </w:r>
      <w:r w:rsidRPr="008E2F8E">
        <w:rPr>
          <w:szCs w:val="24"/>
        </w:rPr>
        <w:t xml:space="preserve"> dojde k navýšení Režimu na 19 600 žádostí ročně</w:t>
      </w:r>
      <w:r>
        <w:rPr>
          <w:szCs w:val="24"/>
        </w:rPr>
        <w:t>.</w:t>
      </w:r>
    </w:p>
    <w:p w:rsidR="006C6EEE" w:rsidRDefault="006C6EEE" w:rsidP="009A6A6C">
      <w:pPr>
        <w:rPr>
          <w:sz w:val="28"/>
          <w:szCs w:val="28"/>
        </w:rPr>
      </w:pPr>
      <w:r>
        <w:br w:type="page"/>
      </w:r>
    </w:p>
    <w:p w:rsidR="00044F8A" w:rsidRDefault="006C6EEE" w:rsidP="006C6EEE">
      <w:pPr>
        <w:pStyle w:val="Nadpis1"/>
      </w:pPr>
      <w:bookmarkStart w:id="73" w:name="_Ref508386294"/>
      <w:bookmarkStart w:id="74" w:name="_Toc509474135"/>
      <w:r>
        <w:t>Analýza dlouhodobé nezaměstnanosti</w:t>
      </w:r>
      <w:bookmarkEnd w:id="73"/>
      <w:bookmarkEnd w:id="74"/>
    </w:p>
    <w:p w:rsidR="00B24349" w:rsidRDefault="00B24349" w:rsidP="00B24349">
      <w:r>
        <w:t>Pozitivní vývoj trhu práce charakterizovaný vysokou poptávkou po pracovní síle měl v roce 2017 pozitivní dopad na vývoj dlouhodobé nezaměstnanosti. Osoby evidované UP ČR déle než 12 měsíců k 31. 12. 2017 tvořily 33,7 % všech evidovaných uchazečů. Meziročně, tedy oproti stejnému datu roku 2016, poklesl jak absolutní počet dlouhodobě nezaměstnaných uchazečů o zaměstnání, tak rovněž jejich podíl na celkové nezaměstnanosti. Zatímco v evidenci UP ČR ubylo 49 651 osob s dobou evidence nad 12 měsíců, podíl této skupiny na celkové nezaměstnanosti se snížil o 4,1 p. b. Základní meziroční vývoj v oblasti dlouhodobé nezaměstnanosti</w:t>
      </w:r>
      <w:r w:rsidR="007C73CF">
        <w:t xml:space="preserve"> uvádí </w:t>
      </w:r>
      <w:r w:rsidR="007C73CF">
        <w:fldChar w:fldCharType="begin"/>
      </w:r>
      <w:r w:rsidR="007C73CF">
        <w:instrText xml:space="preserve"> REF _Ref508619730 \h </w:instrText>
      </w:r>
      <w:r w:rsidR="007C73CF">
        <w:fldChar w:fldCharType="separate"/>
      </w:r>
      <w:r w:rsidR="00F41CBA">
        <w:t xml:space="preserve">Tabulka </w:t>
      </w:r>
      <w:r w:rsidR="00F41CBA">
        <w:rPr>
          <w:noProof/>
        </w:rPr>
        <w:t>10</w:t>
      </w:r>
      <w:r w:rsidR="007C73CF">
        <w:fldChar w:fldCharType="end"/>
      </w:r>
      <w:r>
        <w:t>.</w:t>
      </w:r>
    </w:p>
    <w:p w:rsidR="00B24349" w:rsidRDefault="00B24349" w:rsidP="00B24349">
      <w:pPr>
        <w:pStyle w:val="Titulek"/>
        <w:keepNext/>
      </w:pPr>
      <w:bookmarkStart w:id="75" w:name="_Ref508619730"/>
      <w:bookmarkStart w:id="76" w:name="_Toc508704229"/>
      <w:r>
        <w:t xml:space="preserve">Tabulka </w:t>
      </w:r>
      <w:r w:rsidR="007B53ED">
        <w:fldChar w:fldCharType="begin"/>
      </w:r>
      <w:r w:rsidR="007B53ED">
        <w:instrText xml:space="preserve"> SEQ Tabulka \* ARABIC </w:instrText>
      </w:r>
      <w:r w:rsidR="007B53ED">
        <w:fldChar w:fldCharType="separate"/>
      </w:r>
      <w:r w:rsidR="00F41CBA">
        <w:rPr>
          <w:noProof/>
        </w:rPr>
        <w:t>10</w:t>
      </w:r>
      <w:r w:rsidR="007B53ED">
        <w:rPr>
          <w:noProof/>
        </w:rPr>
        <w:fldChar w:fldCharType="end"/>
      </w:r>
      <w:bookmarkEnd w:id="75"/>
      <w:r>
        <w:t xml:space="preserve"> Meziroční srovnání dlouhodobé nezaměstnanosti</w:t>
      </w:r>
      <w:bookmarkEnd w:id="76"/>
    </w:p>
    <w:tbl>
      <w:tblPr>
        <w:tblW w:w="8804" w:type="dxa"/>
        <w:tblInd w:w="55" w:type="dxa"/>
        <w:tblCellMar>
          <w:left w:w="70" w:type="dxa"/>
          <w:right w:w="70" w:type="dxa"/>
        </w:tblCellMar>
        <w:tblLook w:val="04A0" w:firstRow="1" w:lastRow="0" w:firstColumn="1" w:lastColumn="0" w:noHBand="0" w:noVBand="1"/>
      </w:tblPr>
      <w:tblGrid>
        <w:gridCol w:w="1460"/>
        <w:gridCol w:w="940"/>
        <w:gridCol w:w="876"/>
        <w:gridCol w:w="1842"/>
        <w:gridCol w:w="836"/>
        <w:gridCol w:w="1858"/>
        <w:gridCol w:w="992"/>
      </w:tblGrid>
      <w:tr w:rsidR="00B24349" w:rsidRPr="00747164" w:rsidTr="007C73CF">
        <w:trPr>
          <w:trHeight w:val="340"/>
        </w:trPr>
        <w:tc>
          <w:tcPr>
            <w:tcW w:w="1460" w:type="dxa"/>
            <w:tcBorders>
              <w:top w:val="nil"/>
              <w:left w:val="nil"/>
              <w:bottom w:val="nil"/>
              <w:right w:val="nil"/>
            </w:tcBorders>
            <w:shd w:val="clear" w:color="auto" w:fill="auto"/>
            <w:noWrap/>
            <w:vAlign w:val="bottom"/>
            <w:hideMark/>
          </w:tcPr>
          <w:p w:rsidR="00B24349" w:rsidRPr="00747164" w:rsidRDefault="00B24349" w:rsidP="007C73CF">
            <w:pPr>
              <w:jc w:val="center"/>
              <w:rPr>
                <w:rFonts w:eastAsia="Times New Roman" w:cs="Arial"/>
                <w:color w:val="000000"/>
                <w:sz w:val="20"/>
                <w:szCs w:val="20"/>
                <w:lang w:eastAsia="cs-CZ"/>
              </w:rPr>
            </w:pP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4349" w:rsidRPr="00747164" w:rsidRDefault="00B24349" w:rsidP="00B24349">
            <w:pPr>
              <w:spacing w:before="0" w:after="0"/>
              <w:jc w:val="center"/>
              <w:rPr>
                <w:rFonts w:eastAsia="Times New Roman" w:cs="Arial"/>
                <w:color w:val="000000"/>
                <w:sz w:val="18"/>
                <w:szCs w:val="18"/>
                <w:lang w:eastAsia="cs-CZ"/>
              </w:rPr>
            </w:pPr>
            <w:r w:rsidRPr="00747164">
              <w:rPr>
                <w:rFonts w:eastAsia="Times New Roman" w:cs="Arial"/>
                <w:color w:val="000000"/>
                <w:sz w:val="18"/>
                <w:szCs w:val="18"/>
                <w:lang w:eastAsia="cs-CZ"/>
              </w:rPr>
              <w:t xml:space="preserve">Počet </w:t>
            </w:r>
            <w:proofErr w:type="spellStart"/>
            <w:r w:rsidRPr="00747164">
              <w:rPr>
                <w:rFonts w:eastAsia="Times New Roman" w:cs="Arial"/>
                <w:color w:val="000000"/>
                <w:sz w:val="18"/>
                <w:szCs w:val="18"/>
                <w:lang w:eastAsia="cs-CZ"/>
              </w:rPr>
              <w:t>UoZ</w:t>
            </w:r>
            <w:proofErr w:type="spellEnd"/>
            <w:r w:rsidRPr="00747164">
              <w:rPr>
                <w:rFonts w:eastAsia="Times New Roman" w:cs="Arial"/>
                <w:color w:val="000000"/>
                <w:sz w:val="18"/>
                <w:szCs w:val="18"/>
                <w:lang w:eastAsia="cs-CZ"/>
              </w:rPr>
              <w:br/>
              <w:t xml:space="preserve">celkem </w:t>
            </w:r>
          </w:p>
        </w:tc>
        <w:tc>
          <w:tcPr>
            <w:tcW w:w="541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24349" w:rsidRPr="00747164" w:rsidRDefault="00B24349" w:rsidP="00B24349">
            <w:pPr>
              <w:spacing w:before="0" w:after="0"/>
              <w:jc w:val="center"/>
              <w:rPr>
                <w:rFonts w:eastAsia="Times New Roman" w:cs="Arial"/>
                <w:color w:val="000000"/>
                <w:sz w:val="18"/>
                <w:szCs w:val="18"/>
                <w:lang w:eastAsia="cs-CZ"/>
              </w:rPr>
            </w:pPr>
            <w:r w:rsidRPr="00E0530B">
              <w:rPr>
                <w:rFonts w:eastAsia="Times New Roman" w:cs="Arial"/>
                <w:color w:val="000000"/>
                <w:sz w:val="18"/>
                <w:szCs w:val="18"/>
                <w:lang w:eastAsia="cs-CZ"/>
              </w:rPr>
              <w:t>D</w:t>
            </w:r>
            <w:r w:rsidRPr="00747164">
              <w:rPr>
                <w:rFonts w:eastAsia="Times New Roman" w:cs="Arial"/>
                <w:color w:val="000000"/>
                <w:sz w:val="18"/>
                <w:szCs w:val="18"/>
                <w:lang w:eastAsia="cs-CZ"/>
              </w:rPr>
              <w:t>élka nezaměstnanosti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4349" w:rsidRPr="00747164" w:rsidRDefault="00B24349" w:rsidP="00B24349">
            <w:pPr>
              <w:spacing w:before="0" w:after="0"/>
              <w:jc w:val="center"/>
              <w:rPr>
                <w:rFonts w:eastAsia="Times New Roman" w:cs="Arial"/>
                <w:color w:val="000000"/>
                <w:sz w:val="18"/>
                <w:szCs w:val="18"/>
                <w:lang w:eastAsia="cs-CZ"/>
              </w:rPr>
            </w:pPr>
            <w:r w:rsidRPr="00747164">
              <w:rPr>
                <w:rFonts w:eastAsia="Times New Roman" w:cs="Arial"/>
                <w:color w:val="000000"/>
                <w:sz w:val="18"/>
                <w:szCs w:val="18"/>
                <w:lang w:eastAsia="cs-CZ"/>
              </w:rPr>
              <w:t>Počet</w:t>
            </w:r>
            <w:r w:rsidRPr="00747164">
              <w:rPr>
                <w:rFonts w:eastAsia="Times New Roman" w:cs="Arial"/>
                <w:color w:val="000000"/>
                <w:sz w:val="18"/>
                <w:szCs w:val="18"/>
                <w:lang w:eastAsia="cs-CZ"/>
              </w:rPr>
              <w:br/>
              <w:t>VPM</w:t>
            </w:r>
          </w:p>
        </w:tc>
      </w:tr>
      <w:tr w:rsidR="00B24349" w:rsidRPr="00747164" w:rsidTr="007C73CF">
        <w:trPr>
          <w:trHeight w:val="340"/>
        </w:trPr>
        <w:tc>
          <w:tcPr>
            <w:tcW w:w="1460" w:type="dxa"/>
            <w:tcBorders>
              <w:top w:val="nil"/>
              <w:left w:val="nil"/>
              <w:bottom w:val="nil"/>
              <w:right w:val="nil"/>
            </w:tcBorders>
            <w:shd w:val="clear" w:color="auto" w:fill="auto"/>
            <w:noWrap/>
            <w:vAlign w:val="bottom"/>
            <w:hideMark/>
          </w:tcPr>
          <w:p w:rsidR="00B24349" w:rsidRPr="00747164" w:rsidRDefault="00B24349" w:rsidP="007C73CF">
            <w:pPr>
              <w:rPr>
                <w:rFonts w:eastAsia="Times New Roman" w:cs="Arial"/>
                <w:color w:val="000000"/>
                <w:sz w:val="20"/>
                <w:szCs w:val="20"/>
                <w:lang w:eastAsia="cs-CZ"/>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B24349" w:rsidRPr="00747164" w:rsidRDefault="00B24349" w:rsidP="00B24349">
            <w:pPr>
              <w:spacing w:before="0" w:after="0"/>
              <w:rPr>
                <w:rFonts w:eastAsia="Times New Roman" w:cs="Arial"/>
                <w:color w:val="000000"/>
                <w:sz w:val="18"/>
                <w:szCs w:val="18"/>
                <w:lang w:eastAsia="cs-CZ"/>
              </w:rPr>
            </w:pPr>
          </w:p>
        </w:tc>
        <w:tc>
          <w:tcPr>
            <w:tcW w:w="2718" w:type="dxa"/>
            <w:gridSpan w:val="2"/>
            <w:tcBorders>
              <w:top w:val="single" w:sz="4" w:space="0" w:color="auto"/>
              <w:left w:val="nil"/>
              <w:bottom w:val="single" w:sz="4" w:space="0" w:color="auto"/>
              <w:right w:val="single" w:sz="4" w:space="0" w:color="auto"/>
            </w:tcBorders>
            <w:shd w:val="clear" w:color="auto" w:fill="auto"/>
            <w:noWrap/>
            <w:vAlign w:val="center"/>
            <w:hideMark/>
          </w:tcPr>
          <w:p w:rsidR="00B24349" w:rsidRPr="00747164" w:rsidRDefault="00B24349" w:rsidP="00B24349">
            <w:pPr>
              <w:spacing w:before="0" w:after="0"/>
              <w:jc w:val="center"/>
              <w:rPr>
                <w:rFonts w:eastAsia="Times New Roman" w:cs="Arial"/>
                <w:color w:val="000000"/>
                <w:sz w:val="18"/>
                <w:szCs w:val="18"/>
                <w:lang w:eastAsia="cs-CZ"/>
              </w:rPr>
            </w:pPr>
            <w:r w:rsidRPr="00747164">
              <w:rPr>
                <w:rFonts w:eastAsia="Times New Roman" w:cs="Arial"/>
                <w:color w:val="000000"/>
                <w:sz w:val="18"/>
                <w:szCs w:val="18"/>
                <w:lang w:eastAsia="cs-CZ"/>
              </w:rPr>
              <w:t>12 a více měs</w:t>
            </w:r>
            <w:r w:rsidRPr="00E0530B">
              <w:rPr>
                <w:rFonts w:eastAsia="Times New Roman" w:cs="Arial"/>
                <w:color w:val="000000"/>
                <w:sz w:val="18"/>
                <w:szCs w:val="18"/>
                <w:lang w:eastAsia="cs-CZ"/>
              </w:rPr>
              <w:t>íců</w:t>
            </w:r>
          </w:p>
        </w:tc>
        <w:tc>
          <w:tcPr>
            <w:tcW w:w="2694" w:type="dxa"/>
            <w:gridSpan w:val="2"/>
            <w:tcBorders>
              <w:top w:val="single" w:sz="4" w:space="0" w:color="auto"/>
              <w:left w:val="nil"/>
              <w:bottom w:val="single" w:sz="4" w:space="0" w:color="auto"/>
              <w:right w:val="single" w:sz="4" w:space="0" w:color="auto"/>
            </w:tcBorders>
            <w:shd w:val="clear" w:color="auto" w:fill="auto"/>
            <w:noWrap/>
            <w:vAlign w:val="center"/>
            <w:hideMark/>
          </w:tcPr>
          <w:p w:rsidR="00B24349" w:rsidRPr="00747164" w:rsidRDefault="00B24349" w:rsidP="00B24349">
            <w:pPr>
              <w:spacing w:before="0" w:after="0"/>
              <w:jc w:val="center"/>
              <w:rPr>
                <w:rFonts w:eastAsia="Times New Roman" w:cs="Arial"/>
                <w:color w:val="000000"/>
                <w:sz w:val="18"/>
                <w:szCs w:val="18"/>
                <w:lang w:eastAsia="cs-CZ"/>
              </w:rPr>
            </w:pPr>
            <w:r w:rsidRPr="00E0530B">
              <w:rPr>
                <w:rFonts w:eastAsia="Times New Roman" w:cs="Arial"/>
                <w:color w:val="000000"/>
                <w:sz w:val="18"/>
                <w:szCs w:val="18"/>
                <w:lang w:eastAsia="cs-CZ"/>
              </w:rPr>
              <w:t>24 a více měsíců</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B24349" w:rsidRPr="00747164" w:rsidRDefault="00B24349" w:rsidP="00B24349">
            <w:pPr>
              <w:spacing w:before="0" w:after="0"/>
              <w:rPr>
                <w:rFonts w:eastAsia="Times New Roman" w:cs="Arial"/>
                <w:color w:val="000000"/>
                <w:sz w:val="18"/>
                <w:szCs w:val="18"/>
                <w:lang w:eastAsia="cs-CZ"/>
              </w:rPr>
            </w:pPr>
          </w:p>
        </w:tc>
      </w:tr>
      <w:tr w:rsidR="00B24349" w:rsidRPr="00747164" w:rsidTr="007C73CF">
        <w:trPr>
          <w:trHeight w:val="227"/>
        </w:trPr>
        <w:tc>
          <w:tcPr>
            <w:tcW w:w="1460" w:type="dxa"/>
            <w:tcBorders>
              <w:top w:val="nil"/>
              <w:left w:val="nil"/>
              <w:bottom w:val="nil"/>
              <w:right w:val="nil"/>
            </w:tcBorders>
            <w:shd w:val="clear" w:color="auto" w:fill="auto"/>
            <w:noWrap/>
            <w:vAlign w:val="bottom"/>
            <w:hideMark/>
          </w:tcPr>
          <w:p w:rsidR="00B24349" w:rsidRPr="00747164" w:rsidRDefault="00B24349" w:rsidP="007C73CF">
            <w:pPr>
              <w:rPr>
                <w:rFonts w:eastAsia="Times New Roman" w:cs="Arial"/>
                <w:color w:val="000000"/>
                <w:sz w:val="20"/>
                <w:szCs w:val="20"/>
                <w:lang w:eastAsia="cs-CZ"/>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B24349" w:rsidRPr="00747164" w:rsidRDefault="00B24349" w:rsidP="00B24349">
            <w:pPr>
              <w:spacing w:before="0" w:after="0"/>
              <w:rPr>
                <w:rFonts w:eastAsia="Times New Roman" w:cs="Arial"/>
                <w:color w:val="000000"/>
                <w:sz w:val="18"/>
                <w:szCs w:val="18"/>
                <w:lang w:eastAsia="cs-CZ"/>
              </w:rPr>
            </w:pPr>
          </w:p>
        </w:tc>
        <w:tc>
          <w:tcPr>
            <w:tcW w:w="876" w:type="dxa"/>
            <w:vMerge w:val="restart"/>
            <w:tcBorders>
              <w:top w:val="nil"/>
              <w:left w:val="nil"/>
              <w:bottom w:val="single" w:sz="4" w:space="0" w:color="000000"/>
              <w:right w:val="single" w:sz="4" w:space="0" w:color="auto"/>
            </w:tcBorders>
            <w:shd w:val="clear" w:color="auto" w:fill="auto"/>
            <w:noWrap/>
            <w:vAlign w:val="center"/>
            <w:hideMark/>
          </w:tcPr>
          <w:p w:rsidR="00B24349" w:rsidRPr="00747164" w:rsidRDefault="00B24349" w:rsidP="00B24349">
            <w:pPr>
              <w:spacing w:before="0" w:after="0"/>
              <w:jc w:val="center"/>
              <w:rPr>
                <w:rFonts w:eastAsia="Times New Roman" w:cs="Arial"/>
                <w:color w:val="000000"/>
                <w:sz w:val="18"/>
                <w:szCs w:val="18"/>
                <w:lang w:eastAsia="cs-CZ"/>
              </w:rPr>
            </w:pPr>
            <w:r w:rsidRPr="00747164">
              <w:rPr>
                <w:rFonts w:eastAsia="Times New Roman" w:cs="Arial"/>
                <w:color w:val="000000"/>
                <w:sz w:val="18"/>
                <w:szCs w:val="18"/>
                <w:lang w:eastAsia="cs-CZ"/>
              </w:rPr>
              <w:t>počet</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B24349" w:rsidRPr="00747164" w:rsidRDefault="00B24349" w:rsidP="00B24349">
            <w:pPr>
              <w:spacing w:before="0" w:after="0"/>
              <w:jc w:val="center"/>
              <w:rPr>
                <w:rFonts w:eastAsia="Times New Roman" w:cs="Arial"/>
                <w:color w:val="000000"/>
                <w:sz w:val="18"/>
                <w:szCs w:val="18"/>
                <w:lang w:eastAsia="cs-CZ"/>
              </w:rPr>
            </w:pPr>
            <w:r w:rsidRPr="00747164">
              <w:rPr>
                <w:rFonts w:eastAsia="Times New Roman" w:cs="Arial"/>
                <w:color w:val="000000"/>
                <w:sz w:val="18"/>
                <w:szCs w:val="18"/>
                <w:lang w:eastAsia="cs-CZ"/>
              </w:rPr>
              <w:t xml:space="preserve">podíl na </w:t>
            </w:r>
            <w:proofErr w:type="spellStart"/>
            <w:r w:rsidRPr="00747164">
              <w:rPr>
                <w:rFonts w:eastAsia="Times New Roman" w:cs="Arial"/>
                <w:color w:val="000000"/>
                <w:sz w:val="18"/>
                <w:szCs w:val="18"/>
                <w:lang w:eastAsia="cs-CZ"/>
              </w:rPr>
              <w:t>celk</w:t>
            </w:r>
            <w:proofErr w:type="spellEnd"/>
            <w:r w:rsidRPr="00747164">
              <w:rPr>
                <w:rFonts w:eastAsia="Times New Roman" w:cs="Arial"/>
                <w:color w:val="000000"/>
                <w:sz w:val="18"/>
                <w:szCs w:val="18"/>
                <w:lang w:eastAsia="cs-CZ"/>
              </w:rPr>
              <w:t xml:space="preserve">. </w:t>
            </w:r>
            <w:proofErr w:type="spellStart"/>
            <w:r w:rsidRPr="00E0530B">
              <w:rPr>
                <w:rFonts w:eastAsia="Times New Roman" w:cs="Arial"/>
                <w:color w:val="000000"/>
                <w:sz w:val="18"/>
                <w:szCs w:val="18"/>
                <w:lang w:eastAsia="cs-CZ"/>
              </w:rPr>
              <w:t>Uo</w:t>
            </w:r>
            <w:r w:rsidRPr="00747164">
              <w:rPr>
                <w:rFonts w:eastAsia="Times New Roman" w:cs="Arial"/>
                <w:color w:val="000000"/>
                <w:sz w:val="18"/>
                <w:szCs w:val="18"/>
                <w:lang w:eastAsia="cs-CZ"/>
              </w:rPr>
              <w:t>Z</w:t>
            </w:r>
            <w:proofErr w:type="spellEnd"/>
          </w:p>
        </w:tc>
        <w:tc>
          <w:tcPr>
            <w:tcW w:w="83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4349" w:rsidRPr="00747164" w:rsidRDefault="00B24349" w:rsidP="00B24349">
            <w:pPr>
              <w:spacing w:before="0" w:after="0"/>
              <w:jc w:val="center"/>
              <w:rPr>
                <w:rFonts w:eastAsia="Times New Roman" w:cs="Arial"/>
                <w:color w:val="000000"/>
                <w:sz w:val="18"/>
                <w:szCs w:val="18"/>
                <w:lang w:eastAsia="cs-CZ"/>
              </w:rPr>
            </w:pPr>
            <w:r w:rsidRPr="00747164">
              <w:rPr>
                <w:rFonts w:eastAsia="Times New Roman" w:cs="Arial"/>
                <w:color w:val="000000"/>
                <w:sz w:val="18"/>
                <w:szCs w:val="18"/>
                <w:lang w:eastAsia="cs-CZ"/>
              </w:rPr>
              <w:t>počet</w:t>
            </w:r>
          </w:p>
        </w:tc>
        <w:tc>
          <w:tcPr>
            <w:tcW w:w="1858" w:type="dxa"/>
            <w:vMerge w:val="restart"/>
            <w:tcBorders>
              <w:top w:val="nil"/>
              <w:left w:val="single" w:sz="4" w:space="0" w:color="auto"/>
              <w:bottom w:val="single" w:sz="4" w:space="0" w:color="000000"/>
              <w:right w:val="nil"/>
            </w:tcBorders>
            <w:shd w:val="clear" w:color="auto" w:fill="auto"/>
            <w:vAlign w:val="center"/>
            <w:hideMark/>
          </w:tcPr>
          <w:p w:rsidR="00B24349" w:rsidRPr="00747164" w:rsidRDefault="00B24349" w:rsidP="00B24349">
            <w:pPr>
              <w:spacing w:before="0" w:after="0"/>
              <w:jc w:val="center"/>
              <w:rPr>
                <w:rFonts w:eastAsia="Times New Roman" w:cs="Arial"/>
                <w:color w:val="000000"/>
                <w:sz w:val="18"/>
                <w:szCs w:val="18"/>
                <w:lang w:eastAsia="cs-CZ"/>
              </w:rPr>
            </w:pPr>
            <w:r w:rsidRPr="00747164">
              <w:rPr>
                <w:rFonts w:eastAsia="Times New Roman" w:cs="Arial"/>
                <w:color w:val="000000"/>
                <w:sz w:val="18"/>
                <w:szCs w:val="18"/>
                <w:lang w:eastAsia="cs-CZ"/>
              </w:rPr>
              <w:t xml:space="preserve">podíl na </w:t>
            </w:r>
            <w:proofErr w:type="spellStart"/>
            <w:r w:rsidRPr="00747164">
              <w:rPr>
                <w:rFonts w:eastAsia="Times New Roman" w:cs="Arial"/>
                <w:color w:val="000000"/>
                <w:sz w:val="18"/>
                <w:szCs w:val="18"/>
                <w:lang w:eastAsia="cs-CZ"/>
              </w:rPr>
              <w:t>celk</w:t>
            </w:r>
            <w:proofErr w:type="spellEnd"/>
            <w:r w:rsidRPr="00747164">
              <w:rPr>
                <w:rFonts w:eastAsia="Times New Roman" w:cs="Arial"/>
                <w:color w:val="000000"/>
                <w:sz w:val="18"/>
                <w:szCs w:val="18"/>
                <w:lang w:eastAsia="cs-CZ"/>
              </w:rPr>
              <w:t xml:space="preserve">. </w:t>
            </w:r>
            <w:proofErr w:type="spellStart"/>
            <w:r w:rsidRPr="00747164">
              <w:rPr>
                <w:rFonts w:eastAsia="Times New Roman" w:cs="Arial"/>
                <w:color w:val="000000"/>
                <w:sz w:val="18"/>
                <w:szCs w:val="18"/>
                <w:lang w:eastAsia="cs-CZ"/>
              </w:rPr>
              <w:t>UoZ</w:t>
            </w:r>
            <w:proofErr w:type="spellEnd"/>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B24349" w:rsidRPr="00747164" w:rsidRDefault="00B24349" w:rsidP="00B24349">
            <w:pPr>
              <w:spacing w:before="0" w:after="0"/>
              <w:rPr>
                <w:rFonts w:eastAsia="Times New Roman" w:cs="Arial"/>
                <w:color w:val="000000"/>
                <w:sz w:val="18"/>
                <w:szCs w:val="18"/>
                <w:lang w:eastAsia="cs-CZ"/>
              </w:rPr>
            </w:pPr>
          </w:p>
        </w:tc>
      </w:tr>
      <w:tr w:rsidR="00B24349" w:rsidRPr="00747164" w:rsidTr="00B24349">
        <w:trPr>
          <w:trHeight w:val="274"/>
        </w:trPr>
        <w:tc>
          <w:tcPr>
            <w:tcW w:w="1460" w:type="dxa"/>
            <w:tcBorders>
              <w:top w:val="nil"/>
              <w:left w:val="nil"/>
              <w:bottom w:val="single" w:sz="4" w:space="0" w:color="auto"/>
              <w:right w:val="nil"/>
            </w:tcBorders>
            <w:shd w:val="clear" w:color="auto" w:fill="auto"/>
            <w:noWrap/>
            <w:vAlign w:val="bottom"/>
            <w:hideMark/>
          </w:tcPr>
          <w:p w:rsidR="00B24349" w:rsidRPr="00747164" w:rsidRDefault="00B24349" w:rsidP="007C73CF">
            <w:pPr>
              <w:rPr>
                <w:rFonts w:eastAsia="Times New Roman" w:cs="Arial"/>
                <w:color w:val="000000"/>
                <w:sz w:val="20"/>
                <w:szCs w:val="20"/>
                <w:lang w:eastAsia="cs-CZ"/>
              </w:rPr>
            </w:pPr>
            <w:r w:rsidRPr="00747164">
              <w:rPr>
                <w:rFonts w:eastAsia="Times New Roman" w:cs="Arial"/>
                <w:color w:val="000000"/>
                <w:sz w:val="20"/>
                <w:szCs w:val="20"/>
                <w:lang w:eastAsia="cs-CZ"/>
              </w:rPr>
              <w:t> </w:t>
            </w: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B24349" w:rsidRPr="00747164" w:rsidRDefault="00B24349" w:rsidP="00B24349">
            <w:pPr>
              <w:spacing w:before="0" w:after="0"/>
              <w:rPr>
                <w:rFonts w:eastAsia="Times New Roman" w:cs="Arial"/>
                <w:color w:val="000000"/>
                <w:sz w:val="18"/>
                <w:szCs w:val="18"/>
                <w:lang w:eastAsia="cs-CZ"/>
              </w:rPr>
            </w:pPr>
          </w:p>
        </w:tc>
        <w:tc>
          <w:tcPr>
            <w:tcW w:w="876" w:type="dxa"/>
            <w:vMerge/>
            <w:tcBorders>
              <w:top w:val="nil"/>
              <w:left w:val="nil"/>
              <w:bottom w:val="single" w:sz="4" w:space="0" w:color="000000"/>
              <w:right w:val="single" w:sz="4" w:space="0" w:color="auto"/>
            </w:tcBorders>
            <w:vAlign w:val="center"/>
            <w:hideMark/>
          </w:tcPr>
          <w:p w:rsidR="00B24349" w:rsidRPr="00747164" w:rsidRDefault="00B24349" w:rsidP="00B24349">
            <w:pPr>
              <w:spacing w:before="0" w:after="0"/>
              <w:rPr>
                <w:rFonts w:eastAsia="Times New Roman" w:cs="Arial"/>
                <w:color w:val="000000"/>
                <w:sz w:val="18"/>
                <w:szCs w:val="18"/>
                <w:lang w:eastAsia="cs-CZ"/>
              </w:rPr>
            </w:pPr>
          </w:p>
        </w:tc>
        <w:tc>
          <w:tcPr>
            <w:tcW w:w="1842" w:type="dxa"/>
            <w:vMerge/>
            <w:tcBorders>
              <w:top w:val="nil"/>
              <w:left w:val="single" w:sz="4" w:space="0" w:color="auto"/>
              <w:bottom w:val="single" w:sz="4" w:space="0" w:color="000000"/>
              <w:right w:val="single" w:sz="4" w:space="0" w:color="auto"/>
            </w:tcBorders>
            <w:vAlign w:val="center"/>
            <w:hideMark/>
          </w:tcPr>
          <w:p w:rsidR="00B24349" w:rsidRPr="00747164" w:rsidRDefault="00B24349" w:rsidP="00B24349">
            <w:pPr>
              <w:spacing w:before="0" w:after="0"/>
              <w:rPr>
                <w:rFonts w:eastAsia="Times New Roman" w:cs="Arial"/>
                <w:color w:val="000000"/>
                <w:sz w:val="18"/>
                <w:szCs w:val="18"/>
                <w:lang w:eastAsia="cs-CZ"/>
              </w:rPr>
            </w:pPr>
          </w:p>
        </w:tc>
        <w:tc>
          <w:tcPr>
            <w:tcW w:w="836" w:type="dxa"/>
            <w:vMerge/>
            <w:tcBorders>
              <w:top w:val="nil"/>
              <w:left w:val="single" w:sz="4" w:space="0" w:color="auto"/>
              <w:bottom w:val="single" w:sz="4" w:space="0" w:color="000000"/>
              <w:right w:val="single" w:sz="4" w:space="0" w:color="auto"/>
            </w:tcBorders>
            <w:vAlign w:val="center"/>
            <w:hideMark/>
          </w:tcPr>
          <w:p w:rsidR="00B24349" w:rsidRPr="00747164" w:rsidRDefault="00B24349" w:rsidP="00B24349">
            <w:pPr>
              <w:spacing w:before="0" w:after="0"/>
              <w:rPr>
                <w:rFonts w:eastAsia="Times New Roman" w:cs="Arial"/>
                <w:color w:val="000000"/>
                <w:sz w:val="18"/>
                <w:szCs w:val="18"/>
                <w:lang w:eastAsia="cs-CZ"/>
              </w:rPr>
            </w:pPr>
          </w:p>
        </w:tc>
        <w:tc>
          <w:tcPr>
            <w:tcW w:w="1858" w:type="dxa"/>
            <w:vMerge/>
            <w:tcBorders>
              <w:top w:val="nil"/>
              <w:left w:val="single" w:sz="4" w:space="0" w:color="auto"/>
              <w:bottom w:val="single" w:sz="4" w:space="0" w:color="000000"/>
              <w:right w:val="nil"/>
            </w:tcBorders>
            <w:vAlign w:val="center"/>
            <w:hideMark/>
          </w:tcPr>
          <w:p w:rsidR="00B24349" w:rsidRPr="00747164" w:rsidRDefault="00B24349" w:rsidP="00B24349">
            <w:pPr>
              <w:spacing w:before="0" w:after="0"/>
              <w:rPr>
                <w:rFonts w:eastAsia="Times New Roman" w:cs="Arial"/>
                <w:color w:val="000000"/>
                <w:sz w:val="18"/>
                <w:szCs w:val="18"/>
                <w:lang w:eastAsia="cs-CZ"/>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B24349" w:rsidRPr="00747164" w:rsidRDefault="00B24349" w:rsidP="00B24349">
            <w:pPr>
              <w:spacing w:before="0" w:after="0"/>
              <w:rPr>
                <w:rFonts w:eastAsia="Times New Roman" w:cs="Arial"/>
                <w:color w:val="000000"/>
                <w:sz w:val="18"/>
                <w:szCs w:val="18"/>
                <w:lang w:eastAsia="cs-CZ"/>
              </w:rPr>
            </w:pPr>
          </w:p>
        </w:tc>
      </w:tr>
      <w:tr w:rsidR="00B24349" w:rsidRPr="00747164" w:rsidTr="007C73CF">
        <w:trPr>
          <w:trHeight w:val="34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24349" w:rsidRPr="00747164" w:rsidRDefault="00B24349" w:rsidP="007C73CF">
            <w:pPr>
              <w:jc w:val="center"/>
              <w:rPr>
                <w:rFonts w:eastAsia="Times New Roman" w:cs="Arial"/>
                <w:color w:val="000000"/>
                <w:sz w:val="18"/>
                <w:szCs w:val="18"/>
                <w:lang w:eastAsia="cs-CZ"/>
              </w:rPr>
            </w:pPr>
            <w:r w:rsidRPr="00747164">
              <w:rPr>
                <w:rFonts w:eastAsia="Times New Roman" w:cs="Arial"/>
                <w:color w:val="000000"/>
                <w:sz w:val="18"/>
                <w:szCs w:val="18"/>
                <w:lang w:eastAsia="cs-CZ"/>
              </w:rPr>
              <w:t>31.</w:t>
            </w:r>
            <w:r w:rsidRPr="00E0530B">
              <w:rPr>
                <w:rFonts w:eastAsia="Times New Roman" w:cs="Arial"/>
                <w:color w:val="000000"/>
                <w:sz w:val="18"/>
                <w:szCs w:val="18"/>
                <w:lang w:eastAsia="cs-CZ"/>
              </w:rPr>
              <w:t xml:space="preserve"> </w:t>
            </w:r>
            <w:r w:rsidRPr="00747164">
              <w:rPr>
                <w:rFonts w:eastAsia="Times New Roman" w:cs="Arial"/>
                <w:color w:val="000000"/>
                <w:sz w:val="18"/>
                <w:szCs w:val="18"/>
                <w:lang w:eastAsia="cs-CZ"/>
              </w:rPr>
              <w:t>12.</w:t>
            </w:r>
            <w:r w:rsidRPr="00E0530B">
              <w:rPr>
                <w:rFonts w:eastAsia="Times New Roman" w:cs="Arial"/>
                <w:color w:val="000000"/>
                <w:sz w:val="18"/>
                <w:szCs w:val="18"/>
                <w:lang w:eastAsia="cs-CZ"/>
              </w:rPr>
              <w:t xml:space="preserve"> </w:t>
            </w:r>
            <w:r w:rsidRPr="00747164">
              <w:rPr>
                <w:rFonts w:eastAsia="Times New Roman" w:cs="Arial"/>
                <w:color w:val="000000"/>
                <w:sz w:val="18"/>
                <w:szCs w:val="18"/>
                <w:lang w:eastAsia="cs-CZ"/>
              </w:rPr>
              <w:t>2017</w:t>
            </w:r>
          </w:p>
        </w:tc>
        <w:tc>
          <w:tcPr>
            <w:tcW w:w="940" w:type="dxa"/>
            <w:tcBorders>
              <w:top w:val="nil"/>
              <w:left w:val="nil"/>
              <w:bottom w:val="single" w:sz="4" w:space="0" w:color="auto"/>
              <w:right w:val="single" w:sz="4" w:space="0" w:color="auto"/>
            </w:tcBorders>
            <w:shd w:val="clear" w:color="auto" w:fill="auto"/>
            <w:noWrap/>
            <w:vAlign w:val="center"/>
            <w:hideMark/>
          </w:tcPr>
          <w:p w:rsidR="00B24349" w:rsidRPr="00747164" w:rsidRDefault="00B24349" w:rsidP="00B24349">
            <w:pPr>
              <w:spacing w:before="0" w:after="0"/>
              <w:jc w:val="center"/>
              <w:rPr>
                <w:rFonts w:eastAsia="Times New Roman" w:cs="Arial"/>
                <w:color w:val="000000"/>
                <w:sz w:val="18"/>
                <w:szCs w:val="18"/>
                <w:lang w:eastAsia="cs-CZ"/>
              </w:rPr>
            </w:pPr>
            <w:r w:rsidRPr="00747164">
              <w:rPr>
                <w:rFonts w:eastAsia="Times New Roman" w:cs="Arial"/>
                <w:color w:val="000000"/>
                <w:sz w:val="18"/>
                <w:szCs w:val="18"/>
                <w:lang w:eastAsia="cs-CZ"/>
              </w:rPr>
              <w:t>280 620</w:t>
            </w:r>
          </w:p>
        </w:tc>
        <w:tc>
          <w:tcPr>
            <w:tcW w:w="876" w:type="dxa"/>
            <w:tcBorders>
              <w:top w:val="nil"/>
              <w:left w:val="nil"/>
              <w:bottom w:val="single" w:sz="4" w:space="0" w:color="auto"/>
              <w:right w:val="single" w:sz="4" w:space="0" w:color="auto"/>
            </w:tcBorders>
            <w:shd w:val="clear" w:color="auto" w:fill="auto"/>
            <w:noWrap/>
            <w:vAlign w:val="center"/>
            <w:hideMark/>
          </w:tcPr>
          <w:p w:rsidR="00B24349" w:rsidRPr="00747164" w:rsidRDefault="00B24349" w:rsidP="00B24349">
            <w:pPr>
              <w:spacing w:before="0" w:after="0"/>
              <w:jc w:val="center"/>
              <w:rPr>
                <w:rFonts w:eastAsia="Times New Roman" w:cs="Arial"/>
                <w:color w:val="000000"/>
                <w:sz w:val="18"/>
                <w:szCs w:val="18"/>
                <w:lang w:eastAsia="cs-CZ"/>
              </w:rPr>
            </w:pPr>
            <w:r w:rsidRPr="00747164">
              <w:rPr>
                <w:rFonts w:eastAsia="Times New Roman" w:cs="Arial"/>
                <w:color w:val="000000"/>
                <w:sz w:val="18"/>
                <w:szCs w:val="18"/>
                <w:lang w:eastAsia="cs-CZ"/>
              </w:rPr>
              <w:t>94 512</w:t>
            </w:r>
          </w:p>
        </w:tc>
        <w:tc>
          <w:tcPr>
            <w:tcW w:w="1842" w:type="dxa"/>
            <w:tcBorders>
              <w:top w:val="nil"/>
              <w:left w:val="nil"/>
              <w:bottom w:val="single" w:sz="4" w:space="0" w:color="auto"/>
              <w:right w:val="single" w:sz="4" w:space="0" w:color="auto"/>
            </w:tcBorders>
            <w:shd w:val="clear" w:color="auto" w:fill="auto"/>
            <w:noWrap/>
            <w:vAlign w:val="center"/>
            <w:hideMark/>
          </w:tcPr>
          <w:p w:rsidR="00B24349" w:rsidRPr="00747164" w:rsidRDefault="00B24349" w:rsidP="00B24349">
            <w:pPr>
              <w:spacing w:before="0" w:after="0"/>
              <w:jc w:val="center"/>
              <w:rPr>
                <w:rFonts w:eastAsia="Times New Roman" w:cs="Arial"/>
                <w:color w:val="000000"/>
                <w:sz w:val="18"/>
                <w:szCs w:val="18"/>
                <w:lang w:eastAsia="cs-CZ"/>
              </w:rPr>
            </w:pPr>
            <w:r w:rsidRPr="00747164">
              <w:rPr>
                <w:rFonts w:eastAsia="Times New Roman" w:cs="Arial"/>
                <w:color w:val="000000"/>
                <w:sz w:val="18"/>
                <w:szCs w:val="18"/>
                <w:lang w:eastAsia="cs-CZ"/>
              </w:rPr>
              <w:t>33,7</w:t>
            </w:r>
            <w:r>
              <w:rPr>
                <w:rFonts w:eastAsia="Times New Roman" w:cs="Arial"/>
                <w:color w:val="000000"/>
                <w:sz w:val="18"/>
                <w:szCs w:val="18"/>
                <w:lang w:eastAsia="cs-CZ"/>
              </w:rPr>
              <w:t xml:space="preserve"> </w:t>
            </w:r>
            <w:r w:rsidRPr="00747164">
              <w:rPr>
                <w:rFonts w:eastAsia="Times New Roman" w:cs="Arial"/>
                <w:color w:val="000000"/>
                <w:sz w:val="18"/>
                <w:szCs w:val="18"/>
                <w:lang w:eastAsia="cs-CZ"/>
              </w:rPr>
              <w:t>%</w:t>
            </w:r>
          </w:p>
        </w:tc>
        <w:tc>
          <w:tcPr>
            <w:tcW w:w="836" w:type="dxa"/>
            <w:tcBorders>
              <w:top w:val="nil"/>
              <w:left w:val="nil"/>
              <w:bottom w:val="single" w:sz="4" w:space="0" w:color="auto"/>
              <w:right w:val="single" w:sz="4" w:space="0" w:color="auto"/>
            </w:tcBorders>
            <w:shd w:val="clear" w:color="auto" w:fill="auto"/>
            <w:noWrap/>
            <w:vAlign w:val="center"/>
            <w:hideMark/>
          </w:tcPr>
          <w:p w:rsidR="00B24349" w:rsidRPr="00747164" w:rsidRDefault="00B24349" w:rsidP="00B24349">
            <w:pPr>
              <w:spacing w:before="0" w:after="0"/>
              <w:jc w:val="center"/>
              <w:rPr>
                <w:rFonts w:eastAsia="Times New Roman" w:cs="Arial"/>
                <w:color w:val="000000"/>
                <w:sz w:val="18"/>
                <w:szCs w:val="18"/>
                <w:lang w:eastAsia="cs-CZ"/>
              </w:rPr>
            </w:pPr>
            <w:r w:rsidRPr="00747164">
              <w:rPr>
                <w:rFonts w:eastAsia="Times New Roman" w:cs="Arial"/>
                <w:color w:val="000000"/>
                <w:sz w:val="18"/>
                <w:szCs w:val="18"/>
                <w:lang w:eastAsia="cs-CZ"/>
              </w:rPr>
              <w:t>65 411</w:t>
            </w:r>
          </w:p>
        </w:tc>
        <w:tc>
          <w:tcPr>
            <w:tcW w:w="1858" w:type="dxa"/>
            <w:tcBorders>
              <w:top w:val="nil"/>
              <w:left w:val="nil"/>
              <w:bottom w:val="single" w:sz="4" w:space="0" w:color="auto"/>
              <w:right w:val="single" w:sz="4" w:space="0" w:color="auto"/>
            </w:tcBorders>
            <w:shd w:val="clear" w:color="auto" w:fill="auto"/>
            <w:noWrap/>
            <w:vAlign w:val="center"/>
            <w:hideMark/>
          </w:tcPr>
          <w:p w:rsidR="00B24349" w:rsidRPr="00747164" w:rsidRDefault="00B24349" w:rsidP="00B24349">
            <w:pPr>
              <w:spacing w:before="0" w:after="0"/>
              <w:jc w:val="center"/>
              <w:rPr>
                <w:rFonts w:eastAsia="Times New Roman" w:cs="Arial"/>
                <w:color w:val="000000"/>
                <w:sz w:val="18"/>
                <w:szCs w:val="18"/>
                <w:lang w:eastAsia="cs-CZ"/>
              </w:rPr>
            </w:pPr>
            <w:r w:rsidRPr="00747164">
              <w:rPr>
                <w:rFonts w:eastAsia="Times New Roman" w:cs="Arial"/>
                <w:color w:val="000000"/>
                <w:sz w:val="18"/>
                <w:szCs w:val="18"/>
                <w:lang w:eastAsia="cs-CZ"/>
              </w:rPr>
              <w:t>23,3%</w:t>
            </w:r>
          </w:p>
        </w:tc>
        <w:tc>
          <w:tcPr>
            <w:tcW w:w="992" w:type="dxa"/>
            <w:tcBorders>
              <w:top w:val="nil"/>
              <w:left w:val="nil"/>
              <w:bottom w:val="single" w:sz="4" w:space="0" w:color="auto"/>
              <w:right w:val="single" w:sz="4" w:space="0" w:color="auto"/>
            </w:tcBorders>
            <w:shd w:val="clear" w:color="auto" w:fill="auto"/>
            <w:noWrap/>
            <w:vAlign w:val="center"/>
            <w:hideMark/>
          </w:tcPr>
          <w:p w:rsidR="00B24349" w:rsidRPr="00747164" w:rsidRDefault="00B24349" w:rsidP="00B24349">
            <w:pPr>
              <w:spacing w:before="0" w:after="0"/>
              <w:jc w:val="center"/>
              <w:rPr>
                <w:rFonts w:eastAsia="Times New Roman" w:cs="Arial"/>
                <w:color w:val="000000"/>
                <w:sz w:val="18"/>
                <w:szCs w:val="18"/>
                <w:lang w:eastAsia="cs-CZ"/>
              </w:rPr>
            </w:pPr>
            <w:r w:rsidRPr="00747164">
              <w:rPr>
                <w:rFonts w:eastAsia="Times New Roman" w:cs="Arial"/>
                <w:color w:val="000000"/>
                <w:sz w:val="18"/>
                <w:szCs w:val="18"/>
                <w:lang w:eastAsia="cs-CZ"/>
              </w:rPr>
              <w:t>216 629</w:t>
            </w:r>
          </w:p>
        </w:tc>
      </w:tr>
      <w:tr w:rsidR="00B24349" w:rsidRPr="00747164" w:rsidTr="007C73CF">
        <w:trPr>
          <w:trHeight w:val="34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24349" w:rsidRPr="00747164" w:rsidRDefault="00B24349" w:rsidP="007C73CF">
            <w:pPr>
              <w:jc w:val="center"/>
              <w:rPr>
                <w:rFonts w:eastAsia="Times New Roman" w:cs="Arial"/>
                <w:color w:val="000000"/>
                <w:sz w:val="18"/>
                <w:szCs w:val="18"/>
                <w:lang w:eastAsia="cs-CZ"/>
              </w:rPr>
            </w:pPr>
            <w:r w:rsidRPr="00747164">
              <w:rPr>
                <w:rFonts w:eastAsia="Times New Roman" w:cs="Arial"/>
                <w:color w:val="000000"/>
                <w:sz w:val="18"/>
                <w:szCs w:val="18"/>
                <w:lang w:eastAsia="cs-CZ"/>
              </w:rPr>
              <w:t>31.</w:t>
            </w:r>
            <w:r w:rsidRPr="00E0530B">
              <w:rPr>
                <w:rFonts w:eastAsia="Times New Roman" w:cs="Arial"/>
                <w:color w:val="000000"/>
                <w:sz w:val="18"/>
                <w:szCs w:val="18"/>
                <w:lang w:eastAsia="cs-CZ"/>
              </w:rPr>
              <w:t xml:space="preserve"> </w:t>
            </w:r>
            <w:r w:rsidRPr="00747164">
              <w:rPr>
                <w:rFonts w:eastAsia="Times New Roman" w:cs="Arial"/>
                <w:color w:val="000000"/>
                <w:sz w:val="18"/>
                <w:szCs w:val="18"/>
                <w:lang w:eastAsia="cs-CZ"/>
              </w:rPr>
              <w:t>12.</w:t>
            </w:r>
            <w:r w:rsidRPr="00E0530B">
              <w:rPr>
                <w:rFonts w:eastAsia="Times New Roman" w:cs="Arial"/>
                <w:color w:val="000000"/>
                <w:sz w:val="18"/>
                <w:szCs w:val="18"/>
                <w:lang w:eastAsia="cs-CZ"/>
              </w:rPr>
              <w:t xml:space="preserve"> </w:t>
            </w:r>
            <w:r w:rsidRPr="00747164">
              <w:rPr>
                <w:rFonts w:eastAsia="Times New Roman" w:cs="Arial"/>
                <w:color w:val="000000"/>
                <w:sz w:val="18"/>
                <w:szCs w:val="18"/>
                <w:lang w:eastAsia="cs-CZ"/>
              </w:rPr>
              <w:t>2016</w:t>
            </w:r>
          </w:p>
        </w:tc>
        <w:tc>
          <w:tcPr>
            <w:tcW w:w="940" w:type="dxa"/>
            <w:tcBorders>
              <w:top w:val="nil"/>
              <w:left w:val="nil"/>
              <w:bottom w:val="single" w:sz="4" w:space="0" w:color="auto"/>
              <w:right w:val="single" w:sz="4" w:space="0" w:color="auto"/>
            </w:tcBorders>
            <w:shd w:val="clear" w:color="auto" w:fill="auto"/>
            <w:noWrap/>
            <w:vAlign w:val="center"/>
            <w:hideMark/>
          </w:tcPr>
          <w:p w:rsidR="00B24349" w:rsidRPr="00747164" w:rsidRDefault="00B24349" w:rsidP="00B24349">
            <w:pPr>
              <w:spacing w:before="0" w:after="0"/>
              <w:jc w:val="center"/>
              <w:rPr>
                <w:rFonts w:eastAsia="Times New Roman" w:cs="Arial"/>
                <w:color w:val="000000"/>
                <w:sz w:val="18"/>
                <w:szCs w:val="18"/>
                <w:lang w:eastAsia="cs-CZ"/>
              </w:rPr>
            </w:pPr>
            <w:r w:rsidRPr="00747164">
              <w:rPr>
                <w:rFonts w:eastAsia="Times New Roman" w:cs="Arial"/>
                <w:color w:val="000000"/>
                <w:sz w:val="18"/>
                <w:szCs w:val="18"/>
                <w:lang w:eastAsia="cs-CZ"/>
              </w:rPr>
              <w:t>381 373</w:t>
            </w:r>
          </w:p>
        </w:tc>
        <w:tc>
          <w:tcPr>
            <w:tcW w:w="876" w:type="dxa"/>
            <w:tcBorders>
              <w:top w:val="nil"/>
              <w:left w:val="nil"/>
              <w:bottom w:val="single" w:sz="4" w:space="0" w:color="auto"/>
              <w:right w:val="single" w:sz="4" w:space="0" w:color="auto"/>
            </w:tcBorders>
            <w:shd w:val="clear" w:color="auto" w:fill="auto"/>
            <w:noWrap/>
            <w:vAlign w:val="center"/>
            <w:hideMark/>
          </w:tcPr>
          <w:p w:rsidR="00B24349" w:rsidRPr="00747164" w:rsidRDefault="00B24349" w:rsidP="00B24349">
            <w:pPr>
              <w:spacing w:before="0" w:after="0"/>
              <w:jc w:val="center"/>
              <w:rPr>
                <w:rFonts w:eastAsia="Times New Roman" w:cs="Arial"/>
                <w:color w:val="000000"/>
                <w:sz w:val="18"/>
                <w:szCs w:val="18"/>
                <w:lang w:eastAsia="cs-CZ"/>
              </w:rPr>
            </w:pPr>
            <w:r w:rsidRPr="00747164">
              <w:rPr>
                <w:rFonts w:eastAsia="Times New Roman" w:cs="Arial"/>
                <w:color w:val="000000"/>
                <w:sz w:val="18"/>
                <w:szCs w:val="18"/>
                <w:lang w:eastAsia="cs-CZ"/>
              </w:rPr>
              <w:t>144 163</w:t>
            </w:r>
          </w:p>
        </w:tc>
        <w:tc>
          <w:tcPr>
            <w:tcW w:w="1842" w:type="dxa"/>
            <w:tcBorders>
              <w:top w:val="nil"/>
              <w:left w:val="nil"/>
              <w:bottom w:val="single" w:sz="4" w:space="0" w:color="auto"/>
              <w:right w:val="single" w:sz="4" w:space="0" w:color="auto"/>
            </w:tcBorders>
            <w:shd w:val="clear" w:color="auto" w:fill="auto"/>
            <w:noWrap/>
            <w:vAlign w:val="center"/>
            <w:hideMark/>
          </w:tcPr>
          <w:p w:rsidR="00B24349" w:rsidRPr="00747164" w:rsidRDefault="00B24349" w:rsidP="00B24349">
            <w:pPr>
              <w:spacing w:before="0" w:after="0"/>
              <w:jc w:val="center"/>
              <w:rPr>
                <w:rFonts w:eastAsia="Times New Roman" w:cs="Arial"/>
                <w:color w:val="000000"/>
                <w:sz w:val="18"/>
                <w:szCs w:val="18"/>
                <w:lang w:eastAsia="cs-CZ"/>
              </w:rPr>
            </w:pPr>
            <w:r w:rsidRPr="00747164">
              <w:rPr>
                <w:rFonts w:eastAsia="Times New Roman" w:cs="Arial"/>
                <w:color w:val="000000"/>
                <w:sz w:val="18"/>
                <w:szCs w:val="18"/>
                <w:lang w:eastAsia="cs-CZ"/>
              </w:rPr>
              <w:t>37,8</w:t>
            </w:r>
            <w:r>
              <w:rPr>
                <w:rFonts w:eastAsia="Times New Roman" w:cs="Arial"/>
                <w:color w:val="000000"/>
                <w:sz w:val="18"/>
                <w:szCs w:val="18"/>
                <w:lang w:eastAsia="cs-CZ"/>
              </w:rPr>
              <w:t xml:space="preserve"> </w:t>
            </w:r>
            <w:r w:rsidRPr="00747164">
              <w:rPr>
                <w:rFonts w:eastAsia="Times New Roman" w:cs="Arial"/>
                <w:color w:val="000000"/>
                <w:sz w:val="18"/>
                <w:szCs w:val="18"/>
                <w:lang w:eastAsia="cs-CZ"/>
              </w:rPr>
              <w:t>%</w:t>
            </w:r>
          </w:p>
        </w:tc>
        <w:tc>
          <w:tcPr>
            <w:tcW w:w="836" w:type="dxa"/>
            <w:tcBorders>
              <w:top w:val="nil"/>
              <w:left w:val="nil"/>
              <w:bottom w:val="single" w:sz="4" w:space="0" w:color="auto"/>
              <w:right w:val="single" w:sz="4" w:space="0" w:color="auto"/>
            </w:tcBorders>
            <w:shd w:val="clear" w:color="auto" w:fill="auto"/>
            <w:noWrap/>
            <w:vAlign w:val="center"/>
            <w:hideMark/>
          </w:tcPr>
          <w:p w:rsidR="00B24349" w:rsidRPr="00747164" w:rsidRDefault="00B24349" w:rsidP="00B24349">
            <w:pPr>
              <w:spacing w:before="0" w:after="0"/>
              <w:jc w:val="center"/>
              <w:rPr>
                <w:rFonts w:eastAsia="Times New Roman" w:cs="Arial"/>
                <w:color w:val="000000"/>
                <w:sz w:val="18"/>
                <w:szCs w:val="18"/>
                <w:lang w:eastAsia="cs-CZ"/>
              </w:rPr>
            </w:pPr>
            <w:r w:rsidRPr="00747164">
              <w:rPr>
                <w:rFonts w:eastAsia="Times New Roman" w:cs="Arial"/>
                <w:color w:val="000000"/>
                <w:sz w:val="18"/>
                <w:szCs w:val="18"/>
                <w:lang w:eastAsia="cs-CZ"/>
              </w:rPr>
              <w:t>98 910</w:t>
            </w:r>
          </w:p>
        </w:tc>
        <w:tc>
          <w:tcPr>
            <w:tcW w:w="1858" w:type="dxa"/>
            <w:tcBorders>
              <w:top w:val="nil"/>
              <w:left w:val="nil"/>
              <w:bottom w:val="single" w:sz="4" w:space="0" w:color="auto"/>
              <w:right w:val="single" w:sz="4" w:space="0" w:color="auto"/>
            </w:tcBorders>
            <w:shd w:val="clear" w:color="auto" w:fill="auto"/>
            <w:noWrap/>
            <w:vAlign w:val="center"/>
            <w:hideMark/>
          </w:tcPr>
          <w:p w:rsidR="00B24349" w:rsidRPr="00747164" w:rsidRDefault="00B24349" w:rsidP="00B24349">
            <w:pPr>
              <w:spacing w:before="0" w:after="0"/>
              <w:jc w:val="center"/>
              <w:rPr>
                <w:rFonts w:eastAsia="Times New Roman" w:cs="Arial"/>
                <w:color w:val="000000"/>
                <w:sz w:val="18"/>
                <w:szCs w:val="18"/>
                <w:lang w:eastAsia="cs-CZ"/>
              </w:rPr>
            </w:pPr>
            <w:r w:rsidRPr="00747164">
              <w:rPr>
                <w:rFonts w:eastAsia="Times New Roman" w:cs="Arial"/>
                <w:color w:val="000000"/>
                <w:sz w:val="18"/>
                <w:szCs w:val="18"/>
                <w:lang w:eastAsia="cs-CZ"/>
              </w:rPr>
              <w:t>25,9%</w:t>
            </w:r>
          </w:p>
        </w:tc>
        <w:tc>
          <w:tcPr>
            <w:tcW w:w="992" w:type="dxa"/>
            <w:tcBorders>
              <w:top w:val="nil"/>
              <w:left w:val="nil"/>
              <w:bottom w:val="single" w:sz="4" w:space="0" w:color="auto"/>
              <w:right w:val="single" w:sz="4" w:space="0" w:color="auto"/>
            </w:tcBorders>
            <w:shd w:val="clear" w:color="auto" w:fill="auto"/>
            <w:noWrap/>
            <w:vAlign w:val="center"/>
            <w:hideMark/>
          </w:tcPr>
          <w:p w:rsidR="00B24349" w:rsidRPr="00747164" w:rsidRDefault="00B24349" w:rsidP="00B24349">
            <w:pPr>
              <w:spacing w:before="0" w:after="0"/>
              <w:jc w:val="center"/>
              <w:rPr>
                <w:rFonts w:eastAsia="Times New Roman" w:cs="Arial"/>
                <w:color w:val="000000"/>
                <w:sz w:val="18"/>
                <w:szCs w:val="18"/>
                <w:lang w:eastAsia="cs-CZ"/>
              </w:rPr>
            </w:pPr>
            <w:r w:rsidRPr="00747164">
              <w:rPr>
                <w:rFonts w:eastAsia="Times New Roman" w:cs="Arial"/>
                <w:color w:val="000000"/>
                <w:sz w:val="18"/>
                <w:szCs w:val="18"/>
                <w:lang w:eastAsia="cs-CZ"/>
              </w:rPr>
              <w:t>132 496</w:t>
            </w:r>
          </w:p>
        </w:tc>
      </w:tr>
    </w:tbl>
    <w:p w:rsidR="00B24349" w:rsidRDefault="00B24349" w:rsidP="00B24349"/>
    <w:p w:rsidR="00B24349" w:rsidRPr="00486473" w:rsidRDefault="00B24349" w:rsidP="00227EB3">
      <w:pPr>
        <w:pStyle w:val="Nadpis2"/>
        <w:numPr>
          <w:ilvl w:val="0"/>
          <w:numId w:val="6"/>
        </w:numPr>
        <w:spacing w:line="276" w:lineRule="auto"/>
      </w:pPr>
      <w:bookmarkStart w:id="77" w:name="_Ref508626809"/>
      <w:bookmarkStart w:id="78" w:name="_Toc509474136"/>
      <w:r w:rsidRPr="00486473">
        <w:t>Struktura dlouhodobé nezaměstnanosti</w:t>
      </w:r>
      <w:bookmarkEnd w:id="77"/>
      <w:bookmarkEnd w:id="78"/>
      <w:r w:rsidRPr="00486473">
        <w:t xml:space="preserve"> </w:t>
      </w:r>
    </w:p>
    <w:p w:rsidR="00B24349" w:rsidRPr="00B24349" w:rsidRDefault="00B24349" w:rsidP="00B24349">
      <w:pPr>
        <w:rPr>
          <w:szCs w:val="20"/>
        </w:rPr>
      </w:pPr>
      <w:r w:rsidRPr="00B24349">
        <w:rPr>
          <w:szCs w:val="20"/>
        </w:rPr>
        <w:t xml:space="preserve">MPSV ani ÚP ČR v současné době nemají k dispozici statistiku, která by umožňovala objektivně sledovat strukturu dlouhodobě nezaměstnaných osob v rozpadu podle požadovaných charakteristik. </w:t>
      </w:r>
      <w:r w:rsidRPr="00B24349">
        <w:rPr>
          <w:b/>
          <w:szCs w:val="20"/>
        </w:rPr>
        <w:t xml:space="preserve">MPSV je tak při provádění rozboru dlouhodobé nezaměstnanosti </w:t>
      </w:r>
      <w:r w:rsidRPr="00B24349">
        <w:rPr>
          <w:szCs w:val="20"/>
        </w:rPr>
        <w:t xml:space="preserve">(jakožto i detailnější rozpad struktury dalších skupin) </w:t>
      </w:r>
      <w:r w:rsidRPr="00B24349">
        <w:rPr>
          <w:b/>
          <w:szCs w:val="20"/>
        </w:rPr>
        <w:t>odkázáno na kvalifikované odhady a šetření prováděná přímo na kontaktních pracovištích UP ČR.</w:t>
      </w:r>
      <w:r w:rsidRPr="00B24349">
        <w:rPr>
          <w:szCs w:val="20"/>
        </w:rPr>
        <w:t xml:space="preserve"> Přitom rozklíčování struktury dlouhodobě nezaměstnaných osob je nezbytné </w:t>
      </w:r>
      <w:r w:rsidRPr="00B24349">
        <w:rPr>
          <w:b/>
          <w:szCs w:val="20"/>
        </w:rPr>
        <w:t>pro nastavení adekvátních opatření k boji s dlouhodobou nezaměstnaností.</w:t>
      </w:r>
      <w:r w:rsidRPr="00B24349">
        <w:rPr>
          <w:szCs w:val="20"/>
        </w:rPr>
        <w:t xml:space="preserve"> </w:t>
      </w:r>
    </w:p>
    <w:p w:rsidR="00B24349" w:rsidRPr="00B24349" w:rsidRDefault="00B24349" w:rsidP="00B24349">
      <w:pPr>
        <w:rPr>
          <w:szCs w:val="20"/>
        </w:rPr>
      </w:pPr>
      <w:r>
        <w:rPr>
          <w:szCs w:val="20"/>
        </w:rPr>
        <w:t>S</w:t>
      </w:r>
      <w:r w:rsidRPr="00B24349">
        <w:rPr>
          <w:szCs w:val="20"/>
        </w:rPr>
        <w:t xml:space="preserve"> ohledem na výše uvedené nedostatky statistického zjišťování </w:t>
      </w:r>
      <w:r>
        <w:rPr>
          <w:szCs w:val="20"/>
        </w:rPr>
        <w:t xml:space="preserve">je tato část </w:t>
      </w:r>
      <w:r w:rsidR="007C73CF" w:rsidRPr="00B24349">
        <w:rPr>
          <w:szCs w:val="20"/>
        </w:rPr>
        <w:t>Analýz</w:t>
      </w:r>
      <w:r w:rsidR="007C73CF">
        <w:rPr>
          <w:szCs w:val="20"/>
        </w:rPr>
        <w:t>y</w:t>
      </w:r>
      <w:r w:rsidR="007C73CF" w:rsidRPr="00B24349">
        <w:rPr>
          <w:szCs w:val="20"/>
        </w:rPr>
        <w:t xml:space="preserve"> doplněna</w:t>
      </w:r>
      <w:r w:rsidRPr="00B24349">
        <w:rPr>
          <w:b/>
          <w:bCs/>
          <w:szCs w:val="20"/>
        </w:rPr>
        <w:t xml:space="preserve"> o výběr z databází kontaktních pracovišť UP ČR provedený v průběhu ledna</w:t>
      </w:r>
      <w:r w:rsidRPr="00B24349">
        <w:rPr>
          <w:bCs/>
          <w:szCs w:val="20"/>
        </w:rPr>
        <w:t xml:space="preserve"> (25. 1. 2018)</w:t>
      </w:r>
      <w:r w:rsidR="007C73CF">
        <w:rPr>
          <w:rStyle w:val="Znakapoznpodarou"/>
          <w:bCs/>
          <w:szCs w:val="20"/>
        </w:rPr>
        <w:footnoteReference w:id="13"/>
      </w:r>
      <w:r w:rsidRPr="00B24349">
        <w:rPr>
          <w:szCs w:val="20"/>
        </w:rPr>
        <w:t xml:space="preserve">. </w:t>
      </w:r>
    </w:p>
    <w:p w:rsidR="0062671F" w:rsidRDefault="00B24349" w:rsidP="007C73CF">
      <w:r w:rsidRPr="00B24349">
        <w:rPr>
          <w:b/>
          <w:szCs w:val="20"/>
        </w:rPr>
        <w:t>Níže uvádíme kvalifikovaný odhad dlouhodobě nezaměstnaných osob v členění na dobu evidence a skupiny na základě dat UP ČR</w:t>
      </w:r>
      <w:r w:rsidRPr="00B24349">
        <w:rPr>
          <w:szCs w:val="20"/>
        </w:rPr>
        <w:t>, a to jak absolutní počty, tak podíly znevýhodněných osob ve skupinách dle doby evidence</w:t>
      </w:r>
      <w:r w:rsidR="007C73CF">
        <w:rPr>
          <w:szCs w:val="20"/>
        </w:rPr>
        <w:t xml:space="preserve">, tj. ve skupině </w:t>
      </w:r>
      <w:proofErr w:type="spellStart"/>
      <w:r w:rsidR="007C73CF">
        <w:rPr>
          <w:szCs w:val="20"/>
        </w:rPr>
        <w:t>UoZ</w:t>
      </w:r>
      <w:proofErr w:type="spellEnd"/>
      <w:r w:rsidR="007C73CF">
        <w:rPr>
          <w:szCs w:val="20"/>
        </w:rPr>
        <w:t xml:space="preserve"> nezaměstnaných déle než 12 měsíců a ve skupině </w:t>
      </w:r>
      <w:proofErr w:type="spellStart"/>
      <w:r w:rsidR="007C73CF">
        <w:rPr>
          <w:szCs w:val="20"/>
        </w:rPr>
        <w:t>UoZ</w:t>
      </w:r>
      <w:proofErr w:type="spellEnd"/>
      <w:r w:rsidR="007C73CF">
        <w:rPr>
          <w:szCs w:val="20"/>
        </w:rPr>
        <w:t xml:space="preserve"> nezaměstnaných déle než 24 měsíců, a v rozpadu podle krajů ČR</w:t>
      </w:r>
      <w:r w:rsidRPr="00B24349">
        <w:rPr>
          <w:szCs w:val="20"/>
        </w:rPr>
        <w:t>.</w:t>
      </w:r>
      <w:r>
        <w:rPr>
          <w:sz w:val="20"/>
          <w:szCs w:val="20"/>
        </w:rPr>
        <w:t> </w:t>
      </w:r>
      <w:r w:rsidR="002424FF">
        <w:rPr>
          <w:szCs w:val="20"/>
        </w:rPr>
        <w:t>Data zpracována na základě výběru z databází UP ČR provedeném v lednu 2018.</w:t>
      </w:r>
      <w:r w:rsidR="0045648F">
        <w:br w:type="page"/>
      </w:r>
    </w:p>
    <w:p w:rsidR="007C73CF" w:rsidRDefault="007C73CF" w:rsidP="007C73CF">
      <w:pPr>
        <w:pStyle w:val="Titulek"/>
        <w:keepNext/>
      </w:pPr>
      <w:bookmarkStart w:id="79" w:name="_Ref508627297"/>
      <w:bookmarkStart w:id="80" w:name="_Toc508704230"/>
      <w:r>
        <w:t xml:space="preserve">Tabulka </w:t>
      </w:r>
      <w:r w:rsidR="007B53ED">
        <w:fldChar w:fldCharType="begin"/>
      </w:r>
      <w:r w:rsidR="007B53ED">
        <w:instrText xml:space="preserve"> SEQ Tabulka \* ARABIC </w:instrText>
      </w:r>
      <w:r w:rsidR="007B53ED">
        <w:fldChar w:fldCharType="separate"/>
      </w:r>
      <w:r w:rsidR="00F41CBA">
        <w:rPr>
          <w:noProof/>
        </w:rPr>
        <w:t>11</w:t>
      </w:r>
      <w:r w:rsidR="007B53ED">
        <w:rPr>
          <w:noProof/>
        </w:rPr>
        <w:fldChar w:fldCharType="end"/>
      </w:r>
      <w:bookmarkEnd w:id="79"/>
      <w:r>
        <w:t xml:space="preserve">Struktura </w:t>
      </w:r>
      <w:proofErr w:type="spellStart"/>
      <w:r>
        <w:t>UoZ</w:t>
      </w:r>
      <w:proofErr w:type="spellEnd"/>
      <w:r>
        <w:t xml:space="preserve"> s evidencí delší 12m (</w:t>
      </w:r>
      <w:r w:rsidR="002424FF">
        <w:t>leden 2018</w:t>
      </w:r>
      <w:r>
        <w:t>, počty)</w:t>
      </w:r>
      <w:bookmarkEnd w:id="80"/>
    </w:p>
    <w:p w:rsidR="00B24349" w:rsidRPr="00302C26" w:rsidRDefault="00B24349" w:rsidP="00B24349">
      <w:pPr>
        <w:rPr>
          <w:sz w:val="20"/>
          <w:szCs w:val="20"/>
        </w:rPr>
      </w:pPr>
      <w:r w:rsidRPr="003A122F">
        <w:rPr>
          <w:noProof/>
          <w:lang w:eastAsia="cs-CZ"/>
        </w:rPr>
        <w:drawing>
          <wp:inline distT="0" distB="0" distL="0" distR="0" wp14:anchorId="139B25F9" wp14:editId="420C72C3">
            <wp:extent cx="5760720" cy="3473103"/>
            <wp:effectExtent l="0" t="0" r="0" b="0"/>
            <wp:docPr id="521" name="Obrázek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3473103"/>
                    </a:xfrm>
                    <a:prstGeom prst="rect">
                      <a:avLst/>
                    </a:prstGeom>
                    <a:noFill/>
                    <a:ln>
                      <a:noFill/>
                    </a:ln>
                  </pic:spPr>
                </pic:pic>
              </a:graphicData>
            </a:graphic>
          </wp:inline>
        </w:drawing>
      </w:r>
    </w:p>
    <w:p w:rsidR="00B24349" w:rsidRDefault="00B24349" w:rsidP="00B24349">
      <w:pPr>
        <w:jc w:val="right"/>
        <w:rPr>
          <w:i/>
          <w:sz w:val="16"/>
          <w:szCs w:val="20"/>
        </w:rPr>
      </w:pPr>
      <w:r>
        <w:rPr>
          <w:i/>
          <w:sz w:val="16"/>
          <w:szCs w:val="20"/>
        </w:rPr>
        <w:t xml:space="preserve">PZN: U </w:t>
      </w:r>
      <w:proofErr w:type="spellStart"/>
      <w:r>
        <w:rPr>
          <w:i/>
          <w:sz w:val="16"/>
          <w:szCs w:val="20"/>
        </w:rPr>
        <w:t>UoZ</w:t>
      </w:r>
      <w:proofErr w:type="spellEnd"/>
      <w:r>
        <w:rPr>
          <w:i/>
          <w:sz w:val="16"/>
          <w:szCs w:val="20"/>
        </w:rPr>
        <w:t xml:space="preserve"> může dojít ke kumulaci znevýhodnění. Součet kategorií proto neodpovídá celkovému počtu dlouhodobě nezaměstnaných.</w:t>
      </w:r>
    </w:p>
    <w:p w:rsidR="007C73CF" w:rsidRDefault="007C73CF" w:rsidP="007C73CF">
      <w:pPr>
        <w:pStyle w:val="Titulek"/>
        <w:keepNext/>
      </w:pPr>
      <w:bookmarkStart w:id="81" w:name="_Toc508704231"/>
      <w:r>
        <w:t xml:space="preserve">Tabulka </w:t>
      </w:r>
      <w:r w:rsidR="007B53ED">
        <w:fldChar w:fldCharType="begin"/>
      </w:r>
      <w:r w:rsidR="007B53ED">
        <w:instrText xml:space="preserve"> SEQ Tabulka \* ARABIC </w:instrText>
      </w:r>
      <w:r w:rsidR="007B53ED">
        <w:fldChar w:fldCharType="separate"/>
      </w:r>
      <w:r w:rsidR="00F41CBA">
        <w:rPr>
          <w:noProof/>
        </w:rPr>
        <w:t>12</w:t>
      </w:r>
      <w:r w:rsidR="007B53ED">
        <w:rPr>
          <w:noProof/>
        </w:rPr>
        <w:fldChar w:fldCharType="end"/>
      </w:r>
      <w:r>
        <w:t xml:space="preserve"> </w:t>
      </w:r>
      <w:r w:rsidRPr="00EE5E99">
        <w:t xml:space="preserve">Struktura </w:t>
      </w:r>
      <w:proofErr w:type="spellStart"/>
      <w:r w:rsidRPr="00EE5E99">
        <w:t>UoZ</w:t>
      </w:r>
      <w:proofErr w:type="spellEnd"/>
      <w:r w:rsidRPr="00EE5E99">
        <w:t xml:space="preserve"> s evidencí </w:t>
      </w:r>
      <w:r>
        <w:t>delší 12m (</w:t>
      </w:r>
      <w:r w:rsidR="002424FF">
        <w:t>leden 2018</w:t>
      </w:r>
      <w:r>
        <w:t>, podíly)</w:t>
      </w:r>
      <w:bookmarkEnd w:id="81"/>
    </w:p>
    <w:p w:rsidR="00B24349" w:rsidRDefault="00B24349" w:rsidP="00B24349">
      <w:pPr>
        <w:rPr>
          <w:noProof/>
          <w:lang w:eastAsia="cs-CZ"/>
        </w:rPr>
      </w:pPr>
      <w:r w:rsidRPr="003E6EED">
        <w:rPr>
          <w:noProof/>
          <w:lang w:eastAsia="cs-CZ"/>
        </w:rPr>
        <w:drawing>
          <wp:inline distT="0" distB="0" distL="0" distR="0" wp14:anchorId="729B6A3E" wp14:editId="4F47D0B2">
            <wp:extent cx="5760720" cy="3445318"/>
            <wp:effectExtent l="0" t="0" r="0" b="3175"/>
            <wp:docPr id="522" name="Obrázek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60720" cy="3445318"/>
                    </a:xfrm>
                    <a:prstGeom prst="rect">
                      <a:avLst/>
                    </a:prstGeom>
                    <a:noFill/>
                    <a:ln>
                      <a:noFill/>
                    </a:ln>
                  </pic:spPr>
                </pic:pic>
              </a:graphicData>
            </a:graphic>
          </wp:inline>
        </w:drawing>
      </w:r>
    </w:p>
    <w:p w:rsidR="00B24349" w:rsidRPr="004E4C2A" w:rsidRDefault="00B24349" w:rsidP="00B24349">
      <w:pPr>
        <w:jc w:val="right"/>
        <w:rPr>
          <w:i/>
          <w:sz w:val="16"/>
          <w:szCs w:val="20"/>
        </w:rPr>
      </w:pPr>
      <w:r>
        <w:rPr>
          <w:i/>
          <w:sz w:val="16"/>
          <w:szCs w:val="20"/>
        </w:rPr>
        <w:t xml:space="preserve">PZN: U </w:t>
      </w:r>
      <w:proofErr w:type="spellStart"/>
      <w:r>
        <w:rPr>
          <w:i/>
          <w:sz w:val="16"/>
          <w:szCs w:val="20"/>
        </w:rPr>
        <w:t>UoZ</w:t>
      </w:r>
      <w:proofErr w:type="spellEnd"/>
      <w:r>
        <w:rPr>
          <w:i/>
          <w:sz w:val="16"/>
          <w:szCs w:val="20"/>
        </w:rPr>
        <w:t xml:space="preserve"> může dojít ke kumulaci znevýhodnění. Součet podílů proto nemůže být roven 100 %.</w:t>
      </w:r>
    </w:p>
    <w:p w:rsidR="00B24349" w:rsidRDefault="00B24349" w:rsidP="00B24349">
      <w:pPr>
        <w:rPr>
          <w:noProof/>
          <w:lang w:eastAsia="cs-CZ"/>
        </w:rPr>
      </w:pPr>
    </w:p>
    <w:p w:rsidR="00B24349" w:rsidRDefault="00B24349" w:rsidP="00B24349">
      <w:pPr>
        <w:rPr>
          <w:noProof/>
          <w:lang w:eastAsia="cs-CZ"/>
        </w:rPr>
      </w:pPr>
    </w:p>
    <w:p w:rsidR="007C73CF" w:rsidRDefault="007C73CF" w:rsidP="007C73CF">
      <w:pPr>
        <w:pStyle w:val="Titulek"/>
        <w:keepNext/>
      </w:pPr>
      <w:bookmarkStart w:id="82" w:name="_Toc508704232"/>
      <w:r>
        <w:t xml:space="preserve">Tabulka </w:t>
      </w:r>
      <w:r w:rsidR="007B53ED">
        <w:fldChar w:fldCharType="begin"/>
      </w:r>
      <w:r w:rsidR="007B53ED">
        <w:instrText xml:space="preserve"> SEQ Tabulka \* ARABIC </w:instrText>
      </w:r>
      <w:r w:rsidR="007B53ED">
        <w:fldChar w:fldCharType="separate"/>
      </w:r>
      <w:r w:rsidR="00F41CBA">
        <w:rPr>
          <w:noProof/>
        </w:rPr>
        <w:t>13</w:t>
      </w:r>
      <w:r w:rsidR="007B53ED">
        <w:rPr>
          <w:noProof/>
        </w:rPr>
        <w:fldChar w:fldCharType="end"/>
      </w:r>
      <w:r>
        <w:t xml:space="preserve"> </w:t>
      </w:r>
      <w:r w:rsidRPr="00AC1BA8">
        <w:t xml:space="preserve">Struktura </w:t>
      </w:r>
      <w:proofErr w:type="spellStart"/>
      <w:r w:rsidRPr="00AC1BA8">
        <w:t>UoZ</w:t>
      </w:r>
      <w:proofErr w:type="spellEnd"/>
      <w:r w:rsidRPr="00AC1BA8">
        <w:t xml:space="preserve"> s evidencí delší </w:t>
      </w:r>
      <w:r>
        <w:t>24</w:t>
      </w:r>
      <w:r w:rsidRPr="00AC1BA8">
        <w:t>m (</w:t>
      </w:r>
      <w:r w:rsidR="002424FF">
        <w:t>leden 2018</w:t>
      </w:r>
      <w:r w:rsidRPr="00AC1BA8">
        <w:t>, počty</w:t>
      </w:r>
      <w:r>
        <w:t>)</w:t>
      </w:r>
      <w:bookmarkEnd w:id="82"/>
    </w:p>
    <w:p w:rsidR="00B24349" w:rsidRDefault="00B24349" w:rsidP="00B24349">
      <w:pPr>
        <w:rPr>
          <w:noProof/>
          <w:lang w:eastAsia="cs-CZ"/>
        </w:rPr>
      </w:pPr>
      <w:r w:rsidRPr="003E6EED">
        <w:rPr>
          <w:noProof/>
          <w:lang w:eastAsia="cs-CZ"/>
        </w:rPr>
        <w:drawing>
          <wp:inline distT="0" distB="0" distL="0" distR="0" wp14:anchorId="111E2664" wp14:editId="4CB3891E">
            <wp:extent cx="5760720" cy="3456432"/>
            <wp:effectExtent l="0" t="0" r="0" b="0"/>
            <wp:docPr id="523" name="Obrázek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60720" cy="3456432"/>
                    </a:xfrm>
                    <a:prstGeom prst="rect">
                      <a:avLst/>
                    </a:prstGeom>
                    <a:noFill/>
                    <a:ln>
                      <a:noFill/>
                    </a:ln>
                  </pic:spPr>
                </pic:pic>
              </a:graphicData>
            </a:graphic>
          </wp:inline>
        </w:drawing>
      </w:r>
    </w:p>
    <w:p w:rsidR="00B24349" w:rsidRDefault="00B24349" w:rsidP="00B24349">
      <w:pPr>
        <w:jc w:val="right"/>
        <w:rPr>
          <w:i/>
          <w:sz w:val="16"/>
          <w:szCs w:val="20"/>
        </w:rPr>
      </w:pPr>
      <w:r>
        <w:rPr>
          <w:i/>
          <w:sz w:val="16"/>
          <w:szCs w:val="20"/>
        </w:rPr>
        <w:t xml:space="preserve">PZN: U </w:t>
      </w:r>
      <w:proofErr w:type="spellStart"/>
      <w:r>
        <w:rPr>
          <w:i/>
          <w:sz w:val="16"/>
          <w:szCs w:val="20"/>
        </w:rPr>
        <w:t>UoZ</w:t>
      </w:r>
      <w:proofErr w:type="spellEnd"/>
      <w:r>
        <w:rPr>
          <w:i/>
          <w:sz w:val="16"/>
          <w:szCs w:val="20"/>
        </w:rPr>
        <w:t xml:space="preserve"> může dojít ke kumulaci znevýhodnění. Součet kategorií proto neodpovídá celkovému počtu dlouhodobě nezaměstnaných.</w:t>
      </w:r>
    </w:p>
    <w:p w:rsidR="007C73CF" w:rsidRDefault="007C73CF" w:rsidP="007C73CF">
      <w:pPr>
        <w:pStyle w:val="Titulek"/>
        <w:keepNext/>
      </w:pPr>
      <w:bookmarkStart w:id="83" w:name="_Ref508627314"/>
      <w:bookmarkStart w:id="84" w:name="_Toc508704233"/>
      <w:r>
        <w:t xml:space="preserve">Tabulka </w:t>
      </w:r>
      <w:r w:rsidR="007B53ED">
        <w:fldChar w:fldCharType="begin"/>
      </w:r>
      <w:r w:rsidR="007B53ED">
        <w:instrText xml:space="preserve"> SEQ Tabulka \* ARABIC </w:instrText>
      </w:r>
      <w:r w:rsidR="007B53ED">
        <w:fldChar w:fldCharType="separate"/>
      </w:r>
      <w:r w:rsidR="00F41CBA">
        <w:rPr>
          <w:noProof/>
        </w:rPr>
        <w:t>14</w:t>
      </w:r>
      <w:r w:rsidR="007B53ED">
        <w:rPr>
          <w:noProof/>
        </w:rPr>
        <w:fldChar w:fldCharType="end"/>
      </w:r>
      <w:bookmarkEnd w:id="83"/>
      <w:r>
        <w:t xml:space="preserve"> </w:t>
      </w:r>
      <w:r w:rsidRPr="005C3B8B">
        <w:t xml:space="preserve">Struktura </w:t>
      </w:r>
      <w:proofErr w:type="spellStart"/>
      <w:r w:rsidRPr="005C3B8B">
        <w:t>UoZ</w:t>
      </w:r>
      <w:proofErr w:type="spellEnd"/>
      <w:r w:rsidRPr="005C3B8B">
        <w:t xml:space="preserve"> s evidencí delší 2</w:t>
      </w:r>
      <w:r>
        <w:t>4m (</w:t>
      </w:r>
      <w:r w:rsidR="002424FF">
        <w:t>leden 2018</w:t>
      </w:r>
      <w:r>
        <w:t>, podíly)</w:t>
      </w:r>
      <w:bookmarkEnd w:id="84"/>
    </w:p>
    <w:p w:rsidR="00B24349" w:rsidRDefault="00B24349" w:rsidP="00B24349">
      <w:pPr>
        <w:rPr>
          <w:noProof/>
          <w:lang w:eastAsia="cs-CZ"/>
        </w:rPr>
      </w:pPr>
      <w:r w:rsidRPr="003E6EED">
        <w:rPr>
          <w:noProof/>
          <w:lang w:eastAsia="cs-CZ"/>
        </w:rPr>
        <w:drawing>
          <wp:inline distT="0" distB="0" distL="0" distR="0" wp14:anchorId="1EA025FB" wp14:editId="00DDDF1C">
            <wp:extent cx="5760720" cy="3428781"/>
            <wp:effectExtent l="0" t="0" r="0" b="635"/>
            <wp:docPr id="524" name="Obrázek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60720" cy="3428781"/>
                    </a:xfrm>
                    <a:prstGeom prst="rect">
                      <a:avLst/>
                    </a:prstGeom>
                    <a:noFill/>
                    <a:ln>
                      <a:noFill/>
                    </a:ln>
                  </pic:spPr>
                </pic:pic>
              </a:graphicData>
            </a:graphic>
          </wp:inline>
        </w:drawing>
      </w:r>
    </w:p>
    <w:p w:rsidR="00B24349" w:rsidRPr="004E4C2A" w:rsidRDefault="00B24349" w:rsidP="00B24349">
      <w:pPr>
        <w:jc w:val="right"/>
        <w:rPr>
          <w:i/>
          <w:sz w:val="16"/>
          <w:szCs w:val="20"/>
        </w:rPr>
      </w:pPr>
      <w:r>
        <w:rPr>
          <w:i/>
          <w:sz w:val="16"/>
          <w:szCs w:val="20"/>
        </w:rPr>
        <w:t xml:space="preserve">PZN: U </w:t>
      </w:r>
      <w:proofErr w:type="spellStart"/>
      <w:r>
        <w:rPr>
          <w:i/>
          <w:sz w:val="16"/>
          <w:szCs w:val="20"/>
        </w:rPr>
        <w:t>UoZ</w:t>
      </w:r>
      <w:proofErr w:type="spellEnd"/>
      <w:r>
        <w:rPr>
          <w:i/>
          <w:sz w:val="16"/>
          <w:szCs w:val="20"/>
        </w:rPr>
        <w:t xml:space="preserve"> může dojít ke kumulaci znevýhodnění. Součet podílů proto nemůže být roven 100 %.</w:t>
      </w:r>
    </w:p>
    <w:p w:rsidR="0062671F" w:rsidRDefault="0062671F" w:rsidP="002A3A1A"/>
    <w:p w:rsidR="007C73CF" w:rsidRDefault="007C73CF">
      <w:pPr>
        <w:spacing w:before="0" w:after="200" w:line="276" w:lineRule="auto"/>
        <w:jc w:val="left"/>
      </w:pPr>
      <w:r>
        <w:br w:type="page"/>
      </w:r>
    </w:p>
    <w:p w:rsidR="007C73CF" w:rsidRDefault="00227EB3" w:rsidP="002A3A1A">
      <w:r>
        <w:t xml:space="preserve">Mezi dlouhodobě nezaměstnanými </w:t>
      </w:r>
      <w:proofErr w:type="spellStart"/>
      <w:r w:rsidR="001B134E">
        <w:t>UoZ</w:t>
      </w:r>
      <w:proofErr w:type="spellEnd"/>
      <w:r>
        <w:t xml:space="preserve"> lze vysledovat zvýšenou koncentraci osob pobírajících dávky hmotné nouze, viz následující </w:t>
      </w:r>
      <w:r>
        <w:fldChar w:fldCharType="begin"/>
      </w:r>
      <w:r>
        <w:instrText xml:space="preserve"> REF _Ref508622446 \h </w:instrText>
      </w:r>
      <w:r>
        <w:fldChar w:fldCharType="separate"/>
      </w:r>
      <w:r w:rsidR="00F41CBA">
        <w:t xml:space="preserve">Tabulka </w:t>
      </w:r>
      <w:r w:rsidR="00F41CBA">
        <w:rPr>
          <w:noProof/>
        </w:rPr>
        <w:t>15</w:t>
      </w:r>
      <w:r>
        <w:fldChar w:fldCharType="end"/>
      </w:r>
      <w:r>
        <w:t xml:space="preserve">. Z ní je patrné, že téměř ½ polovina všech </w:t>
      </w:r>
      <w:proofErr w:type="spellStart"/>
      <w:r>
        <w:t>UoZ</w:t>
      </w:r>
      <w:proofErr w:type="spellEnd"/>
      <w:r>
        <w:t xml:space="preserve"> nezaměstnaných déle než 12 měsíců pobírá některou z dávek pomoci v hmotné nouzi, naopak mezi </w:t>
      </w:r>
      <w:proofErr w:type="spellStart"/>
      <w:r>
        <w:t>UoZ</w:t>
      </w:r>
      <w:proofErr w:type="spellEnd"/>
      <w:r>
        <w:t xml:space="preserve"> s evidencí kratší 12 měsíců (včetně) činí podíl osob pobírajících dávky hmotné nouze pouze cca 13,8 %.</w:t>
      </w:r>
    </w:p>
    <w:p w:rsidR="00227EB3" w:rsidRDefault="00227EB3" w:rsidP="00227EB3">
      <w:pPr>
        <w:pStyle w:val="Titulek"/>
        <w:keepNext/>
      </w:pPr>
      <w:bookmarkStart w:id="85" w:name="_Ref508622446"/>
      <w:bookmarkStart w:id="86" w:name="_Toc508704234"/>
      <w:r>
        <w:t xml:space="preserve">Tabulka </w:t>
      </w:r>
      <w:r w:rsidR="007B53ED">
        <w:fldChar w:fldCharType="begin"/>
      </w:r>
      <w:r w:rsidR="007B53ED">
        <w:instrText xml:space="preserve"> SEQ Tabulka \* ARABIC </w:instrText>
      </w:r>
      <w:r w:rsidR="007B53ED">
        <w:fldChar w:fldCharType="separate"/>
      </w:r>
      <w:r w:rsidR="00F41CBA">
        <w:rPr>
          <w:noProof/>
        </w:rPr>
        <w:t>15</w:t>
      </w:r>
      <w:r w:rsidR="007B53ED">
        <w:rPr>
          <w:noProof/>
        </w:rPr>
        <w:fldChar w:fldCharType="end"/>
      </w:r>
      <w:bookmarkEnd w:id="85"/>
      <w:r>
        <w:t xml:space="preserve"> </w:t>
      </w:r>
      <w:proofErr w:type="spellStart"/>
      <w:r>
        <w:t>UoZ</w:t>
      </w:r>
      <w:proofErr w:type="spellEnd"/>
      <w:r>
        <w:t xml:space="preserve"> pobírající dávky HMN (31. 12. 2017)</w:t>
      </w:r>
      <w:bookmarkEnd w:id="86"/>
    </w:p>
    <w:tbl>
      <w:tblPr>
        <w:tblW w:w="9076" w:type="dxa"/>
        <w:tblInd w:w="55" w:type="dxa"/>
        <w:tblCellMar>
          <w:left w:w="70" w:type="dxa"/>
          <w:right w:w="70" w:type="dxa"/>
        </w:tblCellMar>
        <w:tblLook w:val="04A0" w:firstRow="1" w:lastRow="0" w:firstColumn="1" w:lastColumn="0" w:noHBand="0" w:noVBand="1"/>
      </w:tblPr>
      <w:tblGrid>
        <w:gridCol w:w="2277"/>
        <w:gridCol w:w="1662"/>
        <w:gridCol w:w="1564"/>
        <w:gridCol w:w="1290"/>
        <w:gridCol w:w="2283"/>
      </w:tblGrid>
      <w:tr w:rsidR="00227EB3" w:rsidRPr="00227EB3" w:rsidTr="00227EB3">
        <w:trPr>
          <w:trHeight w:val="272"/>
        </w:trPr>
        <w:tc>
          <w:tcPr>
            <w:tcW w:w="2277" w:type="dxa"/>
            <w:vMerge w:val="restart"/>
            <w:tcBorders>
              <w:top w:val="nil"/>
              <w:left w:val="nil"/>
              <w:bottom w:val="single" w:sz="8" w:space="0" w:color="000000"/>
              <w:right w:val="single" w:sz="8" w:space="0" w:color="auto"/>
            </w:tcBorders>
            <w:shd w:val="clear" w:color="auto" w:fill="auto"/>
            <w:hideMark/>
          </w:tcPr>
          <w:p w:rsidR="00227EB3" w:rsidRPr="00227EB3" w:rsidRDefault="00227EB3" w:rsidP="00227EB3">
            <w:pPr>
              <w:spacing w:before="0" w:after="0"/>
              <w:jc w:val="center"/>
              <w:rPr>
                <w:rFonts w:ascii="Arial CE" w:eastAsia="Times New Roman" w:hAnsi="Arial CE" w:cs="Arial CE"/>
                <w:sz w:val="20"/>
                <w:szCs w:val="20"/>
                <w:lang w:eastAsia="cs-CZ"/>
              </w:rPr>
            </w:pPr>
            <w:r w:rsidRPr="00227EB3">
              <w:rPr>
                <w:rFonts w:ascii="Arial CE" w:eastAsia="Times New Roman" w:hAnsi="Arial CE" w:cs="Arial CE"/>
                <w:sz w:val="20"/>
                <w:szCs w:val="20"/>
                <w:lang w:eastAsia="cs-CZ"/>
              </w:rPr>
              <w:t> </w:t>
            </w:r>
          </w:p>
        </w:tc>
        <w:tc>
          <w:tcPr>
            <w:tcW w:w="3226" w:type="dxa"/>
            <w:gridSpan w:val="2"/>
            <w:tcBorders>
              <w:top w:val="single" w:sz="8" w:space="0" w:color="auto"/>
              <w:left w:val="nil"/>
              <w:bottom w:val="single" w:sz="4" w:space="0" w:color="auto"/>
              <w:right w:val="single" w:sz="4" w:space="0" w:color="auto"/>
            </w:tcBorders>
            <w:shd w:val="clear" w:color="auto" w:fill="auto"/>
            <w:noWrap/>
            <w:vAlign w:val="center"/>
            <w:hideMark/>
          </w:tcPr>
          <w:p w:rsidR="00227EB3" w:rsidRPr="00227EB3" w:rsidRDefault="00227EB3" w:rsidP="00227EB3">
            <w:pPr>
              <w:spacing w:before="0" w:after="0"/>
              <w:jc w:val="center"/>
              <w:rPr>
                <w:rFonts w:ascii="Arial CE" w:eastAsia="Times New Roman" w:hAnsi="Arial CE" w:cs="Arial CE"/>
                <w:b/>
                <w:sz w:val="20"/>
                <w:szCs w:val="20"/>
                <w:lang w:eastAsia="cs-CZ"/>
              </w:rPr>
            </w:pPr>
            <w:proofErr w:type="spellStart"/>
            <w:r w:rsidRPr="00227EB3">
              <w:rPr>
                <w:rFonts w:ascii="Arial CE" w:eastAsia="Times New Roman" w:hAnsi="Arial CE" w:cs="Arial CE"/>
                <w:b/>
                <w:sz w:val="20"/>
                <w:szCs w:val="20"/>
                <w:lang w:eastAsia="cs-CZ"/>
              </w:rPr>
              <w:t>UoZ</w:t>
            </w:r>
            <w:proofErr w:type="spellEnd"/>
            <w:r w:rsidRPr="00227EB3">
              <w:rPr>
                <w:rFonts w:ascii="Arial CE" w:eastAsia="Times New Roman" w:hAnsi="Arial CE" w:cs="Arial CE"/>
                <w:b/>
                <w:sz w:val="20"/>
                <w:szCs w:val="20"/>
                <w:lang w:eastAsia="cs-CZ"/>
              </w:rPr>
              <w:t xml:space="preserve"> celkem</w:t>
            </w:r>
          </w:p>
        </w:tc>
        <w:tc>
          <w:tcPr>
            <w:tcW w:w="3573" w:type="dxa"/>
            <w:gridSpan w:val="2"/>
            <w:tcBorders>
              <w:top w:val="single" w:sz="8" w:space="0" w:color="auto"/>
              <w:left w:val="nil"/>
              <w:bottom w:val="single" w:sz="4" w:space="0" w:color="auto"/>
              <w:right w:val="single" w:sz="8" w:space="0" w:color="000000"/>
            </w:tcBorders>
            <w:shd w:val="clear" w:color="auto" w:fill="auto"/>
            <w:noWrap/>
            <w:vAlign w:val="center"/>
            <w:hideMark/>
          </w:tcPr>
          <w:p w:rsidR="00227EB3" w:rsidRPr="00227EB3" w:rsidRDefault="00227EB3" w:rsidP="00227EB3">
            <w:pPr>
              <w:spacing w:before="0" w:after="0"/>
              <w:jc w:val="center"/>
              <w:rPr>
                <w:rFonts w:ascii="Arial CE" w:eastAsia="Times New Roman" w:hAnsi="Arial CE" w:cs="Arial CE"/>
                <w:b/>
                <w:sz w:val="20"/>
                <w:szCs w:val="20"/>
                <w:lang w:eastAsia="cs-CZ"/>
              </w:rPr>
            </w:pPr>
            <w:proofErr w:type="spellStart"/>
            <w:r w:rsidRPr="00227EB3">
              <w:rPr>
                <w:rFonts w:ascii="Arial CE" w:eastAsia="Times New Roman" w:hAnsi="Arial CE" w:cs="Arial CE"/>
                <w:b/>
                <w:sz w:val="20"/>
                <w:szCs w:val="20"/>
                <w:lang w:eastAsia="cs-CZ"/>
              </w:rPr>
              <w:t>UoZ</w:t>
            </w:r>
            <w:proofErr w:type="spellEnd"/>
            <w:r w:rsidRPr="00227EB3">
              <w:rPr>
                <w:rFonts w:ascii="Arial CE" w:eastAsia="Times New Roman" w:hAnsi="Arial CE" w:cs="Arial CE"/>
                <w:b/>
                <w:sz w:val="20"/>
                <w:szCs w:val="20"/>
                <w:lang w:eastAsia="cs-CZ"/>
              </w:rPr>
              <w:t xml:space="preserve"> v HMN</w:t>
            </w:r>
          </w:p>
        </w:tc>
      </w:tr>
      <w:tr w:rsidR="00227EB3" w:rsidRPr="00227EB3" w:rsidTr="00227EB3">
        <w:trPr>
          <w:trHeight w:val="288"/>
        </w:trPr>
        <w:tc>
          <w:tcPr>
            <w:tcW w:w="2277" w:type="dxa"/>
            <w:vMerge/>
            <w:tcBorders>
              <w:top w:val="nil"/>
              <w:left w:val="nil"/>
              <w:bottom w:val="single" w:sz="8" w:space="0" w:color="000000"/>
              <w:right w:val="single" w:sz="8" w:space="0" w:color="auto"/>
            </w:tcBorders>
            <w:vAlign w:val="center"/>
            <w:hideMark/>
          </w:tcPr>
          <w:p w:rsidR="00227EB3" w:rsidRPr="00227EB3" w:rsidRDefault="00227EB3" w:rsidP="00227EB3">
            <w:pPr>
              <w:spacing w:before="0" w:after="0"/>
              <w:jc w:val="left"/>
              <w:rPr>
                <w:rFonts w:ascii="Arial CE" w:eastAsia="Times New Roman" w:hAnsi="Arial CE" w:cs="Arial CE"/>
                <w:sz w:val="20"/>
                <w:szCs w:val="20"/>
                <w:lang w:eastAsia="cs-CZ"/>
              </w:rPr>
            </w:pPr>
          </w:p>
        </w:tc>
        <w:tc>
          <w:tcPr>
            <w:tcW w:w="1662" w:type="dxa"/>
            <w:tcBorders>
              <w:top w:val="nil"/>
              <w:left w:val="nil"/>
              <w:bottom w:val="single" w:sz="8" w:space="0" w:color="auto"/>
              <w:right w:val="single" w:sz="4" w:space="0" w:color="auto"/>
            </w:tcBorders>
            <w:shd w:val="clear" w:color="auto" w:fill="auto"/>
            <w:noWrap/>
            <w:vAlign w:val="center"/>
            <w:hideMark/>
          </w:tcPr>
          <w:p w:rsidR="00227EB3" w:rsidRPr="00227EB3" w:rsidRDefault="00227EB3" w:rsidP="00227EB3">
            <w:pPr>
              <w:spacing w:before="0" w:after="0"/>
              <w:jc w:val="center"/>
              <w:rPr>
                <w:rFonts w:ascii="Arial CE" w:eastAsia="Times New Roman" w:hAnsi="Arial CE" w:cs="Arial CE"/>
                <w:sz w:val="20"/>
                <w:szCs w:val="20"/>
                <w:lang w:eastAsia="cs-CZ"/>
              </w:rPr>
            </w:pPr>
            <w:r w:rsidRPr="00227EB3">
              <w:rPr>
                <w:rFonts w:ascii="Arial CE" w:eastAsia="Times New Roman" w:hAnsi="Arial CE" w:cs="Arial CE"/>
                <w:sz w:val="20"/>
                <w:szCs w:val="20"/>
                <w:lang w:eastAsia="cs-CZ"/>
              </w:rPr>
              <w:t>počet</w:t>
            </w:r>
          </w:p>
        </w:tc>
        <w:tc>
          <w:tcPr>
            <w:tcW w:w="1564" w:type="dxa"/>
            <w:tcBorders>
              <w:top w:val="nil"/>
              <w:left w:val="nil"/>
              <w:bottom w:val="single" w:sz="8" w:space="0" w:color="auto"/>
              <w:right w:val="single" w:sz="4" w:space="0" w:color="auto"/>
            </w:tcBorders>
            <w:shd w:val="clear" w:color="auto" w:fill="auto"/>
            <w:noWrap/>
            <w:vAlign w:val="center"/>
            <w:hideMark/>
          </w:tcPr>
          <w:p w:rsidR="00227EB3" w:rsidRPr="00227EB3" w:rsidRDefault="00227EB3" w:rsidP="00227EB3">
            <w:pPr>
              <w:spacing w:before="0" w:after="0"/>
              <w:jc w:val="center"/>
              <w:rPr>
                <w:rFonts w:ascii="Arial CE" w:eastAsia="Times New Roman" w:hAnsi="Arial CE" w:cs="Arial CE"/>
                <w:sz w:val="20"/>
                <w:szCs w:val="20"/>
                <w:lang w:eastAsia="cs-CZ"/>
              </w:rPr>
            </w:pPr>
            <w:r w:rsidRPr="00227EB3">
              <w:rPr>
                <w:rFonts w:ascii="Arial CE" w:eastAsia="Times New Roman" w:hAnsi="Arial CE" w:cs="Arial CE"/>
                <w:sz w:val="20"/>
                <w:szCs w:val="20"/>
                <w:lang w:eastAsia="cs-CZ"/>
              </w:rPr>
              <w:t>podíl</w:t>
            </w:r>
          </w:p>
        </w:tc>
        <w:tc>
          <w:tcPr>
            <w:tcW w:w="1290" w:type="dxa"/>
            <w:tcBorders>
              <w:top w:val="nil"/>
              <w:left w:val="nil"/>
              <w:bottom w:val="single" w:sz="8" w:space="0" w:color="auto"/>
              <w:right w:val="single" w:sz="4" w:space="0" w:color="auto"/>
            </w:tcBorders>
            <w:shd w:val="clear" w:color="auto" w:fill="auto"/>
            <w:noWrap/>
            <w:vAlign w:val="center"/>
            <w:hideMark/>
          </w:tcPr>
          <w:p w:rsidR="00227EB3" w:rsidRPr="00227EB3" w:rsidRDefault="00227EB3" w:rsidP="00227EB3">
            <w:pPr>
              <w:spacing w:before="0" w:after="0"/>
              <w:jc w:val="center"/>
              <w:rPr>
                <w:rFonts w:ascii="Arial CE" w:eastAsia="Times New Roman" w:hAnsi="Arial CE" w:cs="Arial CE"/>
                <w:sz w:val="20"/>
                <w:szCs w:val="20"/>
                <w:lang w:eastAsia="cs-CZ"/>
              </w:rPr>
            </w:pPr>
            <w:r w:rsidRPr="00227EB3">
              <w:rPr>
                <w:rFonts w:ascii="Arial CE" w:eastAsia="Times New Roman" w:hAnsi="Arial CE" w:cs="Arial CE"/>
                <w:sz w:val="20"/>
                <w:szCs w:val="20"/>
                <w:lang w:eastAsia="cs-CZ"/>
              </w:rPr>
              <w:t>celkem</w:t>
            </w:r>
          </w:p>
        </w:tc>
        <w:tc>
          <w:tcPr>
            <w:tcW w:w="2283" w:type="dxa"/>
            <w:tcBorders>
              <w:top w:val="nil"/>
              <w:left w:val="nil"/>
              <w:bottom w:val="single" w:sz="8" w:space="0" w:color="auto"/>
              <w:right w:val="single" w:sz="8" w:space="0" w:color="auto"/>
            </w:tcBorders>
            <w:shd w:val="clear" w:color="auto" w:fill="auto"/>
            <w:noWrap/>
            <w:vAlign w:val="center"/>
            <w:hideMark/>
          </w:tcPr>
          <w:p w:rsidR="00227EB3" w:rsidRPr="00227EB3" w:rsidRDefault="00227EB3" w:rsidP="00227EB3">
            <w:pPr>
              <w:spacing w:before="0" w:after="0"/>
              <w:jc w:val="center"/>
              <w:rPr>
                <w:rFonts w:ascii="Arial CE" w:eastAsia="Times New Roman" w:hAnsi="Arial CE" w:cs="Arial CE"/>
                <w:sz w:val="20"/>
                <w:szCs w:val="20"/>
                <w:lang w:eastAsia="cs-CZ"/>
              </w:rPr>
            </w:pPr>
            <w:r w:rsidRPr="00227EB3">
              <w:rPr>
                <w:rFonts w:ascii="Arial CE" w:eastAsia="Times New Roman" w:hAnsi="Arial CE" w:cs="Arial CE"/>
                <w:sz w:val="20"/>
                <w:szCs w:val="20"/>
                <w:lang w:eastAsia="cs-CZ"/>
              </w:rPr>
              <w:t xml:space="preserve">podíl na </w:t>
            </w:r>
            <w:proofErr w:type="spellStart"/>
            <w:r w:rsidRPr="00227EB3">
              <w:rPr>
                <w:rFonts w:ascii="Arial CE" w:eastAsia="Times New Roman" w:hAnsi="Arial CE" w:cs="Arial CE"/>
                <w:sz w:val="20"/>
                <w:szCs w:val="20"/>
                <w:lang w:eastAsia="cs-CZ"/>
              </w:rPr>
              <w:t>UoZ</w:t>
            </w:r>
            <w:proofErr w:type="spellEnd"/>
          </w:p>
        </w:tc>
      </w:tr>
      <w:tr w:rsidR="00227EB3" w:rsidRPr="00227EB3" w:rsidTr="00227EB3">
        <w:trPr>
          <w:trHeight w:val="272"/>
        </w:trPr>
        <w:tc>
          <w:tcPr>
            <w:tcW w:w="2277" w:type="dxa"/>
            <w:tcBorders>
              <w:top w:val="nil"/>
              <w:left w:val="single" w:sz="8" w:space="0" w:color="auto"/>
              <w:bottom w:val="single" w:sz="4" w:space="0" w:color="auto"/>
              <w:right w:val="single" w:sz="8" w:space="0" w:color="auto"/>
            </w:tcBorders>
            <w:shd w:val="clear" w:color="auto" w:fill="auto"/>
            <w:noWrap/>
            <w:hideMark/>
          </w:tcPr>
          <w:p w:rsidR="00227EB3" w:rsidRPr="00227EB3" w:rsidRDefault="00227EB3" w:rsidP="00227EB3">
            <w:pPr>
              <w:spacing w:before="0" w:after="0"/>
              <w:jc w:val="left"/>
              <w:rPr>
                <w:rFonts w:ascii="Arial CE" w:eastAsia="Times New Roman" w:hAnsi="Arial CE" w:cs="Arial CE"/>
                <w:b/>
                <w:sz w:val="20"/>
                <w:szCs w:val="20"/>
                <w:lang w:eastAsia="cs-CZ"/>
              </w:rPr>
            </w:pPr>
            <w:r w:rsidRPr="00227EB3">
              <w:rPr>
                <w:rFonts w:ascii="Arial CE" w:eastAsia="Times New Roman" w:hAnsi="Arial CE" w:cs="Arial CE"/>
                <w:b/>
                <w:sz w:val="20"/>
                <w:szCs w:val="20"/>
                <w:lang w:eastAsia="cs-CZ"/>
              </w:rPr>
              <w:t>celkem</w:t>
            </w:r>
          </w:p>
        </w:tc>
        <w:tc>
          <w:tcPr>
            <w:tcW w:w="1662" w:type="dxa"/>
            <w:tcBorders>
              <w:top w:val="nil"/>
              <w:left w:val="nil"/>
              <w:bottom w:val="single" w:sz="4" w:space="0" w:color="auto"/>
              <w:right w:val="single" w:sz="4" w:space="0" w:color="auto"/>
            </w:tcBorders>
            <w:shd w:val="clear" w:color="auto" w:fill="auto"/>
            <w:noWrap/>
            <w:vAlign w:val="center"/>
            <w:hideMark/>
          </w:tcPr>
          <w:p w:rsidR="00227EB3" w:rsidRPr="00227EB3" w:rsidRDefault="00227EB3" w:rsidP="00227EB3">
            <w:pPr>
              <w:spacing w:before="0" w:after="0"/>
              <w:jc w:val="center"/>
              <w:rPr>
                <w:rFonts w:ascii="Arial CE" w:eastAsia="Times New Roman" w:hAnsi="Arial CE" w:cs="Arial CE"/>
                <w:sz w:val="20"/>
                <w:szCs w:val="20"/>
                <w:lang w:eastAsia="cs-CZ"/>
              </w:rPr>
            </w:pPr>
            <w:r w:rsidRPr="00227EB3">
              <w:rPr>
                <w:rFonts w:ascii="Arial CE" w:eastAsia="Times New Roman" w:hAnsi="Arial CE" w:cs="Arial CE"/>
                <w:sz w:val="20"/>
                <w:szCs w:val="20"/>
                <w:lang w:eastAsia="cs-CZ"/>
              </w:rPr>
              <w:t>280 620</w:t>
            </w:r>
          </w:p>
        </w:tc>
        <w:tc>
          <w:tcPr>
            <w:tcW w:w="1564" w:type="dxa"/>
            <w:tcBorders>
              <w:top w:val="nil"/>
              <w:left w:val="nil"/>
              <w:bottom w:val="single" w:sz="4" w:space="0" w:color="auto"/>
              <w:right w:val="single" w:sz="4" w:space="0" w:color="auto"/>
            </w:tcBorders>
            <w:shd w:val="clear" w:color="auto" w:fill="auto"/>
            <w:noWrap/>
            <w:vAlign w:val="center"/>
            <w:hideMark/>
          </w:tcPr>
          <w:p w:rsidR="00227EB3" w:rsidRPr="00227EB3" w:rsidRDefault="00227EB3" w:rsidP="00227EB3">
            <w:pPr>
              <w:spacing w:before="0" w:after="0"/>
              <w:jc w:val="center"/>
              <w:rPr>
                <w:rFonts w:ascii="Arial CE" w:eastAsia="Times New Roman" w:hAnsi="Arial CE" w:cs="Arial CE"/>
                <w:sz w:val="20"/>
                <w:szCs w:val="20"/>
                <w:lang w:eastAsia="cs-CZ"/>
              </w:rPr>
            </w:pPr>
            <w:r w:rsidRPr="00227EB3">
              <w:rPr>
                <w:rFonts w:ascii="Arial CE" w:eastAsia="Times New Roman" w:hAnsi="Arial CE" w:cs="Arial CE"/>
                <w:sz w:val="20"/>
                <w:szCs w:val="20"/>
                <w:lang w:eastAsia="cs-CZ"/>
              </w:rPr>
              <w:t>100%</w:t>
            </w:r>
          </w:p>
        </w:tc>
        <w:tc>
          <w:tcPr>
            <w:tcW w:w="1290" w:type="dxa"/>
            <w:tcBorders>
              <w:top w:val="nil"/>
              <w:left w:val="nil"/>
              <w:bottom w:val="single" w:sz="4" w:space="0" w:color="auto"/>
              <w:right w:val="single" w:sz="4" w:space="0" w:color="auto"/>
            </w:tcBorders>
            <w:shd w:val="clear" w:color="auto" w:fill="auto"/>
            <w:noWrap/>
            <w:vAlign w:val="center"/>
            <w:hideMark/>
          </w:tcPr>
          <w:p w:rsidR="00227EB3" w:rsidRPr="00227EB3" w:rsidRDefault="00227EB3" w:rsidP="00227EB3">
            <w:pPr>
              <w:spacing w:before="0" w:after="0"/>
              <w:jc w:val="center"/>
              <w:rPr>
                <w:rFonts w:ascii="Arial CE" w:eastAsia="Times New Roman" w:hAnsi="Arial CE" w:cs="Arial CE"/>
                <w:sz w:val="20"/>
                <w:szCs w:val="20"/>
                <w:lang w:eastAsia="cs-CZ"/>
              </w:rPr>
            </w:pPr>
            <w:r w:rsidRPr="00227EB3">
              <w:rPr>
                <w:rFonts w:ascii="Arial CE" w:eastAsia="Times New Roman" w:hAnsi="Arial CE" w:cs="Arial CE"/>
                <w:sz w:val="20"/>
                <w:szCs w:val="20"/>
                <w:lang w:eastAsia="cs-CZ"/>
              </w:rPr>
              <w:t>67 749</w:t>
            </w:r>
          </w:p>
        </w:tc>
        <w:tc>
          <w:tcPr>
            <w:tcW w:w="2283" w:type="dxa"/>
            <w:tcBorders>
              <w:top w:val="nil"/>
              <w:left w:val="nil"/>
              <w:bottom w:val="single" w:sz="4" w:space="0" w:color="auto"/>
              <w:right w:val="single" w:sz="8" w:space="0" w:color="auto"/>
            </w:tcBorders>
            <w:shd w:val="clear" w:color="auto" w:fill="auto"/>
            <w:noWrap/>
            <w:vAlign w:val="center"/>
            <w:hideMark/>
          </w:tcPr>
          <w:p w:rsidR="00227EB3" w:rsidRPr="00227EB3" w:rsidRDefault="00227EB3" w:rsidP="00227EB3">
            <w:pPr>
              <w:spacing w:before="0" w:after="0"/>
              <w:jc w:val="center"/>
              <w:rPr>
                <w:rFonts w:ascii="Arial CE" w:eastAsia="Times New Roman" w:hAnsi="Arial CE" w:cs="Arial CE"/>
                <w:sz w:val="20"/>
                <w:szCs w:val="20"/>
                <w:lang w:eastAsia="cs-CZ"/>
              </w:rPr>
            </w:pPr>
            <w:r w:rsidRPr="00227EB3">
              <w:rPr>
                <w:rFonts w:ascii="Arial CE" w:eastAsia="Times New Roman" w:hAnsi="Arial CE" w:cs="Arial CE"/>
                <w:sz w:val="20"/>
                <w:szCs w:val="20"/>
                <w:lang w:eastAsia="cs-CZ"/>
              </w:rPr>
              <w:t>24,14%</w:t>
            </w:r>
          </w:p>
        </w:tc>
      </w:tr>
      <w:tr w:rsidR="00227EB3" w:rsidRPr="00227EB3" w:rsidTr="00227EB3">
        <w:trPr>
          <w:trHeight w:val="288"/>
        </w:trPr>
        <w:tc>
          <w:tcPr>
            <w:tcW w:w="2277" w:type="dxa"/>
            <w:tcBorders>
              <w:top w:val="nil"/>
              <w:left w:val="single" w:sz="8" w:space="0" w:color="auto"/>
              <w:bottom w:val="single" w:sz="8" w:space="0" w:color="auto"/>
              <w:right w:val="single" w:sz="8" w:space="0" w:color="auto"/>
            </w:tcBorders>
            <w:shd w:val="clear" w:color="auto" w:fill="auto"/>
            <w:noWrap/>
            <w:hideMark/>
          </w:tcPr>
          <w:p w:rsidR="00227EB3" w:rsidRPr="00227EB3" w:rsidRDefault="00227EB3" w:rsidP="00227EB3">
            <w:pPr>
              <w:spacing w:before="0" w:after="0"/>
              <w:jc w:val="left"/>
              <w:rPr>
                <w:rFonts w:ascii="Arial CE" w:eastAsia="Times New Roman" w:hAnsi="Arial CE" w:cs="Arial CE"/>
                <w:b/>
                <w:sz w:val="20"/>
                <w:szCs w:val="20"/>
                <w:lang w:eastAsia="cs-CZ"/>
              </w:rPr>
            </w:pPr>
            <w:r w:rsidRPr="00227EB3">
              <w:rPr>
                <w:rFonts w:ascii="Arial CE" w:eastAsia="Times New Roman" w:hAnsi="Arial CE" w:cs="Arial CE"/>
                <w:b/>
                <w:sz w:val="20"/>
                <w:szCs w:val="20"/>
                <w:lang w:eastAsia="cs-CZ"/>
              </w:rPr>
              <w:t>nad 12M</w:t>
            </w:r>
          </w:p>
        </w:tc>
        <w:tc>
          <w:tcPr>
            <w:tcW w:w="1662" w:type="dxa"/>
            <w:tcBorders>
              <w:top w:val="nil"/>
              <w:left w:val="nil"/>
              <w:bottom w:val="single" w:sz="8" w:space="0" w:color="auto"/>
              <w:right w:val="single" w:sz="4" w:space="0" w:color="auto"/>
            </w:tcBorders>
            <w:shd w:val="clear" w:color="auto" w:fill="auto"/>
            <w:noWrap/>
            <w:vAlign w:val="center"/>
            <w:hideMark/>
          </w:tcPr>
          <w:p w:rsidR="00227EB3" w:rsidRPr="00227EB3" w:rsidRDefault="00227EB3" w:rsidP="00227EB3">
            <w:pPr>
              <w:spacing w:before="0" w:after="0"/>
              <w:jc w:val="center"/>
              <w:rPr>
                <w:rFonts w:ascii="Arial CE" w:eastAsia="Times New Roman" w:hAnsi="Arial CE" w:cs="Arial CE"/>
                <w:sz w:val="20"/>
                <w:szCs w:val="20"/>
                <w:lang w:eastAsia="cs-CZ"/>
              </w:rPr>
            </w:pPr>
            <w:r w:rsidRPr="00227EB3">
              <w:rPr>
                <w:rFonts w:ascii="Arial CE" w:eastAsia="Times New Roman" w:hAnsi="Arial CE" w:cs="Arial CE"/>
                <w:sz w:val="20"/>
                <w:szCs w:val="20"/>
                <w:lang w:eastAsia="cs-CZ"/>
              </w:rPr>
              <w:t>94 512</w:t>
            </w:r>
          </w:p>
        </w:tc>
        <w:tc>
          <w:tcPr>
            <w:tcW w:w="1564" w:type="dxa"/>
            <w:tcBorders>
              <w:top w:val="nil"/>
              <w:left w:val="nil"/>
              <w:bottom w:val="single" w:sz="8" w:space="0" w:color="auto"/>
              <w:right w:val="single" w:sz="4" w:space="0" w:color="auto"/>
            </w:tcBorders>
            <w:shd w:val="clear" w:color="auto" w:fill="auto"/>
            <w:noWrap/>
            <w:vAlign w:val="center"/>
            <w:hideMark/>
          </w:tcPr>
          <w:p w:rsidR="00227EB3" w:rsidRPr="00227EB3" w:rsidRDefault="00227EB3" w:rsidP="00227EB3">
            <w:pPr>
              <w:spacing w:before="0" w:after="0"/>
              <w:jc w:val="center"/>
              <w:rPr>
                <w:rFonts w:ascii="Arial CE" w:eastAsia="Times New Roman" w:hAnsi="Arial CE" w:cs="Arial CE"/>
                <w:sz w:val="20"/>
                <w:szCs w:val="20"/>
                <w:lang w:eastAsia="cs-CZ"/>
              </w:rPr>
            </w:pPr>
            <w:r w:rsidRPr="00227EB3">
              <w:rPr>
                <w:rFonts w:ascii="Arial CE" w:eastAsia="Times New Roman" w:hAnsi="Arial CE" w:cs="Arial CE"/>
                <w:sz w:val="20"/>
                <w:szCs w:val="20"/>
                <w:lang w:eastAsia="cs-CZ"/>
              </w:rPr>
              <w:t>33,68%</w:t>
            </w:r>
          </w:p>
        </w:tc>
        <w:tc>
          <w:tcPr>
            <w:tcW w:w="1290" w:type="dxa"/>
            <w:tcBorders>
              <w:top w:val="nil"/>
              <w:left w:val="nil"/>
              <w:bottom w:val="single" w:sz="8" w:space="0" w:color="auto"/>
              <w:right w:val="single" w:sz="4" w:space="0" w:color="auto"/>
            </w:tcBorders>
            <w:shd w:val="clear" w:color="auto" w:fill="auto"/>
            <w:noWrap/>
            <w:vAlign w:val="center"/>
            <w:hideMark/>
          </w:tcPr>
          <w:p w:rsidR="00227EB3" w:rsidRPr="00227EB3" w:rsidRDefault="00227EB3" w:rsidP="00227EB3">
            <w:pPr>
              <w:spacing w:before="0" w:after="0"/>
              <w:jc w:val="center"/>
              <w:rPr>
                <w:rFonts w:ascii="Arial CE" w:eastAsia="Times New Roman" w:hAnsi="Arial CE" w:cs="Arial CE"/>
                <w:sz w:val="20"/>
                <w:szCs w:val="20"/>
                <w:lang w:eastAsia="cs-CZ"/>
              </w:rPr>
            </w:pPr>
            <w:r w:rsidRPr="00227EB3">
              <w:rPr>
                <w:rFonts w:ascii="Arial CE" w:eastAsia="Times New Roman" w:hAnsi="Arial CE" w:cs="Arial CE"/>
                <w:sz w:val="20"/>
                <w:szCs w:val="20"/>
                <w:lang w:eastAsia="cs-CZ"/>
              </w:rPr>
              <w:t>42 296</w:t>
            </w:r>
          </w:p>
        </w:tc>
        <w:tc>
          <w:tcPr>
            <w:tcW w:w="2283" w:type="dxa"/>
            <w:tcBorders>
              <w:top w:val="nil"/>
              <w:left w:val="nil"/>
              <w:bottom w:val="single" w:sz="8" w:space="0" w:color="auto"/>
              <w:right w:val="single" w:sz="8" w:space="0" w:color="auto"/>
            </w:tcBorders>
            <w:shd w:val="clear" w:color="auto" w:fill="auto"/>
            <w:noWrap/>
            <w:vAlign w:val="center"/>
            <w:hideMark/>
          </w:tcPr>
          <w:p w:rsidR="00227EB3" w:rsidRPr="00227EB3" w:rsidRDefault="00227EB3" w:rsidP="00227EB3">
            <w:pPr>
              <w:spacing w:before="0" w:after="0"/>
              <w:jc w:val="center"/>
              <w:rPr>
                <w:rFonts w:ascii="Arial CE" w:eastAsia="Times New Roman" w:hAnsi="Arial CE" w:cs="Arial CE"/>
                <w:sz w:val="20"/>
                <w:szCs w:val="20"/>
                <w:lang w:eastAsia="cs-CZ"/>
              </w:rPr>
            </w:pPr>
            <w:r w:rsidRPr="00227EB3">
              <w:rPr>
                <w:rFonts w:ascii="Arial CE" w:eastAsia="Times New Roman" w:hAnsi="Arial CE" w:cs="Arial CE"/>
                <w:sz w:val="20"/>
                <w:szCs w:val="20"/>
                <w:lang w:eastAsia="cs-CZ"/>
              </w:rPr>
              <w:t>44,75%</w:t>
            </w:r>
          </w:p>
        </w:tc>
      </w:tr>
    </w:tbl>
    <w:p w:rsidR="00227EB3" w:rsidRPr="00302C26" w:rsidRDefault="00227EB3" w:rsidP="00227EB3">
      <w:pPr>
        <w:pStyle w:val="Nadpis2"/>
        <w:spacing w:line="276" w:lineRule="auto"/>
        <w:jc w:val="center"/>
      </w:pPr>
      <w:bookmarkStart w:id="87" w:name="_Toc509474137"/>
      <w:r>
        <w:t>Dopady dlouhodobé nezaměstnanosti na veřejné rozpočty</w:t>
      </w:r>
      <w:bookmarkEnd w:id="87"/>
    </w:p>
    <w:p w:rsidR="00227EB3" w:rsidRPr="00227EB3" w:rsidRDefault="00227EB3" w:rsidP="00227EB3">
      <w:pPr>
        <w:rPr>
          <w:szCs w:val="20"/>
        </w:rPr>
      </w:pPr>
      <w:r w:rsidRPr="00227EB3">
        <w:rPr>
          <w:szCs w:val="20"/>
        </w:rPr>
        <w:t>Dlouhodobá nezaměstnanost může být projevem strukturálních problémů trhu práce,</w:t>
      </w:r>
      <w:r w:rsidRPr="00227EB3">
        <w:rPr>
          <w:b/>
          <w:szCs w:val="20"/>
        </w:rPr>
        <w:t xml:space="preserve"> </w:t>
      </w:r>
      <w:r w:rsidRPr="00227EB3">
        <w:rPr>
          <w:szCs w:val="20"/>
        </w:rPr>
        <w:t>jejichž dopady na veřejné finance mohou být značné. Podle dostupných studií</w:t>
      </w:r>
      <w:r w:rsidRPr="00227EB3">
        <w:rPr>
          <w:rStyle w:val="Znakapoznpodarou"/>
          <w:szCs w:val="20"/>
        </w:rPr>
        <w:footnoteReference w:id="14"/>
      </w:r>
      <w:r w:rsidRPr="00227EB3">
        <w:rPr>
          <w:szCs w:val="20"/>
        </w:rPr>
        <w:t xml:space="preserve"> byly dopady do veřejných rozpočtů vyčísleny </w:t>
      </w:r>
      <w:r w:rsidRPr="00227EB3">
        <w:rPr>
          <w:b/>
          <w:szCs w:val="20"/>
        </w:rPr>
        <w:t>v roce 2014</w:t>
      </w:r>
      <w:r w:rsidRPr="00227EB3">
        <w:rPr>
          <w:szCs w:val="20"/>
        </w:rPr>
        <w:t xml:space="preserve"> na cca</w:t>
      </w:r>
      <w:r w:rsidRPr="00227EB3">
        <w:rPr>
          <w:b/>
          <w:szCs w:val="20"/>
        </w:rPr>
        <w:t xml:space="preserve"> 207 000 Kč ročně na jednu nezaměstnanou osobu. </w:t>
      </w:r>
      <w:r w:rsidRPr="00227EB3">
        <w:rPr>
          <w:szCs w:val="20"/>
        </w:rPr>
        <w:t>V tom jsou zahrnuty jak přímé výdaje státu (podpory, sociální dávky)</w:t>
      </w:r>
      <w:r w:rsidRPr="00227EB3">
        <w:rPr>
          <w:b/>
          <w:szCs w:val="20"/>
        </w:rPr>
        <w:t xml:space="preserve">, </w:t>
      </w:r>
      <w:r w:rsidRPr="00227EB3">
        <w:rPr>
          <w:szCs w:val="20"/>
        </w:rPr>
        <w:t xml:space="preserve">tak </w:t>
      </w:r>
      <w:r w:rsidRPr="00227EB3">
        <w:rPr>
          <w:b/>
          <w:szCs w:val="20"/>
        </w:rPr>
        <w:t>významnou část tvoří výpadky veřejných financí v důsledku nevybraných daní a odvodů</w:t>
      </w:r>
      <w:r w:rsidRPr="00227EB3">
        <w:rPr>
          <w:szCs w:val="20"/>
        </w:rPr>
        <w:t xml:space="preserve">. Rozpad ročních nákladů viz následující </w:t>
      </w:r>
      <w:r w:rsidR="00180298">
        <w:rPr>
          <w:szCs w:val="20"/>
        </w:rPr>
        <w:fldChar w:fldCharType="begin"/>
      </w:r>
      <w:r w:rsidR="00180298">
        <w:rPr>
          <w:szCs w:val="20"/>
        </w:rPr>
        <w:instrText xml:space="preserve"> REF _Ref508623033 \h </w:instrText>
      </w:r>
      <w:r w:rsidR="00180298">
        <w:rPr>
          <w:szCs w:val="20"/>
        </w:rPr>
      </w:r>
      <w:r w:rsidR="00180298">
        <w:rPr>
          <w:szCs w:val="20"/>
        </w:rPr>
        <w:fldChar w:fldCharType="separate"/>
      </w:r>
      <w:r w:rsidR="00F41CBA">
        <w:t xml:space="preserve">Tabulka </w:t>
      </w:r>
      <w:r w:rsidR="00F41CBA">
        <w:rPr>
          <w:noProof/>
        </w:rPr>
        <w:t>16</w:t>
      </w:r>
      <w:r w:rsidR="00180298">
        <w:rPr>
          <w:szCs w:val="20"/>
        </w:rPr>
        <w:fldChar w:fldCharType="end"/>
      </w:r>
      <w:r w:rsidR="00180298">
        <w:rPr>
          <w:szCs w:val="20"/>
        </w:rPr>
        <w:t>.</w:t>
      </w:r>
    </w:p>
    <w:p w:rsidR="00180298" w:rsidRDefault="00180298" w:rsidP="00180298">
      <w:pPr>
        <w:pStyle w:val="Titulek"/>
        <w:keepNext/>
      </w:pPr>
      <w:bookmarkStart w:id="88" w:name="_Ref508623033"/>
      <w:bookmarkStart w:id="89" w:name="_Toc508704235"/>
      <w:r>
        <w:t xml:space="preserve">Tabulka </w:t>
      </w:r>
      <w:r w:rsidR="007B53ED">
        <w:fldChar w:fldCharType="begin"/>
      </w:r>
      <w:r w:rsidR="007B53ED">
        <w:instrText xml:space="preserve"> SEQ Tabulka \* ARABIC </w:instrText>
      </w:r>
      <w:r w:rsidR="007B53ED">
        <w:fldChar w:fldCharType="separate"/>
      </w:r>
      <w:r w:rsidR="00F41CBA">
        <w:rPr>
          <w:noProof/>
        </w:rPr>
        <w:t>16</w:t>
      </w:r>
      <w:r w:rsidR="007B53ED">
        <w:rPr>
          <w:noProof/>
        </w:rPr>
        <w:fldChar w:fldCharType="end"/>
      </w:r>
      <w:bookmarkEnd w:id="88"/>
      <w:r>
        <w:t xml:space="preserve"> Náklady veřejných rozpočtů na </w:t>
      </w:r>
      <w:proofErr w:type="spellStart"/>
      <w:r>
        <w:t>UoZ</w:t>
      </w:r>
      <w:bookmarkEnd w:id="89"/>
      <w:proofErr w:type="spellEnd"/>
    </w:p>
    <w:tbl>
      <w:tblPr>
        <w:tblStyle w:val="Mkatabulky"/>
        <w:tblW w:w="9322" w:type="dxa"/>
        <w:tblLayout w:type="fixed"/>
        <w:tblLook w:val="04A0" w:firstRow="1" w:lastRow="0" w:firstColumn="1" w:lastColumn="0" w:noHBand="0" w:noVBand="1"/>
      </w:tblPr>
      <w:tblGrid>
        <w:gridCol w:w="402"/>
        <w:gridCol w:w="1266"/>
        <w:gridCol w:w="1277"/>
        <w:gridCol w:w="707"/>
        <w:gridCol w:w="5670"/>
      </w:tblGrid>
      <w:tr w:rsidR="00C732BD" w:rsidRPr="00951EA5" w:rsidTr="00C732BD">
        <w:trPr>
          <w:trHeight w:val="470"/>
        </w:trPr>
        <w:tc>
          <w:tcPr>
            <w:tcW w:w="1668" w:type="dxa"/>
            <w:gridSpan w:val="2"/>
            <w:tcBorders>
              <w:top w:val="nil"/>
              <w:left w:val="nil"/>
            </w:tcBorders>
          </w:tcPr>
          <w:p w:rsidR="00227EB3" w:rsidRPr="00951EA5" w:rsidRDefault="00227EB3" w:rsidP="00227EB3">
            <w:pPr>
              <w:spacing w:before="0" w:after="0"/>
              <w:rPr>
                <w:b/>
                <w:sz w:val="20"/>
                <w:szCs w:val="20"/>
              </w:rPr>
            </w:pPr>
          </w:p>
        </w:tc>
        <w:tc>
          <w:tcPr>
            <w:tcW w:w="1277" w:type="dxa"/>
            <w:vAlign w:val="center"/>
          </w:tcPr>
          <w:p w:rsidR="00227EB3" w:rsidRPr="00951EA5" w:rsidRDefault="00227EB3" w:rsidP="00227EB3">
            <w:pPr>
              <w:spacing w:before="0" w:after="0"/>
              <w:jc w:val="center"/>
              <w:rPr>
                <w:b/>
                <w:sz w:val="20"/>
                <w:szCs w:val="20"/>
              </w:rPr>
            </w:pPr>
            <w:r>
              <w:rPr>
                <w:b/>
                <w:sz w:val="20"/>
                <w:szCs w:val="20"/>
              </w:rPr>
              <w:t>Náklad na 1 os.</w:t>
            </w:r>
          </w:p>
        </w:tc>
        <w:tc>
          <w:tcPr>
            <w:tcW w:w="707" w:type="dxa"/>
            <w:vAlign w:val="center"/>
          </w:tcPr>
          <w:p w:rsidR="00227EB3" w:rsidRPr="00951EA5" w:rsidRDefault="00180298" w:rsidP="00227EB3">
            <w:pPr>
              <w:spacing w:before="0" w:after="0"/>
              <w:jc w:val="center"/>
              <w:rPr>
                <w:b/>
                <w:sz w:val="20"/>
                <w:szCs w:val="20"/>
              </w:rPr>
            </w:pPr>
            <w:r>
              <w:rPr>
                <w:b/>
                <w:sz w:val="20"/>
                <w:szCs w:val="20"/>
              </w:rPr>
              <w:t>%</w:t>
            </w:r>
          </w:p>
        </w:tc>
        <w:tc>
          <w:tcPr>
            <w:tcW w:w="5670" w:type="dxa"/>
            <w:vAlign w:val="center"/>
          </w:tcPr>
          <w:p w:rsidR="00227EB3" w:rsidRPr="00951EA5" w:rsidRDefault="00227EB3" w:rsidP="00227EB3">
            <w:pPr>
              <w:spacing w:before="0" w:after="0"/>
              <w:jc w:val="center"/>
              <w:rPr>
                <w:b/>
                <w:sz w:val="20"/>
                <w:szCs w:val="20"/>
              </w:rPr>
            </w:pPr>
            <w:r>
              <w:rPr>
                <w:b/>
                <w:sz w:val="20"/>
                <w:szCs w:val="20"/>
              </w:rPr>
              <w:t>Vazba na dlouhodobou nezaměstnanost</w:t>
            </w:r>
          </w:p>
        </w:tc>
      </w:tr>
      <w:tr w:rsidR="00180298" w:rsidRPr="00951EA5" w:rsidTr="00C732BD">
        <w:trPr>
          <w:trHeight w:val="719"/>
        </w:trPr>
        <w:tc>
          <w:tcPr>
            <w:tcW w:w="402" w:type="dxa"/>
            <w:vMerge w:val="restart"/>
            <w:textDirection w:val="btLr"/>
          </w:tcPr>
          <w:p w:rsidR="00227EB3" w:rsidRPr="0093273B" w:rsidRDefault="00227EB3" w:rsidP="00227EB3">
            <w:pPr>
              <w:spacing w:before="0" w:after="0"/>
              <w:ind w:left="113" w:right="113"/>
              <w:jc w:val="center"/>
              <w:rPr>
                <w:b/>
                <w:sz w:val="20"/>
                <w:szCs w:val="20"/>
              </w:rPr>
            </w:pPr>
            <w:r>
              <w:rPr>
                <w:b/>
                <w:sz w:val="20"/>
                <w:szCs w:val="20"/>
              </w:rPr>
              <w:t>Přímé náklady</w:t>
            </w:r>
          </w:p>
        </w:tc>
        <w:tc>
          <w:tcPr>
            <w:tcW w:w="1266" w:type="dxa"/>
            <w:vAlign w:val="center"/>
          </w:tcPr>
          <w:p w:rsidR="00227EB3" w:rsidRPr="00951EA5" w:rsidRDefault="00227EB3" w:rsidP="00180298">
            <w:pPr>
              <w:spacing w:before="0" w:after="0"/>
              <w:jc w:val="left"/>
              <w:rPr>
                <w:sz w:val="20"/>
                <w:szCs w:val="20"/>
              </w:rPr>
            </w:pPr>
            <w:r>
              <w:rPr>
                <w:sz w:val="20"/>
                <w:szCs w:val="20"/>
              </w:rPr>
              <w:t xml:space="preserve">Pasivní politika </w:t>
            </w:r>
            <w:proofErr w:type="spellStart"/>
            <w:r>
              <w:rPr>
                <w:sz w:val="20"/>
                <w:szCs w:val="20"/>
              </w:rPr>
              <w:t>zam</w:t>
            </w:r>
            <w:proofErr w:type="spellEnd"/>
            <w:r w:rsidR="00180298">
              <w:rPr>
                <w:sz w:val="20"/>
                <w:szCs w:val="20"/>
              </w:rPr>
              <w:t>.</w:t>
            </w:r>
          </w:p>
        </w:tc>
        <w:tc>
          <w:tcPr>
            <w:tcW w:w="1277" w:type="dxa"/>
            <w:vAlign w:val="center"/>
          </w:tcPr>
          <w:p w:rsidR="00227EB3" w:rsidRPr="00951EA5" w:rsidRDefault="00227EB3" w:rsidP="00227EB3">
            <w:pPr>
              <w:spacing w:before="0" w:after="0"/>
              <w:jc w:val="center"/>
              <w:rPr>
                <w:sz w:val="20"/>
                <w:szCs w:val="20"/>
              </w:rPr>
            </w:pPr>
            <w:r w:rsidRPr="00951EA5">
              <w:rPr>
                <w:sz w:val="20"/>
                <w:szCs w:val="20"/>
              </w:rPr>
              <w:t>28 677 Kč</w:t>
            </w:r>
          </w:p>
        </w:tc>
        <w:tc>
          <w:tcPr>
            <w:tcW w:w="707" w:type="dxa"/>
            <w:vAlign w:val="center"/>
          </w:tcPr>
          <w:p w:rsidR="00227EB3" w:rsidRPr="00951EA5" w:rsidRDefault="00227EB3" w:rsidP="00227EB3">
            <w:pPr>
              <w:spacing w:before="0" w:after="0"/>
              <w:jc w:val="center"/>
              <w:rPr>
                <w:sz w:val="20"/>
                <w:szCs w:val="20"/>
              </w:rPr>
            </w:pPr>
            <w:r w:rsidRPr="00951EA5">
              <w:rPr>
                <w:sz w:val="20"/>
                <w:szCs w:val="20"/>
              </w:rPr>
              <w:t>9,3</w:t>
            </w:r>
          </w:p>
        </w:tc>
        <w:tc>
          <w:tcPr>
            <w:tcW w:w="5670" w:type="dxa"/>
            <w:vAlign w:val="center"/>
          </w:tcPr>
          <w:p w:rsidR="00227EB3" w:rsidRPr="00951EA5" w:rsidRDefault="00227EB3" w:rsidP="00227EB3">
            <w:pPr>
              <w:spacing w:before="0" w:after="0"/>
              <w:rPr>
                <w:sz w:val="20"/>
                <w:szCs w:val="20"/>
              </w:rPr>
            </w:pPr>
            <w:r>
              <w:rPr>
                <w:sz w:val="20"/>
                <w:szCs w:val="20"/>
              </w:rPr>
              <w:t xml:space="preserve">Obsahují zejména podporu v nezaměstnanosti. S ohledem na maximální podpůrčí dobu 11 měsíců se tento náklad </w:t>
            </w:r>
            <w:r w:rsidRPr="003D01DA">
              <w:rPr>
                <w:b/>
                <w:sz w:val="20"/>
                <w:szCs w:val="20"/>
              </w:rPr>
              <w:t>v zásadě nevztahuje na osoby dlouhodobě nezaměstnané</w:t>
            </w:r>
            <w:r>
              <w:rPr>
                <w:b/>
                <w:sz w:val="20"/>
                <w:szCs w:val="20"/>
              </w:rPr>
              <w:t>.</w:t>
            </w:r>
            <w:r>
              <w:rPr>
                <w:rStyle w:val="Znakapoznpodarou"/>
                <w:sz w:val="20"/>
                <w:szCs w:val="20"/>
              </w:rPr>
              <w:footnoteReference w:id="15"/>
            </w:r>
          </w:p>
        </w:tc>
      </w:tr>
      <w:tr w:rsidR="00180298" w:rsidRPr="00951EA5" w:rsidTr="00C732BD">
        <w:trPr>
          <w:trHeight w:val="149"/>
        </w:trPr>
        <w:tc>
          <w:tcPr>
            <w:tcW w:w="402" w:type="dxa"/>
            <w:vMerge/>
          </w:tcPr>
          <w:p w:rsidR="00227EB3" w:rsidRPr="00951EA5" w:rsidRDefault="00227EB3" w:rsidP="00227EB3">
            <w:pPr>
              <w:spacing w:before="0" w:after="0"/>
              <w:rPr>
                <w:sz w:val="20"/>
                <w:szCs w:val="20"/>
              </w:rPr>
            </w:pPr>
          </w:p>
        </w:tc>
        <w:tc>
          <w:tcPr>
            <w:tcW w:w="1266" w:type="dxa"/>
            <w:vAlign w:val="center"/>
          </w:tcPr>
          <w:p w:rsidR="00227EB3" w:rsidRPr="00951EA5" w:rsidRDefault="00227EB3" w:rsidP="00180298">
            <w:pPr>
              <w:spacing w:before="0" w:after="0"/>
              <w:jc w:val="left"/>
              <w:rPr>
                <w:sz w:val="20"/>
                <w:szCs w:val="20"/>
              </w:rPr>
            </w:pPr>
            <w:r>
              <w:rPr>
                <w:sz w:val="20"/>
                <w:szCs w:val="20"/>
              </w:rPr>
              <w:t xml:space="preserve">Aktivní politika </w:t>
            </w:r>
            <w:proofErr w:type="spellStart"/>
            <w:r>
              <w:rPr>
                <w:sz w:val="20"/>
                <w:szCs w:val="20"/>
              </w:rPr>
              <w:t>zam</w:t>
            </w:r>
            <w:proofErr w:type="spellEnd"/>
            <w:r w:rsidR="00180298">
              <w:rPr>
                <w:sz w:val="20"/>
                <w:szCs w:val="20"/>
              </w:rPr>
              <w:t>.</w:t>
            </w:r>
          </w:p>
        </w:tc>
        <w:tc>
          <w:tcPr>
            <w:tcW w:w="1277" w:type="dxa"/>
            <w:vAlign w:val="center"/>
          </w:tcPr>
          <w:p w:rsidR="00227EB3" w:rsidRPr="00951EA5" w:rsidRDefault="00227EB3" w:rsidP="00227EB3">
            <w:pPr>
              <w:spacing w:before="0" w:after="0"/>
              <w:jc w:val="center"/>
              <w:rPr>
                <w:sz w:val="20"/>
                <w:szCs w:val="20"/>
              </w:rPr>
            </w:pPr>
            <w:r w:rsidRPr="00951EA5">
              <w:rPr>
                <w:sz w:val="20"/>
                <w:szCs w:val="20"/>
              </w:rPr>
              <w:t>19 737 Kč</w:t>
            </w:r>
          </w:p>
        </w:tc>
        <w:tc>
          <w:tcPr>
            <w:tcW w:w="707" w:type="dxa"/>
            <w:vAlign w:val="center"/>
          </w:tcPr>
          <w:p w:rsidR="00227EB3" w:rsidRPr="00951EA5" w:rsidRDefault="00227EB3" w:rsidP="00227EB3">
            <w:pPr>
              <w:spacing w:before="0" w:after="0"/>
              <w:jc w:val="center"/>
              <w:rPr>
                <w:sz w:val="20"/>
                <w:szCs w:val="20"/>
              </w:rPr>
            </w:pPr>
            <w:r w:rsidRPr="00951EA5">
              <w:rPr>
                <w:sz w:val="20"/>
                <w:szCs w:val="20"/>
              </w:rPr>
              <w:t>6,4</w:t>
            </w:r>
          </w:p>
        </w:tc>
        <w:tc>
          <w:tcPr>
            <w:tcW w:w="5670" w:type="dxa"/>
            <w:vAlign w:val="center"/>
          </w:tcPr>
          <w:p w:rsidR="00227EB3" w:rsidRPr="00951EA5" w:rsidRDefault="00227EB3" w:rsidP="00227EB3">
            <w:pPr>
              <w:spacing w:before="0" w:after="0"/>
              <w:rPr>
                <w:sz w:val="20"/>
                <w:szCs w:val="20"/>
              </w:rPr>
            </w:pPr>
            <w:r>
              <w:rPr>
                <w:sz w:val="20"/>
                <w:szCs w:val="20"/>
              </w:rPr>
              <w:t xml:space="preserve">Slouží k umístění </w:t>
            </w:r>
            <w:proofErr w:type="spellStart"/>
            <w:r>
              <w:rPr>
                <w:sz w:val="20"/>
                <w:szCs w:val="20"/>
              </w:rPr>
              <w:t>UoZ</w:t>
            </w:r>
            <w:proofErr w:type="spellEnd"/>
            <w:r>
              <w:rPr>
                <w:sz w:val="20"/>
                <w:szCs w:val="20"/>
              </w:rPr>
              <w:t xml:space="preserve"> na trhu práce, v případě výplaty mzdových příspěvků je část do veřejných rozpočtů vrácena prostřednictvím odvodů a výběru daní. Výdaj vzniká pouze tehdy, je-li </w:t>
            </w:r>
            <w:proofErr w:type="spellStart"/>
            <w:r>
              <w:rPr>
                <w:sz w:val="20"/>
                <w:szCs w:val="20"/>
              </w:rPr>
              <w:t>UoZ</w:t>
            </w:r>
            <w:proofErr w:type="spellEnd"/>
            <w:r>
              <w:rPr>
                <w:sz w:val="20"/>
                <w:szCs w:val="20"/>
              </w:rPr>
              <w:t xml:space="preserve"> umístěn na některý nástroj APZ</w:t>
            </w:r>
          </w:p>
        </w:tc>
      </w:tr>
      <w:tr w:rsidR="00180298" w:rsidRPr="00951EA5" w:rsidTr="00C732BD">
        <w:trPr>
          <w:trHeight w:val="149"/>
        </w:trPr>
        <w:tc>
          <w:tcPr>
            <w:tcW w:w="402" w:type="dxa"/>
            <w:vMerge/>
          </w:tcPr>
          <w:p w:rsidR="00227EB3" w:rsidRPr="00951EA5" w:rsidRDefault="00227EB3" w:rsidP="00227EB3">
            <w:pPr>
              <w:spacing w:before="0" w:after="0"/>
              <w:rPr>
                <w:sz w:val="20"/>
                <w:szCs w:val="20"/>
              </w:rPr>
            </w:pPr>
          </w:p>
        </w:tc>
        <w:tc>
          <w:tcPr>
            <w:tcW w:w="1266" w:type="dxa"/>
            <w:vAlign w:val="center"/>
          </w:tcPr>
          <w:p w:rsidR="00227EB3" w:rsidRPr="00951EA5" w:rsidRDefault="00180298" w:rsidP="00180298">
            <w:pPr>
              <w:spacing w:before="0" w:after="0"/>
              <w:jc w:val="left"/>
              <w:rPr>
                <w:sz w:val="20"/>
                <w:szCs w:val="20"/>
              </w:rPr>
            </w:pPr>
            <w:r>
              <w:rPr>
                <w:sz w:val="20"/>
                <w:szCs w:val="20"/>
              </w:rPr>
              <w:t xml:space="preserve">Ostatní politika </w:t>
            </w:r>
            <w:proofErr w:type="spellStart"/>
            <w:r>
              <w:rPr>
                <w:sz w:val="20"/>
                <w:szCs w:val="20"/>
              </w:rPr>
              <w:t>zam</w:t>
            </w:r>
            <w:proofErr w:type="spellEnd"/>
            <w:r>
              <w:rPr>
                <w:sz w:val="20"/>
                <w:szCs w:val="20"/>
              </w:rPr>
              <w:t>.</w:t>
            </w:r>
          </w:p>
        </w:tc>
        <w:tc>
          <w:tcPr>
            <w:tcW w:w="1277" w:type="dxa"/>
            <w:vAlign w:val="center"/>
          </w:tcPr>
          <w:p w:rsidR="00227EB3" w:rsidRPr="00951EA5" w:rsidRDefault="00227EB3" w:rsidP="00227EB3">
            <w:pPr>
              <w:spacing w:before="0" w:after="0"/>
              <w:jc w:val="center"/>
              <w:rPr>
                <w:sz w:val="20"/>
                <w:szCs w:val="20"/>
              </w:rPr>
            </w:pPr>
            <w:r w:rsidRPr="00951EA5">
              <w:rPr>
                <w:sz w:val="20"/>
                <w:szCs w:val="20"/>
              </w:rPr>
              <w:t>13 630 Kč</w:t>
            </w:r>
          </w:p>
        </w:tc>
        <w:tc>
          <w:tcPr>
            <w:tcW w:w="707" w:type="dxa"/>
            <w:vAlign w:val="center"/>
          </w:tcPr>
          <w:p w:rsidR="00227EB3" w:rsidRPr="00951EA5" w:rsidRDefault="00227EB3" w:rsidP="00227EB3">
            <w:pPr>
              <w:spacing w:before="0" w:after="0"/>
              <w:jc w:val="center"/>
              <w:rPr>
                <w:sz w:val="20"/>
                <w:szCs w:val="20"/>
              </w:rPr>
            </w:pPr>
            <w:r w:rsidRPr="00951EA5">
              <w:rPr>
                <w:sz w:val="20"/>
                <w:szCs w:val="20"/>
              </w:rPr>
              <w:t>4,4</w:t>
            </w:r>
          </w:p>
        </w:tc>
        <w:tc>
          <w:tcPr>
            <w:tcW w:w="5670" w:type="dxa"/>
            <w:vAlign w:val="center"/>
          </w:tcPr>
          <w:p w:rsidR="00227EB3" w:rsidRPr="003D01DA" w:rsidRDefault="00227EB3" w:rsidP="00750355">
            <w:pPr>
              <w:spacing w:before="0" w:after="0"/>
              <w:rPr>
                <w:b/>
                <w:sz w:val="20"/>
                <w:szCs w:val="20"/>
              </w:rPr>
            </w:pPr>
            <w:r>
              <w:rPr>
                <w:sz w:val="20"/>
                <w:szCs w:val="20"/>
              </w:rPr>
              <w:t>Z</w:t>
            </w:r>
            <w:r w:rsidRPr="003D01DA">
              <w:rPr>
                <w:sz w:val="20"/>
                <w:szCs w:val="20"/>
              </w:rPr>
              <w:t xml:space="preserve">ejména </w:t>
            </w:r>
            <w:r>
              <w:rPr>
                <w:sz w:val="20"/>
                <w:szCs w:val="20"/>
              </w:rPr>
              <w:t xml:space="preserve">příspěvky pro zaměstnavatele zaměstnávající OZP a výdaje související s výplatou mzdových </w:t>
            </w:r>
            <w:r w:rsidR="00750355">
              <w:rPr>
                <w:sz w:val="20"/>
                <w:szCs w:val="20"/>
              </w:rPr>
              <w:t>nároků</w:t>
            </w:r>
            <w:r>
              <w:rPr>
                <w:sz w:val="20"/>
                <w:szCs w:val="20"/>
              </w:rPr>
              <w:t xml:space="preserve"> zaměstnanců zaměstnavatele v</w:t>
            </w:r>
            <w:r w:rsidR="00750355">
              <w:rPr>
                <w:sz w:val="20"/>
                <w:szCs w:val="20"/>
              </w:rPr>
              <w:t> platební neschopnosti</w:t>
            </w:r>
            <w:r>
              <w:rPr>
                <w:b/>
                <w:sz w:val="20"/>
                <w:szCs w:val="20"/>
              </w:rPr>
              <w:t xml:space="preserve">. Rovněž tyto náklady nelze spojit s dlouhodobě nezaměstnanými </w:t>
            </w:r>
            <w:proofErr w:type="spellStart"/>
            <w:r>
              <w:rPr>
                <w:b/>
                <w:sz w:val="20"/>
                <w:szCs w:val="20"/>
              </w:rPr>
              <w:t>UoZ</w:t>
            </w:r>
            <w:proofErr w:type="spellEnd"/>
            <w:r>
              <w:rPr>
                <w:b/>
                <w:sz w:val="20"/>
                <w:szCs w:val="20"/>
              </w:rPr>
              <w:t>.</w:t>
            </w:r>
          </w:p>
        </w:tc>
      </w:tr>
      <w:tr w:rsidR="00180298" w:rsidRPr="00951EA5" w:rsidTr="00C732BD">
        <w:trPr>
          <w:trHeight w:val="149"/>
        </w:trPr>
        <w:tc>
          <w:tcPr>
            <w:tcW w:w="402" w:type="dxa"/>
            <w:vMerge/>
          </w:tcPr>
          <w:p w:rsidR="00227EB3" w:rsidRPr="00951EA5" w:rsidRDefault="00227EB3" w:rsidP="00227EB3">
            <w:pPr>
              <w:spacing w:before="0" w:after="0"/>
              <w:rPr>
                <w:sz w:val="20"/>
                <w:szCs w:val="20"/>
              </w:rPr>
            </w:pPr>
          </w:p>
        </w:tc>
        <w:tc>
          <w:tcPr>
            <w:tcW w:w="1266" w:type="dxa"/>
            <w:vAlign w:val="center"/>
          </w:tcPr>
          <w:p w:rsidR="00227EB3" w:rsidRPr="00951EA5" w:rsidRDefault="00227EB3" w:rsidP="00227EB3">
            <w:pPr>
              <w:spacing w:before="0" w:after="0"/>
              <w:jc w:val="left"/>
              <w:rPr>
                <w:sz w:val="20"/>
                <w:szCs w:val="20"/>
              </w:rPr>
            </w:pPr>
            <w:r w:rsidRPr="00951EA5">
              <w:rPr>
                <w:sz w:val="20"/>
                <w:szCs w:val="20"/>
              </w:rPr>
              <w:t>SSP+DHN</w:t>
            </w:r>
          </w:p>
        </w:tc>
        <w:tc>
          <w:tcPr>
            <w:tcW w:w="1277" w:type="dxa"/>
          </w:tcPr>
          <w:p w:rsidR="00227EB3" w:rsidRPr="00951EA5" w:rsidRDefault="00227EB3" w:rsidP="00227EB3">
            <w:pPr>
              <w:spacing w:before="0" w:after="0"/>
              <w:jc w:val="center"/>
              <w:rPr>
                <w:sz w:val="20"/>
                <w:szCs w:val="20"/>
              </w:rPr>
            </w:pPr>
            <w:r w:rsidRPr="00951EA5">
              <w:rPr>
                <w:sz w:val="20"/>
                <w:szCs w:val="20"/>
              </w:rPr>
              <w:t>44 002 Kč</w:t>
            </w:r>
          </w:p>
        </w:tc>
        <w:tc>
          <w:tcPr>
            <w:tcW w:w="707" w:type="dxa"/>
            <w:vAlign w:val="center"/>
          </w:tcPr>
          <w:p w:rsidR="00227EB3" w:rsidRPr="00951EA5" w:rsidRDefault="00227EB3" w:rsidP="00227EB3">
            <w:pPr>
              <w:spacing w:before="0" w:after="0"/>
              <w:jc w:val="center"/>
              <w:rPr>
                <w:sz w:val="20"/>
                <w:szCs w:val="20"/>
              </w:rPr>
            </w:pPr>
            <w:r w:rsidRPr="00951EA5">
              <w:rPr>
                <w:sz w:val="20"/>
                <w:szCs w:val="20"/>
              </w:rPr>
              <w:t>14,2</w:t>
            </w:r>
          </w:p>
        </w:tc>
        <w:tc>
          <w:tcPr>
            <w:tcW w:w="5670" w:type="dxa"/>
            <w:vAlign w:val="center"/>
          </w:tcPr>
          <w:p w:rsidR="00227EB3" w:rsidRPr="003D01DA" w:rsidRDefault="00227EB3" w:rsidP="00227EB3">
            <w:pPr>
              <w:spacing w:before="0" w:after="0"/>
              <w:rPr>
                <w:sz w:val="20"/>
                <w:szCs w:val="20"/>
              </w:rPr>
            </w:pPr>
            <w:r>
              <w:rPr>
                <w:sz w:val="20"/>
                <w:szCs w:val="20"/>
              </w:rPr>
              <w:t>Dávky státní sociální podpory a hmotné nouze.</w:t>
            </w:r>
          </w:p>
        </w:tc>
      </w:tr>
      <w:tr w:rsidR="00180298" w:rsidRPr="00951EA5" w:rsidTr="00C732BD">
        <w:trPr>
          <w:trHeight w:val="149"/>
        </w:trPr>
        <w:tc>
          <w:tcPr>
            <w:tcW w:w="402" w:type="dxa"/>
            <w:vMerge/>
          </w:tcPr>
          <w:p w:rsidR="00227EB3" w:rsidRPr="00951EA5" w:rsidRDefault="00227EB3" w:rsidP="00227EB3">
            <w:pPr>
              <w:spacing w:before="0" w:after="0"/>
              <w:rPr>
                <w:sz w:val="20"/>
                <w:szCs w:val="20"/>
              </w:rPr>
            </w:pPr>
          </w:p>
        </w:tc>
        <w:tc>
          <w:tcPr>
            <w:tcW w:w="1266" w:type="dxa"/>
            <w:vAlign w:val="center"/>
          </w:tcPr>
          <w:p w:rsidR="00227EB3" w:rsidRPr="00951EA5" w:rsidRDefault="00227EB3" w:rsidP="00227EB3">
            <w:pPr>
              <w:spacing w:before="0" w:after="0"/>
              <w:jc w:val="left"/>
              <w:rPr>
                <w:sz w:val="20"/>
                <w:szCs w:val="20"/>
              </w:rPr>
            </w:pPr>
            <w:r w:rsidRPr="00951EA5">
              <w:rPr>
                <w:sz w:val="20"/>
                <w:szCs w:val="20"/>
              </w:rPr>
              <w:t>Zdrav.</w:t>
            </w:r>
            <w:r>
              <w:rPr>
                <w:sz w:val="20"/>
                <w:szCs w:val="20"/>
              </w:rPr>
              <w:t xml:space="preserve"> </w:t>
            </w:r>
            <w:proofErr w:type="spellStart"/>
            <w:r>
              <w:rPr>
                <w:sz w:val="20"/>
                <w:szCs w:val="20"/>
              </w:rPr>
              <w:t>pojist</w:t>
            </w:r>
            <w:proofErr w:type="spellEnd"/>
            <w:r>
              <w:rPr>
                <w:sz w:val="20"/>
                <w:szCs w:val="20"/>
              </w:rPr>
              <w:t>.</w:t>
            </w:r>
          </w:p>
        </w:tc>
        <w:tc>
          <w:tcPr>
            <w:tcW w:w="1277" w:type="dxa"/>
          </w:tcPr>
          <w:p w:rsidR="00227EB3" w:rsidRPr="00951EA5" w:rsidRDefault="00227EB3" w:rsidP="00227EB3">
            <w:pPr>
              <w:spacing w:before="0" w:after="0"/>
              <w:jc w:val="center"/>
              <w:rPr>
                <w:sz w:val="20"/>
                <w:szCs w:val="20"/>
              </w:rPr>
            </w:pPr>
            <w:r w:rsidRPr="00951EA5">
              <w:rPr>
                <w:sz w:val="20"/>
                <w:szCs w:val="20"/>
              </w:rPr>
              <w:t>10 140 Kč</w:t>
            </w:r>
          </w:p>
        </w:tc>
        <w:tc>
          <w:tcPr>
            <w:tcW w:w="707" w:type="dxa"/>
            <w:vAlign w:val="center"/>
          </w:tcPr>
          <w:p w:rsidR="00227EB3" w:rsidRPr="00951EA5" w:rsidRDefault="00227EB3" w:rsidP="00227EB3">
            <w:pPr>
              <w:spacing w:before="0" w:after="0"/>
              <w:jc w:val="center"/>
              <w:rPr>
                <w:sz w:val="20"/>
                <w:szCs w:val="20"/>
              </w:rPr>
            </w:pPr>
            <w:r w:rsidRPr="00951EA5">
              <w:rPr>
                <w:sz w:val="20"/>
                <w:szCs w:val="20"/>
              </w:rPr>
              <w:t>3,3</w:t>
            </w:r>
          </w:p>
        </w:tc>
        <w:tc>
          <w:tcPr>
            <w:tcW w:w="5670" w:type="dxa"/>
            <w:vAlign w:val="center"/>
          </w:tcPr>
          <w:p w:rsidR="00227EB3" w:rsidRPr="003D01DA" w:rsidRDefault="00227EB3" w:rsidP="00227EB3">
            <w:pPr>
              <w:spacing w:before="0" w:after="0"/>
              <w:rPr>
                <w:sz w:val="20"/>
                <w:szCs w:val="20"/>
              </w:rPr>
            </w:pPr>
            <w:r w:rsidRPr="003D01DA">
              <w:rPr>
                <w:sz w:val="20"/>
                <w:szCs w:val="20"/>
              </w:rPr>
              <w:t xml:space="preserve">Platba zdravotního pojištění, které za </w:t>
            </w:r>
            <w:proofErr w:type="spellStart"/>
            <w:r w:rsidRPr="003D01DA">
              <w:rPr>
                <w:sz w:val="20"/>
                <w:szCs w:val="20"/>
              </w:rPr>
              <w:t>UoZ</w:t>
            </w:r>
            <w:proofErr w:type="spellEnd"/>
            <w:r w:rsidRPr="003D01DA">
              <w:rPr>
                <w:sz w:val="20"/>
                <w:szCs w:val="20"/>
              </w:rPr>
              <w:t xml:space="preserve"> platí stát</w:t>
            </w:r>
            <w:r>
              <w:rPr>
                <w:sz w:val="20"/>
                <w:szCs w:val="20"/>
              </w:rPr>
              <w:t>.</w:t>
            </w:r>
          </w:p>
        </w:tc>
      </w:tr>
      <w:tr w:rsidR="00C732BD" w:rsidRPr="00951EA5" w:rsidTr="00C732BD">
        <w:trPr>
          <w:trHeight w:val="1437"/>
        </w:trPr>
        <w:tc>
          <w:tcPr>
            <w:tcW w:w="1668" w:type="dxa"/>
            <w:gridSpan w:val="2"/>
            <w:vAlign w:val="center"/>
          </w:tcPr>
          <w:p w:rsidR="00227EB3" w:rsidRPr="00951EA5" w:rsidRDefault="00227EB3" w:rsidP="00227EB3">
            <w:pPr>
              <w:spacing w:before="0" w:after="0"/>
              <w:jc w:val="center"/>
              <w:rPr>
                <w:b/>
                <w:sz w:val="20"/>
                <w:szCs w:val="20"/>
              </w:rPr>
            </w:pPr>
            <w:r w:rsidRPr="00951EA5">
              <w:rPr>
                <w:b/>
                <w:sz w:val="20"/>
                <w:szCs w:val="20"/>
              </w:rPr>
              <w:t>Nepřímé</w:t>
            </w:r>
            <w:r>
              <w:rPr>
                <w:b/>
                <w:sz w:val="20"/>
                <w:szCs w:val="20"/>
              </w:rPr>
              <w:t xml:space="preserve"> náklady</w:t>
            </w:r>
          </w:p>
        </w:tc>
        <w:tc>
          <w:tcPr>
            <w:tcW w:w="1277" w:type="dxa"/>
            <w:vAlign w:val="center"/>
          </w:tcPr>
          <w:p w:rsidR="00227EB3" w:rsidRPr="00951EA5" w:rsidRDefault="00227EB3" w:rsidP="00227EB3">
            <w:pPr>
              <w:spacing w:before="0" w:after="0"/>
              <w:jc w:val="center"/>
              <w:rPr>
                <w:sz w:val="20"/>
                <w:szCs w:val="20"/>
              </w:rPr>
            </w:pPr>
            <w:r w:rsidRPr="00951EA5">
              <w:rPr>
                <w:sz w:val="20"/>
                <w:szCs w:val="20"/>
              </w:rPr>
              <w:t>91 052 Kč</w:t>
            </w:r>
          </w:p>
        </w:tc>
        <w:tc>
          <w:tcPr>
            <w:tcW w:w="707" w:type="dxa"/>
            <w:vAlign w:val="center"/>
          </w:tcPr>
          <w:p w:rsidR="00227EB3" w:rsidRPr="00951EA5" w:rsidRDefault="00227EB3" w:rsidP="00227EB3">
            <w:pPr>
              <w:spacing w:before="0" w:after="0"/>
              <w:jc w:val="center"/>
              <w:rPr>
                <w:sz w:val="20"/>
                <w:szCs w:val="20"/>
              </w:rPr>
            </w:pPr>
            <w:r w:rsidRPr="00951EA5">
              <w:rPr>
                <w:sz w:val="20"/>
                <w:szCs w:val="20"/>
              </w:rPr>
              <w:t>29,5</w:t>
            </w:r>
          </w:p>
        </w:tc>
        <w:tc>
          <w:tcPr>
            <w:tcW w:w="5670" w:type="dxa"/>
            <w:vAlign w:val="center"/>
          </w:tcPr>
          <w:p w:rsidR="00227EB3" w:rsidRPr="003D01DA" w:rsidRDefault="00227EB3" w:rsidP="00227EB3">
            <w:pPr>
              <w:spacing w:before="0" w:after="0"/>
              <w:rPr>
                <w:sz w:val="20"/>
                <w:szCs w:val="20"/>
              </w:rPr>
            </w:pPr>
            <w:r>
              <w:rPr>
                <w:sz w:val="20"/>
                <w:szCs w:val="20"/>
              </w:rPr>
              <w:t xml:space="preserve">Jedná se </w:t>
            </w:r>
            <w:r>
              <w:rPr>
                <w:b/>
                <w:sz w:val="20"/>
                <w:szCs w:val="20"/>
              </w:rPr>
              <w:t>výpadky veřejných financí v důsledku nevybraných odvodů a daní</w:t>
            </w:r>
            <w:r>
              <w:rPr>
                <w:sz w:val="20"/>
                <w:szCs w:val="20"/>
              </w:rPr>
              <w:t xml:space="preserve"> v porovnání se situací, kdy by daná osoba byla zaměstnána, studie VUSPV vychází z minimalistického pohledu, tj. že </w:t>
            </w:r>
            <w:proofErr w:type="spellStart"/>
            <w:r>
              <w:rPr>
                <w:sz w:val="20"/>
                <w:szCs w:val="20"/>
              </w:rPr>
              <w:t>UoZ</w:t>
            </w:r>
            <w:proofErr w:type="spellEnd"/>
            <w:r>
              <w:rPr>
                <w:sz w:val="20"/>
                <w:szCs w:val="20"/>
              </w:rPr>
              <w:t xml:space="preserve"> se uplatní spíše v hůře placených zaměstnáních s nižším příjmem, což odpovídá i  skupině dlouhodobě nezaměstnaných osob</w:t>
            </w:r>
          </w:p>
        </w:tc>
      </w:tr>
      <w:tr w:rsidR="00227EB3" w:rsidRPr="00951EA5" w:rsidTr="00C732BD">
        <w:trPr>
          <w:trHeight w:val="304"/>
        </w:trPr>
        <w:tc>
          <w:tcPr>
            <w:tcW w:w="1668" w:type="dxa"/>
            <w:gridSpan w:val="2"/>
            <w:vAlign w:val="center"/>
          </w:tcPr>
          <w:p w:rsidR="00227EB3" w:rsidRPr="00951EA5" w:rsidRDefault="00227EB3" w:rsidP="00227EB3">
            <w:pPr>
              <w:spacing w:before="0" w:after="0"/>
              <w:jc w:val="left"/>
              <w:rPr>
                <w:b/>
                <w:sz w:val="20"/>
                <w:szCs w:val="20"/>
              </w:rPr>
            </w:pPr>
            <w:r w:rsidRPr="00951EA5">
              <w:rPr>
                <w:b/>
                <w:sz w:val="20"/>
                <w:szCs w:val="20"/>
              </w:rPr>
              <w:t>celkem</w:t>
            </w:r>
          </w:p>
        </w:tc>
        <w:tc>
          <w:tcPr>
            <w:tcW w:w="1984" w:type="dxa"/>
            <w:gridSpan w:val="2"/>
            <w:vAlign w:val="center"/>
          </w:tcPr>
          <w:p w:rsidR="00227EB3" w:rsidRPr="00951EA5" w:rsidRDefault="00227EB3" w:rsidP="00227EB3">
            <w:pPr>
              <w:spacing w:before="0" w:after="0"/>
              <w:jc w:val="center"/>
              <w:rPr>
                <w:b/>
                <w:sz w:val="20"/>
                <w:szCs w:val="20"/>
              </w:rPr>
            </w:pPr>
            <w:r>
              <w:rPr>
                <w:b/>
                <w:sz w:val="20"/>
                <w:szCs w:val="20"/>
              </w:rPr>
              <w:t>207 238 Kč</w:t>
            </w:r>
          </w:p>
        </w:tc>
        <w:tc>
          <w:tcPr>
            <w:tcW w:w="5670" w:type="dxa"/>
            <w:tcBorders>
              <w:bottom w:val="nil"/>
              <w:right w:val="nil"/>
            </w:tcBorders>
          </w:tcPr>
          <w:p w:rsidR="00227EB3" w:rsidRPr="00951EA5" w:rsidRDefault="00227EB3" w:rsidP="00227EB3">
            <w:pPr>
              <w:spacing w:before="0" w:after="0"/>
              <w:rPr>
                <w:b/>
                <w:sz w:val="20"/>
                <w:szCs w:val="20"/>
              </w:rPr>
            </w:pPr>
          </w:p>
        </w:tc>
      </w:tr>
    </w:tbl>
    <w:p w:rsidR="00180298" w:rsidRPr="00180298" w:rsidRDefault="00180298" w:rsidP="007B5796">
      <w:pPr>
        <w:pStyle w:val="Nadpis3"/>
      </w:pPr>
      <w:bookmarkStart w:id="90" w:name="_Toc509474138"/>
      <w:r w:rsidRPr="00180298">
        <w:t>Modelový příklad</w:t>
      </w:r>
      <w:bookmarkEnd w:id="90"/>
    </w:p>
    <w:p w:rsidR="00227EB3" w:rsidRPr="00180298" w:rsidRDefault="00227EB3" w:rsidP="00227EB3">
      <w:pPr>
        <w:spacing w:after="200"/>
        <w:rPr>
          <w:b/>
          <w:szCs w:val="24"/>
        </w:rPr>
      </w:pPr>
      <w:r w:rsidRPr="00180298">
        <w:rPr>
          <w:szCs w:val="24"/>
        </w:rPr>
        <w:t>Z </w:t>
      </w:r>
      <w:r w:rsidR="00636031">
        <w:rPr>
          <w:szCs w:val="24"/>
        </w:rPr>
        <w:fldChar w:fldCharType="begin"/>
      </w:r>
      <w:r w:rsidR="00636031">
        <w:rPr>
          <w:szCs w:val="24"/>
        </w:rPr>
        <w:instrText xml:space="preserve"> REF _Ref508623033 \h </w:instrText>
      </w:r>
      <w:r w:rsidR="00636031">
        <w:rPr>
          <w:szCs w:val="24"/>
        </w:rPr>
      </w:r>
      <w:r w:rsidR="00636031">
        <w:rPr>
          <w:szCs w:val="24"/>
        </w:rPr>
        <w:fldChar w:fldCharType="separate"/>
      </w:r>
      <w:proofErr w:type="gramStart"/>
      <w:r w:rsidR="00F41CBA">
        <w:t>Tabulka</w:t>
      </w:r>
      <w:proofErr w:type="gramEnd"/>
      <w:r w:rsidR="00F41CBA">
        <w:t xml:space="preserve"> </w:t>
      </w:r>
      <w:r w:rsidR="00F41CBA">
        <w:rPr>
          <w:noProof/>
        </w:rPr>
        <w:t>16</w:t>
      </w:r>
      <w:r w:rsidR="00636031">
        <w:rPr>
          <w:szCs w:val="24"/>
        </w:rPr>
        <w:fldChar w:fldCharType="end"/>
      </w:r>
      <w:r w:rsidRPr="00180298">
        <w:rPr>
          <w:szCs w:val="24"/>
        </w:rPr>
        <w:t xml:space="preserve"> vyplývá, že ne všechny výpadky veřejných rozpočtů a jejich výdaje související s nezaměstnaností lze aplikovat na osoby dlouhodobě nezaměstnané. Zejména výdaje na politiku zaměstnanosti </w:t>
      </w:r>
      <w:r w:rsidRPr="00180298">
        <w:rPr>
          <w:b/>
          <w:szCs w:val="24"/>
        </w:rPr>
        <w:t>nelze dát do přímé souvislosti s náklady na dlouhodobě nezaměstnané osoby</w:t>
      </w:r>
      <w:r w:rsidRPr="00180298">
        <w:rPr>
          <w:szCs w:val="24"/>
        </w:rPr>
        <w:t>, neboť osoby evidované déle než 12 měsíců zpravidla nepobírají podporu v nezaměstnanosti</w:t>
      </w:r>
      <w:r w:rsidRPr="00180298">
        <w:rPr>
          <w:rStyle w:val="Znakapoznpodarou"/>
          <w:szCs w:val="24"/>
        </w:rPr>
        <w:footnoteReference w:id="16"/>
      </w:r>
      <w:r w:rsidRPr="00180298">
        <w:rPr>
          <w:szCs w:val="24"/>
        </w:rPr>
        <w:t xml:space="preserve"> a rovněž výdaje na aktivní politiku zaměstnanosti </w:t>
      </w:r>
      <w:r w:rsidRPr="00180298">
        <w:rPr>
          <w:b/>
          <w:szCs w:val="24"/>
        </w:rPr>
        <w:t>nelze považovat za výdaje negativní.</w:t>
      </w:r>
    </w:p>
    <w:p w:rsidR="00227EB3" w:rsidRPr="00180298" w:rsidRDefault="00227EB3" w:rsidP="00227EB3">
      <w:pPr>
        <w:spacing w:after="200"/>
        <w:rPr>
          <w:szCs w:val="24"/>
        </w:rPr>
      </w:pPr>
      <w:r w:rsidRPr="00180298">
        <w:rPr>
          <w:b/>
          <w:szCs w:val="24"/>
        </w:rPr>
        <w:t>Pro posouzení objektivního vyhodnocení dopadů dlouhodobě nezaměstnaných osob byl zvolen modelový příklad</w:t>
      </w:r>
      <w:r w:rsidRPr="00180298">
        <w:rPr>
          <w:szCs w:val="24"/>
        </w:rPr>
        <w:t>. Z výše prezentovaného odhadu struktury dlouhodobě nezaměstnaných osob lze za takovouto osobu nejčastěji považovat:</w:t>
      </w:r>
    </w:p>
    <w:p w:rsidR="00227EB3" w:rsidRPr="00180298" w:rsidRDefault="00227EB3" w:rsidP="00227EB3">
      <w:pPr>
        <w:pStyle w:val="Odstavecseseznamem"/>
        <w:numPr>
          <w:ilvl w:val="0"/>
          <w:numId w:val="7"/>
        </w:numPr>
        <w:spacing w:after="200" w:line="240" w:lineRule="auto"/>
        <w:rPr>
          <w:b/>
          <w:szCs w:val="24"/>
        </w:rPr>
      </w:pPr>
      <w:r w:rsidRPr="00180298">
        <w:rPr>
          <w:szCs w:val="24"/>
        </w:rPr>
        <w:t xml:space="preserve">uchazeče o zaměstnání evidovaného na ÚP ČR déle než 12 měsíců, </w:t>
      </w:r>
    </w:p>
    <w:p w:rsidR="00227EB3" w:rsidRPr="00180298" w:rsidRDefault="00227EB3" w:rsidP="00227EB3">
      <w:pPr>
        <w:pStyle w:val="Odstavecseseznamem"/>
        <w:numPr>
          <w:ilvl w:val="0"/>
          <w:numId w:val="7"/>
        </w:numPr>
        <w:spacing w:after="200" w:line="240" w:lineRule="auto"/>
        <w:rPr>
          <w:b/>
          <w:szCs w:val="24"/>
        </w:rPr>
      </w:pPr>
      <w:r w:rsidRPr="00180298">
        <w:rPr>
          <w:szCs w:val="24"/>
        </w:rPr>
        <w:t xml:space="preserve">staršího 55 let, s nejvýše dosaženým základním vzděláním, </w:t>
      </w:r>
    </w:p>
    <w:p w:rsidR="00227EB3" w:rsidRPr="00180298" w:rsidRDefault="00636031" w:rsidP="00227EB3">
      <w:pPr>
        <w:pStyle w:val="Odstavecseseznamem"/>
        <w:numPr>
          <w:ilvl w:val="0"/>
          <w:numId w:val="7"/>
        </w:numPr>
        <w:spacing w:after="200" w:line="240" w:lineRule="auto"/>
        <w:rPr>
          <w:b/>
          <w:szCs w:val="24"/>
        </w:rPr>
      </w:pPr>
      <w:r>
        <w:rPr>
          <w:szCs w:val="24"/>
        </w:rPr>
        <w:t xml:space="preserve">který je zároveň </w:t>
      </w:r>
      <w:r w:rsidR="00227EB3" w:rsidRPr="00180298">
        <w:rPr>
          <w:szCs w:val="24"/>
        </w:rPr>
        <w:t>osob</w:t>
      </w:r>
      <w:r>
        <w:rPr>
          <w:szCs w:val="24"/>
        </w:rPr>
        <w:t>ou</w:t>
      </w:r>
      <w:r w:rsidR="00227EB3" w:rsidRPr="00180298">
        <w:rPr>
          <w:szCs w:val="24"/>
        </w:rPr>
        <w:t xml:space="preserve"> v hmotné nouzi</w:t>
      </w:r>
      <w:r>
        <w:rPr>
          <w:szCs w:val="24"/>
        </w:rPr>
        <w:t>.</w:t>
      </w:r>
      <w:r w:rsidR="00227EB3" w:rsidRPr="00180298">
        <w:rPr>
          <w:szCs w:val="24"/>
        </w:rPr>
        <w:t xml:space="preserve"> </w:t>
      </w:r>
    </w:p>
    <w:p w:rsidR="00227EB3" w:rsidRPr="00C732BD" w:rsidRDefault="00227EB3" w:rsidP="00227EB3">
      <w:pPr>
        <w:spacing w:after="200"/>
        <w:rPr>
          <w:szCs w:val="24"/>
        </w:rPr>
      </w:pPr>
      <w:r w:rsidRPr="00180298">
        <w:rPr>
          <w:szCs w:val="24"/>
        </w:rPr>
        <w:t xml:space="preserve">Vzhledem k délce nezaměstnanosti není vyplácena podpora v nezaměstnanosti, osoba není v tomto případě aktuálně podporována z aktivní politiky </w:t>
      </w:r>
      <w:r w:rsidR="00C732BD">
        <w:rPr>
          <w:szCs w:val="24"/>
        </w:rPr>
        <w:t>zaměstnanosti a </w:t>
      </w:r>
      <w:r w:rsidRPr="00180298">
        <w:rPr>
          <w:szCs w:val="24"/>
        </w:rPr>
        <w:t xml:space="preserve">nevytváří náklady na jiná opatření na politiku zaměstnanosti (příspěvek pro zaměstnavatele zaměstnávající OZP, insolvence). Za těchto předpokladů budou roční </w:t>
      </w:r>
      <w:r w:rsidRPr="00180298">
        <w:rPr>
          <w:b/>
          <w:szCs w:val="24"/>
        </w:rPr>
        <w:t xml:space="preserve">dopady dlouhodobě nezaměstnané osoby do veřejných rozpočtů </w:t>
      </w:r>
      <w:r w:rsidR="001B134E">
        <w:rPr>
          <w:b/>
          <w:szCs w:val="24"/>
        </w:rPr>
        <w:t>celkem 173 693 Kč</w:t>
      </w:r>
      <w:r w:rsidR="00C732BD">
        <w:rPr>
          <w:b/>
          <w:szCs w:val="24"/>
        </w:rPr>
        <w:t xml:space="preserve"> ročně</w:t>
      </w:r>
      <w:r w:rsidR="001B134E">
        <w:rPr>
          <w:b/>
          <w:szCs w:val="24"/>
        </w:rPr>
        <w:t>.</w:t>
      </w:r>
      <w:r w:rsidR="00C732BD">
        <w:rPr>
          <w:b/>
          <w:szCs w:val="24"/>
        </w:rPr>
        <w:t xml:space="preserve"> </w:t>
      </w:r>
      <w:proofErr w:type="gramStart"/>
      <w:r w:rsidR="00C732BD">
        <w:rPr>
          <w:szCs w:val="24"/>
        </w:rPr>
        <w:t>Struktura</w:t>
      </w:r>
      <w:proofErr w:type="gramEnd"/>
      <w:r w:rsidR="00C732BD">
        <w:rPr>
          <w:szCs w:val="24"/>
        </w:rPr>
        <w:t xml:space="preserve"> dopadů viz </w:t>
      </w:r>
      <w:r w:rsidR="00C732BD">
        <w:rPr>
          <w:szCs w:val="24"/>
        </w:rPr>
        <w:fldChar w:fldCharType="begin"/>
      </w:r>
      <w:r w:rsidR="00C732BD">
        <w:rPr>
          <w:szCs w:val="24"/>
        </w:rPr>
        <w:instrText xml:space="preserve"> REF _Ref508628487 \h </w:instrText>
      </w:r>
      <w:r w:rsidR="00C732BD">
        <w:rPr>
          <w:szCs w:val="24"/>
        </w:rPr>
      </w:r>
      <w:r w:rsidR="00C732BD">
        <w:rPr>
          <w:szCs w:val="24"/>
        </w:rPr>
        <w:fldChar w:fldCharType="separate"/>
      </w:r>
      <w:proofErr w:type="gramStart"/>
      <w:r w:rsidR="00F41CBA">
        <w:t>Tabulka</w:t>
      </w:r>
      <w:proofErr w:type="gramEnd"/>
      <w:r w:rsidR="00F41CBA">
        <w:t xml:space="preserve"> </w:t>
      </w:r>
      <w:r w:rsidR="00F41CBA">
        <w:rPr>
          <w:noProof/>
        </w:rPr>
        <w:t>17</w:t>
      </w:r>
      <w:r w:rsidR="00C732BD">
        <w:rPr>
          <w:szCs w:val="24"/>
        </w:rPr>
        <w:fldChar w:fldCharType="end"/>
      </w:r>
      <w:r w:rsidR="00C732BD">
        <w:rPr>
          <w:szCs w:val="24"/>
        </w:rPr>
        <w:t>.</w:t>
      </w:r>
    </w:p>
    <w:p w:rsidR="00C732BD" w:rsidRDefault="00C732BD" w:rsidP="00C732BD">
      <w:pPr>
        <w:pStyle w:val="Titulek"/>
        <w:keepNext/>
      </w:pPr>
      <w:bookmarkStart w:id="91" w:name="_Ref508628487"/>
      <w:bookmarkStart w:id="92" w:name="_Toc508704236"/>
      <w:r>
        <w:t xml:space="preserve">Tabulka </w:t>
      </w:r>
      <w:r w:rsidR="007B53ED">
        <w:fldChar w:fldCharType="begin"/>
      </w:r>
      <w:r w:rsidR="007B53ED">
        <w:instrText xml:space="preserve"> SEQ Tabulka \* ARABIC </w:instrText>
      </w:r>
      <w:r w:rsidR="007B53ED">
        <w:fldChar w:fldCharType="separate"/>
      </w:r>
      <w:r w:rsidR="00F41CBA">
        <w:rPr>
          <w:noProof/>
        </w:rPr>
        <w:t>17</w:t>
      </w:r>
      <w:r w:rsidR="007B53ED">
        <w:rPr>
          <w:noProof/>
        </w:rPr>
        <w:fldChar w:fldCharType="end"/>
      </w:r>
      <w:bookmarkEnd w:id="91"/>
      <w:r>
        <w:t xml:space="preserve"> Modelový výpočet dopadů dlouhodobě nezaměstnaného na veřejné rozpočty</w:t>
      </w:r>
      <w:bookmarkEnd w:id="92"/>
    </w:p>
    <w:tbl>
      <w:tblPr>
        <w:tblStyle w:val="Mkatabulky"/>
        <w:tblW w:w="0" w:type="auto"/>
        <w:tblLook w:val="04A0" w:firstRow="1" w:lastRow="0" w:firstColumn="1" w:lastColumn="0" w:noHBand="0" w:noVBand="1"/>
      </w:tblPr>
      <w:tblGrid>
        <w:gridCol w:w="1668"/>
        <w:gridCol w:w="1275"/>
        <w:gridCol w:w="6269"/>
      </w:tblGrid>
      <w:tr w:rsidR="001B134E" w:rsidRPr="001B134E" w:rsidTr="001B134E">
        <w:trPr>
          <w:trHeight w:val="400"/>
        </w:trPr>
        <w:tc>
          <w:tcPr>
            <w:tcW w:w="1668" w:type="dxa"/>
            <w:vAlign w:val="center"/>
          </w:tcPr>
          <w:p w:rsidR="001B134E" w:rsidRPr="001B134E" w:rsidRDefault="001B134E" w:rsidP="001B134E">
            <w:pPr>
              <w:spacing w:before="0" w:after="0"/>
              <w:jc w:val="center"/>
              <w:rPr>
                <w:b/>
                <w:sz w:val="20"/>
                <w:szCs w:val="24"/>
              </w:rPr>
            </w:pPr>
            <w:r>
              <w:rPr>
                <w:b/>
                <w:sz w:val="20"/>
                <w:szCs w:val="24"/>
              </w:rPr>
              <w:t>popis</w:t>
            </w:r>
          </w:p>
        </w:tc>
        <w:tc>
          <w:tcPr>
            <w:tcW w:w="1275" w:type="dxa"/>
            <w:vAlign w:val="center"/>
          </w:tcPr>
          <w:p w:rsidR="001B134E" w:rsidRPr="001B134E" w:rsidRDefault="001B134E" w:rsidP="001B134E">
            <w:pPr>
              <w:spacing w:before="0" w:after="0"/>
              <w:jc w:val="center"/>
              <w:rPr>
                <w:b/>
                <w:sz w:val="20"/>
                <w:szCs w:val="24"/>
              </w:rPr>
            </w:pPr>
            <w:r>
              <w:rPr>
                <w:b/>
                <w:sz w:val="20"/>
                <w:szCs w:val="24"/>
              </w:rPr>
              <w:t>částka</w:t>
            </w:r>
          </w:p>
        </w:tc>
        <w:tc>
          <w:tcPr>
            <w:tcW w:w="6269" w:type="dxa"/>
            <w:vAlign w:val="center"/>
          </w:tcPr>
          <w:p w:rsidR="001B134E" w:rsidRPr="001B134E" w:rsidRDefault="001B134E" w:rsidP="001B134E">
            <w:pPr>
              <w:spacing w:before="0" w:after="0"/>
              <w:jc w:val="center"/>
              <w:rPr>
                <w:b/>
                <w:sz w:val="20"/>
                <w:szCs w:val="24"/>
              </w:rPr>
            </w:pPr>
            <w:r>
              <w:rPr>
                <w:b/>
                <w:sz w:val="20"/>
                <w:szCs w:val="24"/>
              </w:rPr>
              <w:t>výpočet</w:t>
            </w:r>
          </w:p>
        </w:tc>
      </w:tr>
      <w:tr w:rsidR="001B134E" w:rsidRPr="001B134E" w:rsidTr="001B134E">
        <w:tc>
          <w:tcPr>
            <w:tcW w:w="1668" w:type="dxa"/>
            <w:vAlign w:val="center"/>
          </w:tcPr>
          <w:p w:rsidR="001B134E" w:rsidRPr="001B134E" w:rsidRDefault="001B134E" w:rsidP="00C732BD">
            <w:pPr>
              <w:spacing w:before="0" w:after="0"/>
              <w:jc w:val="left"/>
              <w:rPr>
                <w:b/>
                <w:sz w:val="20"/>
                <w:szCs w:val="24"/>
              </w:rPr>
            </w:pPr>
            <w:r w:rsidRPr="001B134E">
              <w:rPr>
                <w:b/>
                <w:sz w:val="20"/>
                <w:szCs w:val="24"/>
              </w:rPr>
              <w:t>výpadky příjmu státního rozpočtu</w:t>
            </w:r>
          </w:p>
        </w:tc>
        <w:tc>
          <w:tcPr>
            <w:tcW w:w="1275" w:type="dxa"/>
            <w:vAlign w:val="center"/>
          </w:tcPr>
          <w:p w:rsidR="001B134E" w:rsidRPr="001B134E" w:rsidRDefault="001B134E" w:rsidP="001B134E">
            <w:pPr>
              <w:spacing w:before="0" w:after="0"/>
              <w:jc w:val="left"/>
              <w:rPr>
                <w:b/>
                <w:sz w:val="20"/>
                <w:szCs w:val="24"/>
              </w:rPr>
            </w:pPr>
            <w:r w:rsidRPr="001B134E">
              <w:rPr>
                <w:b/>
                <w:sz w:val="20"/>
                <w:szCs w:val="24"/>
              </w:rPr>
              <w:t>89 580 Kč</w:t>
            </w:r>
          </w:p>
        </w:tc>
        <w:tc>
          <w:tcPr>
            <w:tcW w:w="6269" w:type="dxa"/>
            <w:vAlign w:val="center"/>
          </w:tcPr>
          <w:p w:rsidR="001B134E" w:rsidRPr="001B134E" w:rsidRDefault="001B134E" w:rsidP="001B134E">
            <w:pPr>
              <w:spacing w:before="0" w:after="0"/>
              <w:rPr>
                <w:b/>
                <w:sz w:val="20"/>
                <w:szCs w:val="24"/>
              </w:rPr>
            </w:pPr>
            <w:r w:rsidRPr="001B134E">
              <w:rPr>
                <w:i/>
                <w:sz w:val="20"/>
                <w:szCs w:val="24"/>
              </w:rPr>
              <w:t xml:space="preserve">Základem výpočtu je výše 1. </w:t>
            </w:r>
            <w:proofErr w:type="spellStart"/>
            <w:r w:rsidRPr="001B134E">
              <w:rPr>
                <w:i/>
                <w:sz w:val="20"/>
                <w:szCs w:val="24"/>
              </w:rPr>
              <w:t>kvartilu</w:t>
            </w:r>
            <w:proofErr w:type="spellEnd"/>
            <w:r w:rsidRPr="001B134E">
              <w:rPr>
                <w:i/>
                <w:sz w:val="20"/>
                <w:szCs w:val="24"/>
              </w:rPr>
              <w:t xml:space="preserve"> mezd (25 % zaměstnaných má nižší příjem než uvedené hranice) osob s nejvýše dosaženým ZŠ vzděláním. Ten v 1. pololetí 2017. činil 14 704 Kč</w:t>
            </w:r>
            <w:r w:rsidRPr="001B134E">
              <w:rPr>
                <w:rStyle w:val="Znakapoznpodarou"/>
                <w:i/>
                <w:sz w:val="20"/>
                <w:szCs w:val="24"/>
              </w:rPr>
              <w:footnoteReference w:id="17"/>
            </w:r>
            <w:r w:rsidRPr="001B134E">
              <w:rPr>
                <w:i/>
                <w:sz w:val="20"/>
                <w:szCs w:val="24"/>
              </w:rPr>
              <w:t>, neboť u dlouhodobě nezaměstnaných osob lze očekávat, že v případě zaměstnání by se jejich mzda pohybovala spíše pod úrovní mzdy mediánové, přičemž poměr mezi celkovým mediánem a mediánem starších osob (50 – 59 let) činil 0,965. Výpadek počítán jako rozdíl mezi „</w:t>
            </w:r>
            <w:proofErr w:type="spellStart"/>
            <w:r w:rsidRPr="001B134E">
              <w:rPr>
                <w:i/>
                <w:sz w:val="20"/>
                <w:szCs w:val="24"/>
              </w:rPr>
              <w:t>superhrubou</w:t>
            </w:r>
            <w:proofErr w:type="spellEnd"/>
            <w:r w:rsidRPr="001B134E">
              <w:rPr>
                <w:i/>
                <w:sz w:val="20"/>
                <w:szCs w:val="24"/>
              </w:rPr>
              <w:t>“ mzdou</w:t>
            </w:r>
            <w:r w:rsidRPr="001B134E">
              <w:rPr>
                <w:b/>
                <w:i/>
                <w:sz w:val="20"/>
                <w:szCs w:val="24"/>
              </w:rPr>
              <w:t xml:space="preserve"> </w:t>
            </w:r>
            <w:r w:rsidRPr="001B134E">
              <w:rPr>
                <w:i/>
                <w:sz w:val="20"/>
                <w:szCs w:val="24"/>
              </w:rPr>
              <w:t>a čistou mzdou (bezdětná osoba, manžel/ka s příjmem nižším než 68 000 Kč ročně) krát 12 měsíců.</w:t>
            </w:r>
          </w:p>
        </w:tc>
      </w:tr>
      <w:tr w:rsidR="001B134E" w:rsidRPr="001B134E" w:rsidTr="001B134E">
        <w:tc>
          <w:tcPr>
            <w:tcW w:w="1668" w:type="dxa"/>
            <w:vAlign w:val="center"/>
          </w:tcPr>
          <w:p w:rsidR="001B134E" w:rsidRPr="001B134E" w:rsidRDefault="001B134E" w:rsidP="00C732BD">
            <w:pPr>
              <w:spacing w:before="0" w:after="0"/>
              <w:jc w:val="left"/>
              <w:rPr>
                <w:b/>
                <w:sz w:val="20"/>
                <w:szCs w:val="24"/>
              </w:rPr>
            </w:pPr>
            <w:r w:rsidRPr="001B134E">
              <w:rPr>
                <w:b/>
                <w:sz w:val="20"/>
                <w:szCs w:val="24"/>
              </w:rPr>
              <w:t>platba zdrav</w:t>
            </w:r>
            <w:r w:rsidR="00C732BD">
              <w:rPr>
                <w:b/>
                <w:sz w:val="20"/>
                <w:szCs w:val="24"/>
              </w:rPr>
              <w:t>.</w:t>
            </w:r>
            <w:r w:rsidRPr="001B134E">
              <w:rPr>
                <w:b/>
                <w:sz w:val="20"/>
                <w:szCs w:val="24"/>
              </w:rPr>
              <w:t xml:space="preserve"> </w:t>
            </w:r>
            <w:proofErr w:type="gramStart"/>
            <w:r w:rsidRPr="001B134E">
              <w:rPr>
                <w:b/>
                <w:sz w:val="20"/>
                <w:szCs w:val="24"/>
              </w:rPr>
              <w:t>pojištění</w:t>
            </w:r>
            <w:proofErr w:type="gramEnd"/>
          </w:p>
        </w:tc>
        <w:tc>
          <w:tcPr>
            <w:tcW w:w="1275" w:type="dxa"/>
            <w:vAlign w:val="center"/>
          </w:tcPr>
          <w:p w:rsidR="001B134E" w:rsidRPr="001B134E" w:rsidRDefault="001B134E" w:rsidP="001B134E">
            <w:pPr>
              <w:spacing w:before="0" w:after="0"/>
              <w:jc w:val="left"/>
              <w:rPr>
                <w:b/>
                <w:sz w:val="20"/>
                <w:szCs w:val="24"/>
              </w:rPr>
            </w:pPr>
            <w:r w:rsidRPr="001B134E">
              <w:rPr>
                <w:b/>
                <w:sz w:val="20"/>
                <w:szCs w:val="24"/>
              </w:rPr>
              <w:t>11 040 Kč</w:t>
            </w:r>
          </w:p>
        </w:tc>
        <w:tc>
          <w:tcPr>
            <w:tcW w:w="6269" w:type="dxa"/>
            <w:vAlign w:val="center"/>
          </w:tcPr>
          <w:p w:rsidR="001B134E" w:rsidRPr="001B134E" w:rsidRDefault="001B134E" w:rsidP="001B134E">
            <w:pPr>
              <w:spacing w:before="0" w:after="0"/>
              <w:rPr>
                <w:sz w:val="20"/>
                <w:szCs w:val="24"/>
              </w:rPr>
            </w:pPr>
            <w:r w:rsidRPr="001B134E">
              <w:rPr>
                <w:i/>
                <w:sz w:val="20"/>
                <w:szCs w:val="24"/>
              </w:rPr>
              <w:t>V roce 2017 platba za státního pojištěnce 920 Kč krát 12 měsíců</w:t>
            </w:r>
          </w:p>
        </w:tc>
      </w:tr>
      <w:tr w:rsidR="001B134E" w:rsidRPr="001B134E" w:rsidTr="001B134E">
        <w:tc>
          <w:tcPr>
            <w:tcW w:w="1668" w:type="dxa"/>
            <w:vAlign w:val="center"/>
          </w:tcPr>
          <w:p w:rsidR="001B134E" w:rsidRPr="001B134E" w:rsidRDefault="001B134E" w:rsidP="001B134E">
            <w:pPr>
              <w:spacing w:before="0" w:after="0"/>
              <w:jc w:val="left"/>
              <w:rPr>
                <w:b/>
                <w:sz w:val="20"/>
                <w:szCs w:val="24"/>
              </w:rPr>
            </w:pPr>
            <w:r w:rsidRPr="001B134E">
              <w:rPr>
                <w:b/>
                <w:sz w:val="20"/>
                <w:szCs w:val="24"/>
              </w:rPr>
              <w:t>dávky pomoci v hmotné nouzi</w:t>
            </w:r>
          </w:p>
        </w:tc>
        <w:tc>
          <w:tcPr>
            <w:tcW w:w="1275" w:type="dxa"/>
            <w:vAlign w:val="center"/>
          </w:tcPr>
          <w:p w:rsidR="001B134E" w:rsidRPr="001B134E" w:rsidRDefault="001B134E" w:rsidP="001B134E">
            <w:pPr>
              <w:spacing w:before="0" w:after="0"/>
              <w:jc w:val="left"/>
              <w:rPr>
                <w:b/>
                <w:sz w:val="20"/>
                <w:szCs w:val="24"/>
              </w:rPr>
            </w:pPr>
            <w:r w:rsidRPr="001B134E">
              <w:rPr>
                <w:b/>
                <w:sz w:val="20"/>
                <w:szCs w:val="24"/>
              </w:rPr>
              <w:t>73 073 Kč</w:t>
            </w:r>
          </w:p>
        </w:tc>
        <w:tc>
          <w:tcPr>
            <w:tcW w:w="6269" w:type="dxa"/>
            <w:vAlign w:val="center"/>
          </w:tcPr>
          <w:p w:rsidR="001B134E" w:rsidRPr="001B134E" w:rsidRDefault="001B134E" w:rsidP="001B134E">
            <w:pPr>
              <w:spacing w:before="0" w:after="0"/>
              <w:rPr>
                <w:sz w:val="20"/>
                <w:szCs w:val="24"/>
              </w:rPr>
            </w:pPr>
            <w:r>
              <w:rPr>
                <w:i/>
                <w:sz w:val="20"/>
                <w:szCs w:val="24"/>
              </w:rPr>
              <w:t>J</w:t>
            </w:r>
            <w:r w:rsidRPr="001B134E">
              <w:rPr>
                <w:i/>
                <w:sz w:val="20"/>
                <w:szCs w:val="24"/>
              </w:rPr>
              <w:t>edná se o celkovou částku součtu vyplacených dávek pomoci v hmotné nouzi (součet objemu finančních prostředků vyplacených na příspěvek na živobytí, doplatek na bydlení a mimořádnou okamžitou pomoc) vydělenou průměrným počtem příjemců těchto dávek, předběžné počty za rok 2017 (v lednu 2018 dosud neuzavřeny statistiky za rok 2017.</w:t>
            </w:r>
          </w:p>
        </w:tc>
      </w:tr>
    </w:tbl>
    <w:p w:rsidR="001B134E" w:rsidRDefault="001B134E" w:rsidP="00227EB3">
      <w:pPr>
        <w:spacing w:after="200"/>
        <w:rPr>
          <w:b/>
          <w:szCs w:val="24"/>
        </w:rPr>
      </w:pPr>
    </w:p>
    <w:p w:rsidR="001B134E" w:rsidRPr="00180298" w:rsidRDefault="001B134E" w:rsidP="00227EB3">
      <w:pPr>
        <w:spacing w:after="200"/>
        <w:rPr>
          <w:b/>
          <w:szCs w:val="24"/>
        </w:rPr>
      </w:pPr>
    </w:p>
    <w:p w:rsidR="006E64B8" w:rsidRPr="006E64B8" w:rsidRDefault="003B69A2" w:rsidP="006E64B8">
      <w:pPr>
        <w:pStyle w:val="Nadpis2"/>
      </w:pPr>
      <w:bookmarkStart w:id="93" w:name="_Toc509474139"/>
      <w:r>
        <w:t>Skupiny uchazečů o zaměstnání ohrožené dlouhodobou nezaměstnaností</w:t>
      </w:r>
      <w:bookmarkEnd w:id="93"/>
      <w:r>
        <w:t xml:space="preserve"> </w:t>
      </w:r>
    </w:p>
    <w:p w:rsidR="003B69A2" w:rsidRDefault="003B69A2" w:rsidP="003B69A2">
      <w:pPr>
        <w:pStyle w:val="Nadpis3"/>
      </w:pPr>
      <w:bookmarkStart w:id="94" w:name="_Toc509474140"/>
      <w:r>
        <w:t>Zastoupení skupin</w:t>
      </w:r>
      <w:bookmarkEnd w:id="94"/>
    </w:p>
    <w:p w:rsidR="006E64B8" w:rsidRDefault="006E64B8" w:rsidP="006E64B8">
      <w:r w:rsidRPr="006E64B8">
        <w:t>Doba evidence je jedním z objektivních ukazatelů, který indikuje, zda konkrétní osoba má skutečně reálný problém s uplatněním se na trhu práce, a to lhostejno, zda objektivní či subjektivní povahy. Přestože schopn</w:t>
      </w:r>
      <w:r>
        <w:t>ost uplatnit se na trhu práce a </w:t>
      </w:r>
      <w:r w:rsidRPr="006E64B8">
        <w:t xml:space="preserve">nalézt vhodné pracovní uplatnění je do značné míry dána individuálními charakteristikami, schopnostmi a motivací každé osoby v daném čase a prostoru, existují na trhu práce skupiny, u nichž na základě dlouhodobých rozborů struktury uchazečů o zaměstnání lze předpokládat zhoršené možnosti uplatnění. To mimo jiné předjímá i zákon o zaměstnanosti, a to konkrétně v § 33. Ten UP ČR určuje věnovat zvýšenou péči při zprostředkování zaměstnání osobám, které jsou při vstupu na trh práce znevýhodněny z důvodu věku, zdravotního stavu, péče o dítě či z jiného vážného důvodu. Zpravidla se jedná o uchazeče o zaměstnání, kteří jsou mladší 25 let (popřípadě 30 let), zejména absolventi, dále osoby starší 55 (popřípadě 50) let, </w:t>
      </w:r>
      <w:r>
        <w:t>OZP</w:t>
      </w:r>
      <w:r w:rsidRPr="006E64B8">
        <w:t xml:space="preserve">, osoby pečující o dítě do 15 let věku či o jinou závislou osobu, osoby s nízkou kvalifikací, osoby v hmotné nouzi či osoby s exekucí a osoby s jiným sociálním znevýhodněným (osoby, které opustily zařízení výkonu trestu odnětí svobody, resp. osoby se záznamem v rejstříku trestů, osoby z jiného sociokulturního prostředí, včetně národnostních menšin, osoby bez domova, drogově závislí apod.). </w:t>
      </w:r>
    </w:p>
    <w:p w:rsidR="003D6696" w:rsidRDefault="003D6696" w:rsidP="003D6696">
      <w:pPr>
        <w:pStyle w:val="Titulek"/>
        <w:keepNext/>
      </w:pPr>
      <w:bookmarkStart w:id="95" w:name="_Ref508695973"/>
      <w:bookmarkStart w:id="96" w:name="_Toc508704237"/>
      <w:r>
        <w:t xml:space="preserve">Tabulka </w:t>
      </w:r>
      <w:r w:rsidR="007B53ED">
        <w:fldChar w:fldCharType="begin"/>
      </w:r>
      <w:r w:rsidR="007B53ED">
        <w:instrText xml:space="preserve"> SEQ Tabulka \* ARABIC </w:instrText>
      </w:r>
      <w:r w:rsidR="007B53ED">
        <w:fldChar w:fldCharType="separate"/>
      </w:r>
      <w:r w:rsidR="00F41CBA">
        <w:rPr>
          <w:noProof/>
        </w:rPr>
        <w:t>18</w:t>
      </w:r>
      <w:r w:rsidR="007B53ED">
        <w:rPr>
          <w:noProof/>
        </w:rPr>
        <w:fldChar w:fldCharType="end"/>
      </w:r>
      <w:bookmarkEnd w:id="95"/>
      <w:r>
        <w:t xml:space="preserve"> Podíly znevýhodněných </w:t>
      </w:r>
      <w:proofErr w:type="spellStart"/>
      <w:r>
        <w:t>UoZ</w:t>
      </w:r>
      <w:proofErr w:type="spellEnd"/>
      <w:r>
        <w:t xml:space="preserve"> podle délky evidence</w:t>
      </w:r>
      <w:bookmarkEnd w:id="96"/>
    </w:p>
    <w:tbl>
      <w:tblPr>
        <w:tblW w:w="9122"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4"/>
        <w:gridCol w:w="1083"/>
        <w:gridCol w:w="1083"/>
        <w:gridCol w:w="1083"/>
        <w:gridCol w:w="1083"/>
        <w:gridCol w:w="1083"/>
        <w:gridCol w:w="1083"/>
      </w:tblGrid>
      <w:tr w:rsidR="0000735F" w:rsidRPr="0039098B" w:rsidTr="003B69A2">
        <w:trPr>
          <w:trHeight w:val="353"/>
        </w:trPr>
        <w:tc>
          <w:tcPr>
            <w:tcW w:w="2624" w:type="dxa"/>
            <w:tcBorders>
              <w:top w:val="nil"/>
              <w:left w:val="nil"/>
              <w:bottom w:val="single" w:sz="12" w:space="0" w:color="auto"/>
              <w:right w:val="single" w:sz="12" w:space="0" w:color="auto"/>
            </w:tcBorders>
            <w:shd w:val="clear" w:color="auto" w:fill="auto"/>
            <w:noWrap/>
            <w:hideMark/>
          </w:tcPr>
          <w:p w:rsidR="0000735F" w:rsidRPr="0039098B" w:rsidRDefault="0000735F" w:rsidP="00327C14">
            <w:pPr>
              <w:spacing w:before="0" w:after="0"/>
              <w:jc w:val="left"/>
              <w:rPr>
                <w:rFonts w:ascii="Calibri" w:eastAsia="Times New Roman" w:hAnsi="Calibri" w:cs="Times New Roman"/>
                <w:color w:val="000000"/>
                <w:sz w:val="16"/>
                <w:lang w:eastAsia="cs-CZ"/>
              </w:rPr>
            </w:pPr>
          </w:p>
        </w:tc>
        <w:tc>
          <w:tcPr>
            <w:tcW w:w="6495" w:type="dxa"/>
            <w:gridSpan w:val="6"/>
            <w:tcBorders>
              <w:left w:val="single" w:sz="12" w:space="0" w:color="auto"/>
              <w:right w:val="single" w:sz="12" w:space="0" w:color="auto"/>
            </w:tcBorders>
            <w:shd w:val="clear" w:color="auto" w:fill="auto"/>
            <w:noWrap/>
            <w:vAlign w:val="center"/>
            <w:hideMark/>
          </w:tcPr>
          <w:p w:rsidR="0000735F" w:rsidRPr="006E6B67" w:rsidRDefault="0000735F" w:rsidP="00327C14">
            <w:pPr>
              <w:spacing w:before="0" w:after="0"/>
              <w:jc w:val="center"/>
              <w:rPr>
                <w:rFonts w:eastAsia="Times New Roman" w:cs="Arial"/>
                <w:color w:val="000000"/>
                <w:sz w:val="20"/>
                <w:lang w:eastAsia="cs-CZ"/>
              </w:rPr>
            </w:pPr>
            <w:r w:rsidRPr="006E6B67">
              <w:rPr>
                <w:rFonts w:eastAsia="Times New Roman" w:cs="Arial"/>
                <w:color w:val="000000"/>
                <w:sz w:val="20"/>
                <w:lang w:eastAsia="cs-CZ"/>
              </w:rPr>
              <w:t>znevýhodněné skupiny</w:t>
            </w:r>
          </w:p>
        </w:tc>
      </w:tr>
      <w:tr w:rsidR="0000735F" w:rsidRPr="0039098B" w:rsidTr="003B69A2">
        <w:trPr>
          <w:trHeight w:val="476"/>
        </w:trPr>
        <w:tc>
          <w:tcPr>
            <w:tcW w:w="2624" w:type="dxa"/>
            <w:tcBorders>
              <w:top w:val="single" w:sz="12" w:space="0" w:color="auto"/>
            </w:tcBorders>
            <w:shd w:val="clear" w:color="auto" w:fill="auto"/>
            <w:noWrap/>
            <w:vAlign w:val="center"/>
            <w:hideMark/>
          </w:tcPr>
          <w:p w:rsidR="0000735F" w:rsidRPr="006E6B67" w:rsidRDefault="0000735F" w:rsidP="0000735F">
            <w:pPr>
              <w:spacing w:before="0" w:after="0"/>
              <w:jc w:val="left"/>
              <w:rPr>
                <w:rFonts w:eastAsia="Times New Roman" w:cs="Arial"/>
                <w:color w:val="000000"/>
                <w:sz w:val="20"/>
                <w:lang w:eastAsia="cs-CZ"/>
              </w:rPr>
            </w:pPr>
            <w:r w:rsidRPr="006E6B67">
              <w:rPr>
                <w:rFonts w:eastAsia="Times New Roman" w:cs="Arial"/>
                <w:color w:val="000000"/>
                <w:sz w:val="20"/>
                <w:lang w:eastAsia="cs-CZ"/>
              </w:rPr>
              <w:t xml:space="preserve">podíl skupiny </w:t>
            </w:r>
            <w:proofErr w:type="spellStart"/>
            <w:r w:rsidRPr="006E6B67">
              <w:rPr>
                <w:rFonts w:eastAsia="Times New Roman" w:cs="Arial"/>
                <w:color w:val="000000"/>
                <w:sz w:val="20"/>
                <w:lang w:eastAsia="cs-CZ"/>
              </w:rPr>
              <w:t>UoZ</w:t>
            </w:r>
            <w:proofErr w:type="spellEnd"/>
          </w:p>
        </w:tc>
        <w:tc>
          <w:tcPr>
            <w:tcW w:w="1083" w:type="dxa"/>
            <w:shd w:val="clear" w:color="auto" w:fill="auto"/>
            <w:noWrap/>
            <w:vAlign w:val="center"/>
            <w:hideMark/>
          </w:tcPr>
          <w:p w:rsidR="0000735F" w:rsidRPr="006E6B67" w:rsidRDefault="0000735F" w:rsidP="00327C14">
            <w:pPr>
              <w:spacing w:before="0" w:after="0"/>
              <w:jc w:val="center"/>
              <w:rPr>
                <w:rFonts w:eastAsia="Times New Roman" w:cs="Arial"/>
                <w:color w:val="000000"/>
                <w:sz w:val="20"/>
                <w:lang w:eastAsia="cs-CZ"/>
              </w:rPr>
            </w:pPr>
            <w:r w:rsidRPr="006E6B67">
              <w:rPr>
                <w:rFonts w:eastAsia="Times New Roman" w:cs="Arial"/>
                <w:color w:val="000000"/>
                <w:sz w:val="20"/>
                <w:lang w:eastAsia="cs-CZ"/>
              </w:rPr>
              <w:t>do 25 let</w:t>
            </w:r>
          </w:p>
        </w:tc>
        <w:tc>
          <w:tcPr>
            <w:tcW w:w="1083" w:type="dxa"/>
            <w:shd w:val="clear" w:color="auto" w:fill="auto"/>
            <w:noWrap/>
            <w:vAlign w:val="center"/>
            <w:hideMark/>
          </w:tcPr>
          <w:p w:rsidR="0000735F" w:rsidRPr="006E6B67" w:rsidRDefault="0000735F" w:rsidP="00327C14">
            <w:pPr>
              <w:spacing w:before="0" w:after="0"/>
              <w:jc w:val="center"/>
              <w:rPr>
                <w:rFonts w:eastAsia="Times New Roman" w:cs="Arial"/>
                <w:color w:val="000000"/>
                <w:sz w:val="20"/>
                <w:lang w:eastAsia="cs-CZ"/>
              </w:rPr>
            </w:pPr>
            <w:r w:rsidRPr="006E6B67">
              <w:rPr>
                <w:rFonts w:eastAsia="Times New Roman" w:cs="Arial"/>
                <w:color w:val="000000"/>
                <w:sz w:val="20"/>
                <w:lang w:eastAsia="cs-CZ"/>
              </w:rPr>
              <w:t>nad 55 let</w:t>
            </w:r>
          </w:p>
        </w:tc>
        <w:tc>
          <w:tcPr>
            <w:tcW w:w="1083" w:type="dxa"/>
            <w:shd w:val="clear" w:color="auto" w:fill="auto"/>
            <w:noWrap/>
            <w:vAlign w:val="center"/>
            <w:hideMark/>
          </w:tcPr>
          <w:p w:rsidR="0000735F" w:rsidRPr="006E6B67" w:rsidRDefault="0000735F" w:rsidP="00327C14">
            <w:pPr>
              <w:spacing w:before="0" w:after="0"/>
              <w:jc w:val="center"/>
              <w:rPr>
                <w:rFonts w:eastAsia="Times New Roman" w:cs="Arial"/>
                <w:color w:val="000000"/>
                <w:sz w:val="20"/>
                <w:lang w:eastAsia="cs-CZ"/>
              </w:rPr>
            </w:pPr>
            <w:r w:rsidRPr="006E6B67">
              <w:rPr>
                <w:rFonts w:eastAsia="Times New Roman" w:cs="Arial"/>
                <w:color w:val="000000"/>
                <w:sz w:val="20"/>
                <w:lang w:eastAsia="cs-CZ"/>
              </w:rPr>
              <w:t>exekuce</w:t>
            </w:r>
          </w:p>
        </w:tc>
        <w:tc>
          <w:tcPr>
            <w:tcW w:w="1083" w:type="dxa"/>
            <w:shd w:val="clear" w:color="auto" w:fill="auto"/>
            <w:noWrap/>
            <w:vAlign w:val="center"/>
            <w:hideMark/>
          </w:tcPr>
          <w:p w:rsidR="0000735F" w:rsidRPr="006E6B67" w:rsidRDefault="003B69A2" w:rsidP="00327C14">
            <w:pPr>
              <w:spacing w:before="0" w:after="0"/>
              <w:jc w:val="center"/>
              <w:rPr>
                <w:rFonts w:eastAsia="Times New Roman" w:cs="Arial"/>
                <w:color w:val="000000"/>
                <w:sz w:val="20"/>
                <w:lang w:eastAsia="cs-CZ"/>
              </w:rPr>
            </w:pPr>
            <w:r w:rsidRPr="006E6B67">
              <w:rPr>
                <w:rFonts w:eastAsia="Times New Roman" w:cs="Arial"/>
                <w:color w:val="000000"/>
                <w:sz w:val="20"/>
                <w:lang w:eastAsia="cs-CZ"/>
              </w:rPr>
              <w:t>M</w:t>
            </w:r>
            <w:r w:rsidR="0000735F" w:rsidRPr="006E6B67">
              <w:rPr>
                <w:rFonts w:eastAsia="Times New Roman" w:cs="Arial"/>
                <w:color w:val="000000"/>
                <w:sz w:val="20"/>
                <w:lang w:eastAsia="cs-CZ"/>
              </w:rPr>
              <w:t>ax</w:t>
            </w:r>
            <w:r>
              <w:rPr>
                <w:rFonts w:eastAsia="Times New Roman" w:cs="Arial"/>
                <w:color w:val="000000"/>
                <w:sz w:val="20"/>
                <w:lang w:eastAsia="cs-CZ"/>
              </w:rPr>
              <w:t>.</w:t>
            </w:r>
            <w:r w:rsidR="0000735F" w:rsidRPr="006E6B67">
              <w:rPr>
                <w:rFonts w:eastAsia="Times New Roman" w:cs="Arial"/>
                <w:color w:val="000000"/>
                <w:sz w:val="20"/>
                <w:lang w:eastAsia="cs-CZ"/>
              </w:rPr>
              <w:t xml:space="preserve"> ZŠ</w:t>
            </w:r>
          </w:p>
        </w:tc>
        <w:tc>
          <w:tcPr>
            <w:tcW w:w="1083" w:type="dxa"/>
            <w:shd w:val="clear" w:color="auto" w:fill="auto"/>
            <w:noWrap/>
            <w:vAlign w:val="center"/>
            <w:hideMark/>
          </w:tcPr>
          <w:p w:rsidR="0000735F" w:rsidRPr="006E6B67" w:rsidRDefault="0000735F" w:rsidP="00327C14">
            <w:pPr>
              <w:spacing w:before="0" w:after="0"/>
              <w:jc w:val="center"/>
              <w:rPr>
                <w:rFonts w:eastAsia="Times New Roman" w:cs="Arial"/>
                <w:color w:val="000000"/>
                <w:sz w:val="20"/>
                <w:lang w:eastAsia="cs-CZ"/>
              </w:rPr>
            </w:pPr>
            <w:r w:rsidRPr="006E6B67">
              <w:rPr>
                <w:rFonts w:eastAsia="Times New Roman" w:cs="Arial"/>
                <w:color w:val="000000"/>
                <w:sz w:val="20"/>
                <w:lang w:eastAsia="cs-CZ"/>
              </w:rPr>
              <w:t>OZP</w:t>
            </w:r>
          </w:p>
        </w:tc>
        <w:tc>
          <w:tcPr>
            <w:tcW w:w="1083" w:type="dxa"/>
            <w:tcBorders>
              <w:right w:val="single" w:sz="12" w:space="0" w:color="auto"/>
            </w:tcBorders>
            <w:shd w:val="clear" w:color="auto" w:fill="auto"/>
            <w:noWrap/>
            <w:vAlign w:val="center"/>
            <w:hideMark/>
          </w:tcPr>
          <w:p w:rsidR="0000735F" w:rsidRPr="006E6B67" w:rsidRDefault="0000735F" w:rsidP="00327C14">
            <w:pPr>
              <w:spacing w:before="0" w:after="0"/>
              <w:jc w:val="center"/>
              <w:rPr>
                <w:rFonts w:eastAsia="Times New Roman" w:cs="Arial"/>
                <w:color w:val="000000"/>
                <w:sz w:val="20"/>
                <w:lang w:eastAsia="cs-CZ"/>
              </w:rPr>
            </w:pPr>
            <w:r w:rsidRPr="006E6B67">
              <w:rPr>
                <w:rFonts w:eastAsia="Times New Roman" w:cs="Arial"/>
                <w:color w:val="000000"/>
                <w:sz w:val="20"/>
                <w:lang w:eastAsia="cs-CZ"/>
              </w:rPr>
              <w:t>peče o dítě</w:t>
            </w:r>
          </w:p>
        </w:tc>
      </w:tr>
      <w:tr w:rsidR="0000735F" w:rsidRPr="0039098B" w:rsidTr="003B69A2">
        <w:trPr>
          <w:trHeight w:val="476"/>
        </w:trPr>
        <w:tc>
          <w:tcPr>
            <w:tcW w:w="2624" w:type="dxa"/>
            <w:shd w:val="clear" w:color="auto" w:fill="auto"/>
            <w:noWrap/>
            <w:vAlign w:val="center"/>
            <w:hideMark/>
          </w:tcPr>
          <w:p w:rsidR="0000735F" w:rsidRPr="006E6B67" w:rsidRDefault="0000735F" w:rsidP="0000735F">
            <w:pPr>
              <w:spacing w:before="0" w:after="0"/>
              <w:jc w:val="left"/>
              <w:rPr>
                <w:rFonts w:eastAsia="Times New Roman" w:cs="Arial"/>
                <w:color w:val="000000"/>
                <w:sz w:val="20"/>
                <w:lang w:eastAsia="cs-CZ"/>
              </w:rPr>
            </w:pPr>
            <w:r w:rsidRPr="006E6B67">
              <w:rPr>
                <w:rFonts w:eastAsia="Times New Roman" w:cs="Arial"/>
                <w:color w:val="000000"/>
                <w:sz w:val="20"/>
                <w:lang w:eastAsia="cs-CZ"/>
              </w:rPr>
              <w:t xml:space="preserve">v celkovém počtu </w:t>
            </w:r>
            <w:proofErr w:type="spellStart"/>
            <w:r>
              <w:rPr>
                <w:rFonts w:eastAsia="Times New Roman" w:cs="Arial"/>
                <w:color w:val="000000"/>
                <w:sz w:val="20"/>
                <w:lang w:eastAsia="cs-CZ"/>
              </w:rPr>
              <w:t>UoZ</w:t>
            </w:r>
            <w:proofErr w:type="spellEnd"/>
            <w:r>
              <w:rPr>
                <w:rFonts w:eastAsia="Times New Roman" w:cs="Arial"/>
                <w:color w:val="000000"/>
                <w:sz w:val="20"/>
                <w:lang w:eastAsia="cs-CZ"/>
              </w:rPr>
              <w:t xml:space="preserve"> k 31. 12. 2017</w:t>
            </w:r>
          </w:p>
        </w:tc>
        <w:tc>
          <w:tcPr>
            <w:tcW w:w="1083" w:type="dxa"/>
            <w:shd w:val="clear" w:color="auto" w:fill="auto"/>
            <w:noWrap/>
            <w:vAlign w:val="center"/>
            <w:hideMark/>
          </w:tcPr>
          <w:p w:rsidR="0000735F" w:rsidRPr="006E6B67" w:rsidRDefault="0000735F" w:rsidP="00327C14">
            <w:pPr>
              <w:spacing w:before="0" w:after="0"/>
              <w:jc w:val="center"/>
              <w:rPr>
                <w:rFonts w:eastAsia="Times New Roman" w:cs="Arial"/>
                <w:color w:val="000000"/>
                <w:sz w:val="20"/>
                <w:lang w:eastAsia="cs-CZ"/>
              </w:rPr>
            </w:pPr>
            <w:r w:rsidRPr="006E6B67">
              <w:rPr>
                <w:rFonts w:eastAsia="Times New Roman" w:cs="Arial"/>
                <w:color w:val="000000"/>
                <w:sz w:val="20"/>
                <w:lang w:eastAsia="cs-CZ"/>
              </w:rPr>
              <w:t>1</w:t>
            </w:r>
            <w:r>
              <w:rPr>
                <w:rFonts w:eastAsia="Times New Roman" w:cs="Arial"/>
                <w:color w:val="000000"/>
                <w:sz w:val="20"/>
                <w:lang w:eastAsia="cs-CZ"/>
              </w:rPr>
              <w:t>1</w:t>
            </w:r>
            <w:r w:rsidRPr="006E6B67">
              <w:rPr>
                <w:rFonts w:eastAsia="Times New Roman" w:cs="Arial"/>
                <w:color w:val="000000"/>
                <w:sz w:val="20"/>
                <w:lang w:eastAsia="cs-CZ"/>
              </w:rPr>
              <w:t>,</w:t>
            </w:r>
            <w:r>
              <w:rPr>
                <w:rFonts w:eastAsia="Times New Roman" w:cs="Arial"/>
                <w:color w:val="000000"/>
                <w:sz w:val="20"/>
                <w:lang w:eastAsia="cs-CZ"/>
              </w:rPr>
              <w:t>1</w:t>
            </w:r>
            <w:r w:rsidRPr="006E6B67">
              <w:rPr>
                <w:rFonts w:eastAsia="Times New Roman" w:cs="Arial"/>
                <w:color w:val="000000"/>
                <w:sz w:val="20"/>
                <w:lang w:eastAsia="cs-CZ"/>
              </w:rPr>
              <w:t xml:space="preserve"> %</w:t>
            </w:r>
          </w:p>
        </w:tc>
        <w:tc>
          <w:tcPr>
            <w:tcW w:w="1083" w:type="dxa"/>
            <w:shd w:val="clear" w:color="auto" w:fill="auto"/>
            <w:noWrap/>
            <w:vAlign w:val="center"/>
            <w:hideMark/>
          </w:tcPr>
          <w:p w:rsidR="0000735F" w:rsidRPr="006E6B67" w:rsidRDefault="0000735F" w:rsidP="00327C14">
            <w:pPr>
              <w:spacing w:before="0" w:after="0"/>
              <w:jc w:val="center"/>
              <w:rPr>
                <w:rFonts w:eastAsia="Times New Roman" w:cs="Arial"/>
                <w:color w:val="000000"/>
                <w:sz w:val="20"/>
                <w:lang w:eastAsia="cs-CZ"/>
              </w:rPr>
            </w:pPr>
            <w:r w:rsidRPr="006E6B67">
              <w:rPr>
                <w:rFonts w:eastAsia="Times New Roman" w:cs="Arial"/>
                <w:color w:val="000000"/>
                <w:sz w:val="20"/>
                <w:lang w:eastAsia="cs-CZ"/>
              </w:rPr>
              <w:t>24,1 %</w:t>
            </w:r>
          </w:p>
        </w:tc>
        <w:tc>
          <w:tcPr>
            <w:tcW w:w="1083" w:type="dxa"/>
            <w:shd w:val="clear" w:color="auto" w:fill="auto"/>
            <w:noWrap/>
            <w:vAlign w:val="center"/>
            <w:hideMark/>
          </w:tcPr>
          <w:p w:rsidR="0000735F" w:rsidRPr="006E6B67" w:rsidRDefault="0000735F" w:rsidP="00327C14">
            <w:pPr>
              <w:spacing w:before="0" w:after="0"/>
              <w:jc w:val="center"/>
              <w:rPr>
                <w:rFonts w:eastAsia="Times New Roman" w:cs="Arial"/>
                <w:color w:val="000000"/>
                <w:sz w:val="20"/>
                <w:lang w:eastAsia="cs-CZ"/>
              </w:rPr>
            </w:pPr>
            <w:r w:rsidRPr="006E6B67">
              <w:rPr>
                <w:rFonts w:eastAsia="Times New Roman" w:cs="Arial"/>
                <w:color w:val="000000"/>
                <w:sz w:val="20"/>
                <w:lang w:eastAsia="cs-CZ"/>
              </w:rPr>
              <w:t>XX</w:t>
            </w:r>
          </w:p>
        </w:tc>
        <w:tc>
          <w:tcPr>
            <w:tcW w:w="1083" w:type="dxa"/>
            <w:shd w:val="clear" w:color="auto" w:fill="auto"/>
            <w:noWrap/>
            <w:vAlign w:val="center"/>
            <w:hideMark/>
          </w:tcPr>
          <w:p w:rsidR="0000735F" w:rsidRPr="006E6B67" w:rsidRDefault="0000735F" w:rsidP="00327C14">
            <w:pPr>
              <w:spacing w:before="0" w:after="0"/>
              <w:jc w:val="center"/>
              <w:rPr>
                <w:rFonts w:eastAsia="Times New Roman" w:cs="Arial"/>
                <w:color w:val="000000"/>
                <w:sz w:val="20"/>
                <w:lang w:eastAsia="cs-CZ"/>
              </w:rPr>
            </w:pPr>
            <w:r w:rsidRPr="006E6B67">
              <w:rPr>
                <w:rFonts w:eastAsia="Times New Roman" w:cs="Arial"/>
                <w:color w:val="000000"/>
                <w:sz w:val="20"/>
                <w:lang w:eastAsia="cs-CZ"/>
              </w:rPr>
              <w:t>30,6 %</w:t>
            </w:r>
          </w:p>
        </w:tc>
        <w:tc>
          <w:tcPr>
            <w:tcW w:w="1083" w:type="dxa"/>
            <w:shd w:val="clear" w:color="auto" w:fill="auto"/>
            <w:noWrap/>
            <w:vAlign w:val="center"/>
            <w:hideMark/>
          </w:tcPr>
          <w:p w:rsidR="0000735F" w:rsidRPr="006E6B67" w:rsidRDefault="0000735F" w:rsidP="00327C14">
            <w:pPr>
              <w:spacing w:before="0" w:after="0"/>
              <w:jc w:val="center"/>
              <w:rPr>
                <w:rFonts w:eastAsia="Times New Roman" w:cs="Arial"/>
                <w:color w:val="000000"/>
                <w:sz w:val="20"/>
                <w:lang w:eastAsia="cs-CZ"/>
              </w:rPr>
            </w:pPr>
            <w:r w:rsidRPr="006E6B67">
              <w:rPr>
                <w:rFonts w:eastAsia="Times New Roman" w:cs="Arial"/>
                <w:color w:val="000000"/>
                <w:sz w:val="20"/>
                <w:lang w:eastAsia="cs-CZ"/>
              </w:rPr>
              <w:t>16,4 %</w:t>
            </w:r>
          </w:p>
        </w:tc>
        <w:tc>
          <w:tcPr>
            <w:tcW w:w="1083" w:type="dxa"/>
            <w:tcBorders>
              <w:right w:val="single" w:sz="12" w:space="0" w:color="auto"/>
            </w:tcBorders>
            <w:shd w:val="clear" w:color="auto" w:fill="auto"/>
            <w:noWrap/>
            <w:vAlign w:val="center"/>
            <w:hideMark/>
          </w:tcPr>
          <w:p w:rsidR="0000735F" w:rsidRPr="006E6B67" w:rsidRDefault="0000735F" w:rsidP="00327C14">
            <w:pPr>
              <w:spacing w:before="0" w:after="0"/>
              <w:jc w:val="center"/>
              <w:rPr>
                <w:rFonts w:eastAsia="Times New Roman" w:cs="Arial"/>
                <w:color w:val="000000"/>
                <w:sz w:val="20"/>
                <w:lang w:eastAsia="cs-CZ"/>
              </w:rPr>
            </w:pPr>
            <w:r w:rsidRPr="006E6B67">
              <w:rPr>
                <w:rFonts w:eastAsia="Times New Roman" w:cs="Arial"/>
                <w:color w:val="000000"/>
                <w:sz w:val="20"/>
                <w:lang w:eastAsia="cs-CZ"/>
              </w:rPr>
              <w:t>16,6 %</w:t>
            </w:r>
          </w:p>
        </w:tc>
      </w:tr>
      <w:tr w:rsidR="0000735F" w:rsidRPr="0039098B" w:rsidTr="003B69A2">
        <w:trPr>
          <w:trHeight w:val="476"/>
        </w:trPr>
        <w:tc>
          <w:tcPr>
            <w:tcW w:w="2624" w:type="dxa"/>
            <w:shd w:val="clear" w:color="auto" w:fill="auto"/>
            <w:noWrap/>
            <w:vAlign w:val="center"/>
          </w:tcPr>
          <w:p w:rsidR="0000735F" w:rsidRPr="006E6B67" w:rsidRDefault="0000735F" w:rsidP="0000735F">
            <w:pPr>
              <w:spacing w:before="0" w:after="0"/>
              <w:jc w:val="left"/>
              <w:rPr>
                <w:rFonts w:eastAsia="Times New Roman" w:cs="Arial"/>
                <w:color w:val="000000"/>
                <w:sz w:val="20"/>
                <w:lang w:eastAsia="cs-CZ"/>
              </w:rPr>
            </w:pPr>
            <w:r w:rsidRPr="006E6B67">
              <w:rPr>
                <w:rFonts w:eastAsia="Times New Roman" w:cs="Arial"/>
                <w:color w:val="000000"/>
                <w:sz w:val="20"/>
                <w:lang w:eastAsia="cs-CZ"/>
              </w:rPr>
              <w:t xml:space="preserve">ve </w:t>
            </w:r>
            <w:proofErr w:type="spellStart"/>
            <w:r w:rsidRPr="006E6B67">
              <w:rPr>
                <w:rFonts w:eastAsia="Times New Roman" w:cs="Arial"/>
                <w:color w:val="000000"/>
                <w:sz w:val="20"/>
                <w:lang w:eastAsia="cs-CZ"/>
              </w:rPr>
              <w:t>sk</w:t>
            </w:r>
            <w:proofErr w:type="spellEnd"/>
            <w:r w:rsidRPr="006E6B67">
              <w:rPr>
                <w:rFonts w:eastAsia="Times New Roman" w:cs="Arial"/>
                <w:color w:val="000000"/>
                <w:sz w:val="20"/>
                <w:lang w:eastAsia="cs-CZ"/>
              </w:rPr>
              <w:t>. s evidencí delší 12 měsíců v</w:t>
            </w:r>
            <w:r>
              <w:rPr>
                <w:rFonts w:eastAsia="Times New Roman" w:cs="Arial"/>
                <w:color w:val="000000"/>
                <w:sz w:val="20"/>
                <w:lang w:eastAsia="cs-CZ"/>
              </w:rPr>
              <w:t> 12/2017</w:t>
            </w:r>
            <w:bookmarkStart w:id="97" w:name="_Ref508695438"/>
            <w:r>
              <w:rPr>
                <w:rStyle w:val="Znakapoznpodarou"/>
                <w:rFonts w:eastAsia="Times New Roman" w:cs="Arial"/>
                <w:color w:val="000000"/>
                <w:sz w:val="20"/>
                <w:lang w:eastAsia="cs-CZ"/>
              </w:rPr>
              <w:footnoteReference w:id="18"/>
            </w:r>
            <w:bookmarkEnd w:id="97"/>
          </w:p>
        </w:tc>
        <w:tc>
          <w:tcPr>
            <w:tcW w:w="1083" w:type="dxa"/>
            <w:shd w:val="clear" w:color="auto" w:fill="auto"/>
            <w:noWrap/>
            <w:vAlign w:val="center"/>
          </w:tcPr>
          <w:p w:rsidR="0000735F" w:rsidRPr="006E6B67" w:rsidRDefault="0000735F" w:rsidP="00336F6E">
            <w:pPr>
              <w:spacing w:before="0" w:after="0"/>
              <w:jc w:val="center"/>
              <w:rPr>
                <w:rFonts w:eastAsia="Times New Roman" w:cs="Arial"/>
                <w:color w:val="000000"/>
                <w:sz w:val="20"/>
                <w:lang w:eastAsia="cs-CZ"/>
              </w:rPr>
            </w:pPr>
            <w:r>
              <w:rPr>
                <w:rFonts w:eastAsia="Times New Roman" w:cs="Arial"/>
                <w:color w:val="000000"/>
                <w:sz w:val="20"/>
                <w:lang w:eastAsia="cs-CZ"/>
              </w:rPr>
              <w:t>4,8 %</w:t>
            </w:r>
          </w:p>
        </w:tc>
        <w:tc>
          <w:tcPr>
            <w:tcW w:w="1083" w:type="dxa"/>
            <w:shd w:val="clear" w:color="auto" w:fill="auto"/>
            <w:noWrap/>
            <w:vAlign w:val="center"/>
          </w:tcPr>
          <w:p w:rsidR="0000735F" w:rsidRPr="006E6B67" w:rsidRDefault="0000735F" w:rsidP="00336F6E">
            <w:pPr>
              <w:spacing w:before="0" w:after="0"/>
              <w:jc w:val="center"/>
              <w:rPr>
                <w:rFonts w:eastAsia="Times New Roman" w:cs="Arial"/>
                <w:color w:val="000000"/>
                <w:sz w:val="20"/>
                <w:lang w:eastAsia="cs-CZ"/>
              </w:rPr>
            </w:pPr>
            <w:r>
              <w:rPr>
                <w:rFonts w:eastAsia="Times New Roman" w:cs="Arial"/>
                <w:color w:val="000000"/>
                <w:sz w:val="20"/>
                <w:lang w:eastAsia="cs-CZ"/>
              </w:rPr>
              <w:t>32,7 %</w:t>
            </w:r>
          </w:p>
        </w:tc>
        <w:tc>
          <w:tcPr>
            <w:tcW w:w="1083" w:type="dxa"/>
            <w:shd w:val="clear" w:color="auto" w:fill="auto"/>
            <w:noWrap/>
            <w:vAlign w:val="center"/>
          </w:tcPr>
          <w:p w:rsidR="0000735F" w:rsidRPr="006E6B67" w:rsidRDefault="0000735F" w:rsidP="00336F6E">
            <w:pPr>
              <w:spacing w:before="0" w:after="0"/>
              <w:jc w:val="center"/>
              <w:rPr>
                <w:rFonts w:eastAsia="Times New Roman" w:cs="Arial"/>
                <w:color w:val="000000"/>
                <w:sz w:val="20"/>
                <w:lang w:eastAsia="cs-CZ"/>
              </w:rPr>
            </w:pPr>
            <w:r>
              <w:rPr>
                <w:rFonts w:eastAsia="Times New Roman" w:cs="Arial"/>
                <w:color w:val="000000"/>
                <w:sz w:val="20"/>
                <w:lang w:eastAsia="cs-CZ"/>
              </w:rPr>
              <w:t>20,7 %</w:t>
            </w:r>
          </w:p>
        </w:tc>
        <w:tc>
          <w:tcPr>
            <w:tcW w:w="1083" w:type="dxa"/>
            <w:shd w:val="clear" w:color="auto" w:fill="auto"/>
            <w:noWrap/>
            <w:vAlign w:val="center"/>
          </w:tcPr>
          <w:p w:rsidR="0000735F" w:rsidRPr="006E6B67" w:rsidRDefault="0000735F" w:rsidP="00336F6E">
            <w:pPr>
              <w:spacing w:before="0" w:after="0"/>
              <w:jc w:val="center"/>
              <w:rPr>
                <w:rFonts w:eastAsia="Times New Roman" w:cs="Arial"/>
                <w:color w:val="000000"/>
                <w:sz w:val="20"/>
                <w:lang w:eastAsia="cs-CZ"/>
              </w:rPr>
            </w:pPr>
            <w:r>
              <w:rPr>
                <w:rFonts w:eastAsia="Times New Roman" w:cs="Arial"/>
                <w:color w:val="000000"/>
                <w:sz w:val="20"/>
                <w:lang w:eastAsia="cs-CZ"/>
              </w:rPr>
              <w:t>37,1 %</w:t>
            </w:r>
          </w:p>
        </w:tc>
        <w:tc>
          <w:tcPr>
            <w:tcW w:w="1083" w:type="dxa"/>
            <w:shd w:val="clear" w:color="auto" w:fill="auto"/>
            <w:noWrap/>
            <w:vAlign w:val="center"/>
          </w:tcPr>
          <w:p w:rsidR="0000735F" w:rsidRPr="006E6B67" w:rsidRDefault="0000735F" w:rsidP="00336F6E">
            <w:pPr>
              <w:spacing w:before="0" w:after="0"/>
              <w:jc w:val="center"/>
              <w:rPr>
                <w:rFonts w:eastAsia="Times New Roman" w:cs="Arial"/>
                <w:color w:val="000000"/>
                <w:sz w:val="20"/>
                <w:lang w:eastAsia="cs-CZ"/>
              </w:rPr>
            </w:pPr>
            <w:r>
              <w:rPr>
                <w:rFonts w:eastAsia="Times New Roman" w:cs="Arial"/>
                <w:color w:val="000000"/>
                <w:sz w:val="20"/>
                <w:lang w:eastAsia="cs-CZ"/>
              </w:rPr>
              <w:t>24,9 %</w:t>
            </w:r>
          </w:p>
        </w:tc>
        <w:tc>
          <w:tcPr>
            <w:tcW w:w="1083" w:type="dxa"/>
            <w:tcBorders>
              <w:right w:val="single" w:sz="12" w:space="0" w:color="auto"/>
            </w:tcBorders>
            <w:shd w:val="clear" w:color="auto" w:fill="auto"/>
            <w:noWrap/>
            <w:vAlign w:val="center"/>
          </w:tcPr>
          <w:p w:rsidR="0000735F" w:rsidRPr="006E6B67" w:rsidRDefault="003D6696" w:rsidP="00336F6E">
            <w:pPr>
              <w:spacing w:before="0" w:after="0"/>
              <w:jc w:val="center"/>
              <w:rPr>
                <w:rFonts w:eastAsia="Times New Roman" w:cs="Arial"/>
                <w:color w:val="000000"/>
                <w:sz w:val="20"/>
                <w:lang w:eastAsia="cs-CZ"/>
              </w:rPr>
            </w:pPr>
            <w:r>
              <w:rPr>
                <w:rFonts w:eastAsia="Times New Roman" w:cs="Arial"/>
                <w:color w:val="000000"/>
                <w:sz w:val="20"/>
                <w:lang w:eastAsia="cs-CZ"/>
              </w:rPr>
              <w:t>18,6 %</w:t>
            </w:r>
          </w:p>
        </w:tc>
      </w:tr>
      <w:tr w:rsidR="0000735F" w:rsidRPr="0039098B" w:rsidTr="003B69A2">
        <w:trPr>
          <w:trHeight w:val="476"/>
        </w:trPr>
        <w:tc>
          <w:tcPr>
            <w:tcW w:w="2624" w:type="dxa"/>
            <w:shd w:val="clear" w:color="auto" w:fill="auto"/>
            <w:vAlign w:val="center"/>
          </w:tcPr>
          <w:p w:rsidR="0000735F" w:rsidRPr="0000735F" w:rsidRDefault="0000735F" w:rsidP="0000735F">
            <w:pPr>
              <w:spacing w:before="0" w:after="0"/>
              <w:jc w:val="left"/>
              <w:rPr>
                <w:rFonts w:eastAsia="Times New Roman" w:cs="Arial"/>
                <w:color w:val="000000"/>
                <w:sz w:val="20"/>
                <w:vertAlign w:val="superscript"/>
                <w:lang w:eastAsia="cs-CZ"/>
              </w:rPr>
            </w:pPr>
            <w:r>
              <w:rPr>
                <w:rFonts w:eastAsia="Times New Roman" w:cs="Arial"/>
                <w:color w:val="000000"/>
                <w:sz w:val="20"/>
                <w:lang w:eastAsia="cs-CZ"/>
              </w:rPr>
              <w:t xml:space="preserve">Ve </w:t>
            </w:r>
            <w:proofErr w:type="spellStart"/>
            <w:r>
              <w:rPr>
                <w:rFonts w:eastAsia="Times New Roman" w:cs="Arial"/>
                <w:color w:val="000000"/>
                <w:sz w:val="20"/>
                <w:lang w:eastAsia="cs-CZ"/>
              </w:rPr>
              <w:t>sk</w:t>
            </w:r>
            <w:proofErr w:type="spellEnd"/>
            <w:r>
              <w:rPr>
                <w:rFonts w:eastAsia="Times New Roman" w:cs="Arial"/>
                <w:color w:val="000000"/>
                <w:sz w:val="20"/>
                <w:lang w:eastAsia="cs-CZ"/>
              </w:rPr>
              <w:t>. s evidencí delší 24 měsíců 12/2017</w:t>
            </w:r>
            <w:r>
              <w:rPr>
                <w:rFonts w:eastAsia="Times New Roman" w:cs="Arial"/>
                <w:color w:val="000000"/>
                <w:sz w:val="20"/>
                <w:vertAlign w:val="superscript"/>
                <w:lang w:eastAsia="cs-CZ"/>
              </w:rPr>
              <w:fldChar w:fldCharType="begin"/>
            </w:r>
            <w:r>
              <w:rPr>
                <w:rFonts w:eastAsia="Times New Roman" w:cs="Arial"/>
                <w:color w:val="000000"/>
                <w:sz w:val="20"/>
                <w:lang w:eastAsia="cs-CZ"/>
              </w:rPr>
              <w:instrText xml:space="preserve"> NOTEREF _Ref508695438 \h </w:instrText>
            </w:r>
            <w:r>
              <w:rPr>
                <w:rFonts w:eastAsia="Times New Roman" w:cs="Arial"/>
                <w:color w:val="000000"/>
                <w:sz w:val="20"/>
                <w:vertAlign w:val="superscript"/>
                <w:lang w:eastAsia="cs-CZ"/>
              </w:rPr>
              <w:instrText xml:space="preserve"> \* MERGEFORMAT </w:instrText>
            </w:r>
            <w:r>
              <w:rPr>
                <w:rFonts w:eastAsia="Times New Roman" w:cs="Arial"/>
                <w:color w:val="000000"/>
                <w:sz w:val="20"/>
                <w:vertAlign w:val="superscript"/>
                <w:lang w:eastAsia="cs-CZ"/>
              </w:rPr>
            </w:r>
            <w:r>
              <w:rPr>
                <w:rFonts w:eastAsia="Times New Roman" w:cs="Arial"/>
                <w:color w:val="000000"/>
                <w:sz w:val="20"/>
                <w:vertAlign w:val="superscript"/>
                <w:lang w:eastAsia="cs-CZ"/>
              </w:rPr>
              <w:fldChar w:fldCharType="separate"/>
            </w:r>
            <w:r w:rsidR="00F41CBA" w:rsidRPr="00F41CBA">
              <w:rPr>
                <w:rFonts w:eastAsia="Times New Roman" w:cs="Arial"/>
                <w:color w:val="000000"/>
                <w:sz w:val="20"/>
                <w:vertAlign w:val="superscript"/>
                <w:lang w:eastAsia="cs-CZ"/>
              </w:rPr>
              <w:t>18</w:t>
            </w:r>
            <w:r>
              <w:rPr>
                <w:rFonts w:eastAsia="Times New Roman" w:cs="Arial"/>
                <w:color w:val="000000"/>
                <w:sz w:val="20"/>
                <w:vertAlign w:val="superscript"/>
                <w:lang w:eastAsia="cs-CZ"/>
              </w:rPr>
              <w:fldChar w:fldCharType="end"/>
            </w:r>
          </w:p>
        </w:tc>
        <w:tc>
          <w:tcPr>
            <w:tcW w:w="1083" w:type="dxa"/>
            <w:shd w:val="clear" w:color="auto" w:fill="auto"/>
            <w:noWrap/>
            <w:vAlign w:val="center"/>
          </w:tcPr>
          <w:p w:rsidR="0000735F" w:rsidRPr="006E6B67" w:rsidRDefault="003D6696" w:rsidP="00327C14">
            <w:pPr>
              <w:spacing w:before="0" w:after="0"/>
              <w:jc w:val="center"/>
              <w:rPr>
                <w:rFonts w:eastAsia="Times New Roman" w:cs="Arial"/>
                <w:color w:val="000000"/>
                <w:sz w:val="20"/>
                <w:lang w:eastAsia="cs-CZ"/>
              </w:rPr>
            </w:pPr>
            <w:r>
              <w:rPr>
                <w:rFonts w:eastAsia="Times New Roman" w:cs="Arial"/>
                <w:color w:val="000000"/>
                <w:sz w:val="20"/>
                <w:lang w:eastAsia="cs-CZ"/>
              </w:rPr>
              <w:t>4,0 %</w:t>
            </w:r>
          </w:p>
        </w:tc>
        <w:tc>
          <w:tcPr>
            <w:tcW w:w="1083" w:type="dxa"/>
            <w:shd w:val="clear" w:color="auto" w:fill="auto"/>
            <w:noWrap/>
            <w:vAlign w:val="center"/>
          </w:tcPr>
          <w:p w:rsidR="0000735F" w:rsidRPr="006E6B67" w:rsidRDefault="003D6696" w:rsidP="00327C14">
            <w:pPr>
              <w:spacing w:before="0" w:after="0"/>
              <w:jc w:val="center"/>
              <w:rPr>
                <w:rFonts w:eastAsia="Times New Roman" w:cs="Arial"/>
                <w:color w:val="000000"/>
                <w:sz w:val="20"/>
                <w:lang w:eastAsia="cs-CZ"/>
              </w:rPr>
            </w:pPr>
            <w:r>
              <w:rPr>
                <w:rFonts w:eastAsia="Times New Roman" w:cs="Arial"/>
                <w:color w:val="000000"/>
                <w:sz w:val="20"/>
                <w:lang w:eastAsia="cs-CZ"/>
              </w:rPr>
              <w:t>34,5 %</w:t>
            </w:r>
          </w:p>
        </w:tc>
        <w:tc>
          <w:tcPr>
            <w:tcW w:w="1083" w:type="dxa"/>
            <w:shd w:val="clear" w:color="auto" w:fill="auto"/>
            <w:noWrap/>
            <w:vAlign w:val="center"/>
          </w:tcPr>
          <w:p w:rsidR="0000735F" w:rsidRPr="006E6B67" w:rsidRDefault="003D6696" w:rsidP="00327C14">
            <w:pPr>
              <w:spacing w:before="0" w:after="0"/>
              <w:jc w:val="center"/>
              <w:rPr>
                <w:rFonts w:eastAsia="Times New Roman" w:cs="Arial"/>
                <w:color w:val="000000"/>
                <w:sz w:val="20"/>
                <w:lang w:eastAsia="cs-CZ"/>
              </w:rPr>
            </w:pPr>
            <w:r>
              <w:rPr>
                <w:rFonts w:eastAsia="Times New Roman" w:cs="Arial"/>
                <w:color w:val="000000"/>
                <w:sz w:val="20"/>
                <w:lang w:eastAsia="cs-CZ"/>
              </w:rPr>
              <w:t>20,7 %</w:t>
            </w:r>
          </w:p>
        </w:tc>
        <w:tc>
          <w:tcPr>
            <w:tcW w:w="1083" w:type="dxa"/>
            <w:shd w:val="clear" w:color="auto" w:fill="auto"/>
            <w:noWrap/>
            <w:vAlign w:val="center"/>
          </w:tcPr>
          <w:p w:rsidR="0000735F" w:rsidRPr="006E6B67" w:rsidRDefault="003D6696" w:rsidP="00327C14">
            <w:pPr>
              <w:spacing w:before="0" w:after="0"/>
              <w:jc w:val="center"/>
              <w:rPr>
                <w:rFonts w:eastAsia="Times New Roman" w:cs="Arial"/>
                <w:color w:val="000000"/>
                <w:sz w:val="20"/>
                <w:lang w:eastAsia="cs-CZ"/>
              </w:rPr>
            </w:pPr>
            <w:r>
              <w:rPr>
                <w:rFonts w:eastAsia="Times New Roman" w:cs="Arial"/>
                <w:color w:val="000000"/>
                <w:sz w:val="20"/>
                <w:lang w:eastAsia="cs-CZ"/>
              </w:rPr>
              <w:t>39,3 %</w:t>
            </w:r>
          </w:p>
        </w:tc>
        <w:tc>
          <w:tcPr>
            <w:tcW w:w="1083" w:type="dxa"/>
            <w:shd w:val="clear" w:color="auto" w:fill="auto"/>
            <w:noWrap/>
            <w:vAlign w:val="center"/>
          </w:tcPr>
          <w:p w:rsidR="0000735F" w:rsidRPr="006E6B67" w:rsidRDefault="003D6696" w:rsidP="00327C14">
            <w:pPr>
              <w:spacing w:before="0" w:after="0"/>
              <w:jc w:val="center"/>
              <w:rPr>
                <w:rFonts w:eastAsia="Times New Roman" w:cs="Arial"/>
                <w:color w:val="000000"/>
                <w:sz w:val="20"/>
                <w:lang w:eastAsia="cs-CZ"/>
              </w:rPr>
            </w:pPr>
            <w:r>
              <w:rPr>
                <w:rFonts w:eastAsia="Times New Roman" w:cs="Arial"/>
                <w:color w:val="000000"/>
                <w:sz w:val="20"/>
                <w:lang w:eastAsia="cs-CZ"/>
              </w:rPr>
              <w:t>25,9 %</w:t>
            </w:r>
          </w:p>
        </w:tc>
        <w:tc>
          <w:tcPr>
            <w:tcW w:w="1083" w:type="dxa"/>
            <w:tcBorders>
              <w:right w:val="single" w:sz="12" w:space="0" w:color="auto"/>
            </w:tcBorders>
            <w:shd w:val="clear" w:color="auto" w:fill="auto"/>
            <w:noWrap/>
            <w:vAlign w:val="center"/>
          </w:tcPr>
          <w:p w:rsidR="0000735F" w:rsidRPr="006E6B67" w:rsidRDefault="003D6696" w:rsidP="00327C14">
            <w:pPr>
              <w:spacing w:before="0" w:after="0"/>
              <w:jc w:val="center"/>
              <w:rPr>
                <w:rFonts w:eastAsia="Times New Roman" w:cs="Arial"/>
                <w:color w:val="000000"/>
                <w:sz w:val="20"/>
                <w:lang w:eastAsia="cs-CZ"/>
              </w:rPr>
            </w:pPr>
            <w:r>
              <w:rPr>
                <w:rFonts w:eastAsia="Times New Roman" w:cs="Arial"/>
                <w:color w:val="000000"/>
                <w:sz w:val="20"/>
                <w:lang w:eastAsia="cs-CZ"/>
              </w:rPr>
              <w:t>17,8 %</w:t>
            </w:r>
          </w:p>
        </w:tc>
      </w:tr>
    </w:tbl>
    <w:p w:rsidR="003D6696" w:rsidRDefault="003D6696" w:rsidP="003D6696">
      <w:pPr>
        <w:pStyle w:val="Titulek"/>
        <w:keepNext/>
      </w:pPr>
      <w:bookmarkStart w:id="98" w:name="_Ref508696009"/>
      <w:bookmarkStart w:id="99" w:name="_Ref508695992"/>
      <w:bookmarkStart w:id="100" w:name="_Toc508704218"/>
      <w:r>
        <w:t xml:space="preserve">Graf č.: </w:t>
      </w:r>
      <w:r w:rsidR="007B53ED">
        <w:fldChar w:fldCharType="begin"/>
      </w:r>
      <w:r w:rsidR="007B53ED">
        <w:instrText xml:space="preserve"> SEQ Graf_č.: \* ARABIC </w:instrText>
      </w:r>
      <w:r w:rsidR="007B53ED">
        <w:fldChar w:fldCharType="separate"/>
      </w:r>
      <w:r w:rsidR="00F41CBA">
        <w:rPr>
          <w:noProof/>
        </w:rPr>
        <w:t>16</w:t>
      </w:r>
      <w:r w:rsidR="007B53ED">
        <w:rPr>
          <w:noProof/>
        </w:rPr>
        <w:fldChar w:fldCharType="end"/>
      </w:r>
      <w:bookmarkEnd w:id="98"/>
      <w:r>
        <w:t xml:space="preserve"> Podíly znevýhodněných </w:t>
      </w:r>
      <w:proofErr w:type="spellStart"/>
      <w:r>
        <w:t>UoZ</w:t>
      </w:r>
      <w:proofErr w:type="spellEnd"/>
      <w:r>
        <w:t xml:space="preserve"> podle délky evidence</w:t>
      </w:r>
      <w:bookmarkEnd w:id="99"/>
      <w:bookmarkEnd w:id="100"/>
    </w:p>
    <w:p w:rsidR="00327C14" w:rsidRDefault="003D6696" w:rsidP="006E64B8">
      <w:pPr>
        <w:rPr>
          <w:b/>
        </w:rPr>
      </w:pPr>
      <w:r>
        <w:rPr>
          <w:noProof/>
          <w:lang w:eastAsia="cs-CZ"/>
        </w:rPr>
        <w:drawing>
          <wp:inline distT="0" distB="0" distL="0" distR="0" wp14:anchorId="48DAE5A9" wp14:editId="10A95DA3">
            <wp:extent cx="5724525" cy="2286000"/>
            <wp:effectExtent l="0" t="0" r="9525" b="1905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3D6696" w:rsidRDefault="003D6696" w:rsidP="006E64B8">
      <w:r w:rsidRPr="006E64B8">
        <w:t>Na základě kvalifikovaných odhadů (viz</w:t>
      </w:r>
      <w:r>
        <w:t xml:space="preserve"> str. </w:t>
      </w:r>
      <w:r>
        <w:fldChar w:fldCharType="begin"/>
      </w:r>
      <w:r>
        <w:instrText xml:space="preserve"> PAGEREF _Ref508626809 \h </w:instrText>
      </w:r>
      <w:r>
        <w:fldChar w:fldCharType="separate"/>
      </w:r>
      <w:r w:rsidR="00F41CBA">
        <w:rPr>
          <w:noProof/>
        </w:rPr>
        <w:t>24</w:t>
      </w:r>
      <w:r>
        <w:fldChar w:fldCharType="end"/>
      </w:r>
      <w:r w:rsidRPr="006E64B8">
        <w:t xml:space="preserve">) lze konstatovat, že </w:t>
      </w:r>
      <w:r w:rsidRPr="006E64B8">
        <w:rPr>
          <w:b/>
        </w:rPr>
        <w:t>s výjimkou mladých uchazečů o zaměstnání jsou všechny výše uvedené hlavní skupiny znevýhodněných osob výrazněji zastoupeny mezi osobami dlouhodobě nezaměstnanými</w:t>
      </w:r>
      <w:r>
        <w:rPr>
          <w:b/>
        </w:rPr>
        <w:t xml:space="preserve">, </w:t>
      </w:r>
      <w:r>
        <w:t xml:space="preserve">což dokládá </w:t>
      </w:r>
      <w:r>
        <w:fldChar w:fldCharType="begin"/>
      </w:r>
      <w:r>
        <w:instrText xml:space="preserve"> REF _Ref508695973 \h </w:instrText>
      </w:r>
      <w:r>
        <w:fldChar w:fldCharType="separate"/>
      </w:r>
      <w:r w:rsidR="00F41CBA">
        <w:t xml:space="preserve">Tabulka </w:t>
      </w:r>
      <w:r w:rsidR="00F41CBA">
        <w:rPr>
          <w:noProof/>
        </w:rPr>
        <w:t>18</w:t>
      </w:r>
      <w:r>
        <w:fldChar w:fldCharType="end"/>
      </w:r>
      <w:r>
        <w:t xml:space="preserve"> a </w:t>
      </w:r>
      <w:r>
        <w:fldChar w:fldCharType="begin"/>
      </w:r>
      <w:r>
        <w:instrText xml:space="preserve"> REF _Ref508696009 \h </w:instrText>
      </w:r>
      <w:r>
        <w:fldChar w:fldCharType="separate"/>
      </w:r>
      <w:r w:rsidR="00F41CBA">
        <w:t xml:space="preserve">Graf č.: </w:t>
      </w:r>
      <w:r w:rsidR="00F41CBA">
        <w:rPr>
          <w:noProof/>
        </w:rPr>
        <w:t>16</w:t>
      </w:r>
      <w:r>
        <w:fldChar w:fldCharType="end"/>
      </w:r>
      <w:r>
        <w:t xml:space="preserve">. </w:t>
      </w:r>
    </w:p>
    <w:p w:rsidR="006E64B8" w:rsidRPr="006E64B8" w:rsidRDefault="003D6696" w:rsidP="006E64B8">
      <w:pPr>
        <w:rPr>
          <w:b/>
        </w:rPr>
      </w:pPr>
      <w:r w:rsidRPr="003D6696">
        <w:t>Zároveň z prezentovaných dat vyplývá</w:t>
      </w:r>
      <w:r>
        <w:rPr>
          <w:b/>
        </w:rPr>
        <w:t>, že nejvýrazněji</w:t>
      </w:r>
      <w:r w:rsidR="006E64B8" w:rsidRPr="006E64B8">
        <w:rPr>
          <w:b/>
        </w:rPr>
        <w:t xml:space="preserve"> se na vzniku dlouhodobé nezaměstnanosti podílí vysoký věk a zdravotní stav</w:t>
      </w:r>
      <w:r w:rsidR="006E64B8" w:rsidRPr="006E64B8">
        <w:t>. Výskyt starších osob mezi dlouhodobě nezaměstnanými je o 8,6 p. b., v případě OZP pak o 9,5 p. b., vyšší než v celé skupině uchazečů o zaměstnání. Riziko setrvání v dlouhodobé nezaměstnanosti je rovněž zvýšeno nízkým vzděláním (rozdíl o 6,5 p. b.), naopak dlouhodobá nezaměstnanost za stávajícího stavu trhu práce nevzniká u mladších věkových skupin, neboť jejich zastoupení s dobou evidence naopak významně klesá. Tato část analýzy je proto věnována zejména starším osobám a OZP, přičemž v těchto skupinách jsou zároveň výrazně zastoupeny osoby s nejvýše dosaženým základním vzděláním. Tyto tři skupiny se výrazně prolínají a dochází u nich ke kumulaci zmiňovaných hendikepů.</w:t>
      </w:r>
    </w:p>
    <w:p w:rsidR="006E64B8" w:rsidRDefault="006E64B8" w:rsidP="006E64B8">
      <w:pPr>
        <w:rPr>
          <w:b/>
        </w:rPr>
      </w:pPr>
      <w:r w:rsidRPr="006E64B8">
        <w:t>Dlouhodobá nezaměstnanost je dále provázána dalšími negativními jevy, k nimž se řadí zejména exekuce a hmotná nouze.</w:t>
      </w:r>
      <w:r w:rsidRPr="006E64B8">
        <w:rPr>
          <w:b/>
        </w:rPr>
        <w:t xml:space="preserve"> Dle odhadů je více jak</w:t>
      </w:r>
      <w:r>
        <w:rPr>
          <w:b/>
        </w:rPr>
        <w:t xml:space="preserve"> 1/5 uchazečů o </w:t>
      </w:r>
      <w:r w:rsidRPr="006E64B8">
        <w:rPr>
          <w:b/>
        </w:rPr>
        <w:t>zaměstnání s evidencí delší 12 měsíců v exekuci</w:t>
      </w:r>
      <w:r w:rsidRPr="006E64B8">
        <w:rPr>
          <w:b/>
          <w:vertAlign w:val="superscript"/>
        </w:rPr>
        <w:footnoteReference w:id="19"/>
      </w:r>
      <w:r w:rsidRPr="006E64B8">
        <w:rPr>
          <w:b/>
        </w:rPr>
        <w:t xml:space="preserve"> a </w:t>
      </w:r>
      <w:r>
        <w:rPr>
          <w:b/>
        </w:rPr>
        <w:t>téměř 1/2 z uchazečů o </w:t>
      </w:r>
      <w:r w:rsidRPr="006E64B8">
        <w:rPr>
          <w:b/>
        </w:rPr>
        <w:t xml:space="preserve">zaměstnání v hmotné nouzi </w:t>
      </w:r>
      <w:r>
        <w:rPr>
          <w:b/>
        </w:rPr>
        <w:t>je nezaměstnána</w:t>
      </w:r>
      <w:r w:rsidRPr="006E64B8">
        <w:rPr>
          <w:b/>
        </w:rPr>
        <w:t xml:space="preserve"> déle než 12 měsíců.</w:t>
      </w:r>
    </w:p>
    <w:p w:rsidR="00B42C39" w:rsidRPr="00B42C39" w:rsidRDefault="00B42C39" w:rsidP="006E64B8">
      <w:r>
        <w:t>Eliminaci vzniku dlouhodobé nezaměstnanosti je dlouhodobě věnována zvýšená pozornost a to zejména prostřednictvím cílení nástrojů aktivní politiky zaměstnanosti, resp. opatření politiky zaměstnanosti, na rizikové skupiny osob a rovněž dalšími opatřeními (viz dále). Specifickým opatřením je pak podpora uplatňování znevýhodněných osob prostřednictvím sociálních podniků a prostřednictvím podpory těchto podniků. V současné době je realizován projekt „Podpora sociálního podnikání v</w:t>
      </w:r>
      <w:r w:rsidR="00552917">
        <w:t> </w:t>
      </w:r>
      <w:r>
        <w:t>ČR</w:t>
      </w:r>
      <w:r w:rsidR="00552917">
        <w:t xml:space="preserve"> pokračuje“. Tento projekt cílí na vybudování a rozvoj sítě lokálních konzultantů a poradců pro sociální podniky, zejména v oblasti zvyšování kompetencí sociálních podnikatelů v podnikání (např. marketing, management, řešení krizových situací atd.) a oblastech, ve kterých jsou sociální podniky zpravidla činné.</w:t>
      </w:r>
    </w:p>
    <w:p w:rsidR="002424FF" w:rsidRPr="00302C26" w:rsidRDefault="002424FF" w:rsidP="007B5796">
      <w:pPr>
        <w:pStyle w:val="Nadpis3"/>
      </w:pPr>
      <w:bookmarkStart w:id="101" w:name="_Toc509474141"/>
      <w:r w:rsidRPr="00302C26">
        <w:t>Starší osoby (55+)</w:t>
      </w:r>
      <w:bookmarkEnd w:id="101"/>
    </w:p>
    <w:p w:rsidR="002424FF" w:rsidRPr="001B134E" w:rsidRDefault="002424FF" w:rsidP="002424FF">
      <w:pPr>
        <w:rPr>
          <w:u w:val="single"/>
        </w:rPr>
      </w:pPr>
      <w:r w:rsidRPr="001B134E">
        <w:rPr>
          <w:u w:val="single"/>
        </w:rPr>
        <w:t>Nezaměstnanost</w:t>
      </w:r>
    </w:p>
    <w:p w:rsidR="002424FF" w:rsidRPr="001B134E" w:rsidRDefault="002424FF" w:rsidP="002424FF">
      <w:pPr>
        <w:pStyle w:val="Odstavecseseznamem"/>
        <w:numPr>
          <w:ilvl w:val="0"/>
          <w:numId w:val="8"/>
        </w:numPr>
        <w:spacing w:after="120" w:line="240" w:lineRule="auto"/>
        <w:ind w:left="714" w:hanging="357"/>
        <w:contextualSpacing w:val="0"/>
        <w:rPr>
          <w:i/>
          <w:szCs w:val="20"/>
        </w:rPr>
      </w:pPr>
      <w:r w:rsidRPr="001B134E">
        <w:rPr>
          <w:b/>
          <w:szCs w:val="20"/>
        </w:rPr>
        <w:t xml:space="preserve">V závěru roku 2017 evidoval UP ČR celkem 67 591 </w:t>
      </w:r>
      <w:proofErr w:type="spellStart"/>
      <w:r w:rsidRPr="001B134E">
        <w:rPr>
          <w:b/>
          <w:szCs w:val="20"/>
        </w:rPr>
        <w:t>UoZ</w:t>
      </w:r>
      <w:proofErr w:type="spellEnd"/>
      <w:r w:rsidRPr="001B134E">
        <w:rPr>
          <w:b/>
          <w:szCs w:val="20"/>
        </w:rPr>
        <w:t xml:space="preserve"> starších 55 let, což odpovídalo jejich 24,1% podílu na celkové nezaměstnanosti</w:t>
      </w:r>
      <w:r w:rsidRPr="001B134E">
        <w:rPr>
          <w:szCs w:val="20"/>
        </w:rPr>
        <w:t>, přičemž dominující je skupina osob ve věku 55 až 59 let (41 282 osob). Ve věkové skupině 55 až 59 let jsou oproti podílu na celkové nezaměstnanosti mírně více zastoupeny ženy, když jejich podíl činil 54,2 % (průměr 50,2 %). Ve věkové skupině nad 60 let pak zastoupení žen významně klesá z důvodu stále existující nižší věkové hladiny k odchodu do důchodu.</w:t>
      </w:r>
    </w:p>
    <w:p w:rsidR="002424FF" w:rsidRPr="001B134E" w:rsidRDefault="002424FF" w:rsidP="002424FF">
      <w:pPr>
        <w:pStyle w:val="Odstavecseseznamem"/>
        <w:numPr>
          <w:ilvl w:val="0"/>
          <w:numId w:val="8"/>
        </w:numPr>
        <w:spacing w:after="120" w:line="240" w:lineRule="auto"/>
        <w:ind w:left="714" w:hanging="357"/>
        <w:contextualSpacing w:val="0"/>
        <w:rPr>
          <w:i/>
          <w:szCs w:val="20"/>
        </w:rPr>
      </w:pPr>
      <w:r w:rsidRPr="001B134E">
        <w:rPr>
          <w:szCs w:val="20"/>
        </w:rPr>
        <w:t xml:space="preserve">Meziročně poklesl počet starších uchazečů o zaměstnání o 14 237 osob, jejich podíl na </w:t>
      </w:r>
      <w:proofErr w:type="spellStart"/>
      <w:r w:rsidRPr="001B134E">
        <w:rPr>
          <w:szCs w:val="20"/>
        </w:rPr>
        <w:t>UoZ</w:t>
      </w:r>
      <w:proofErr w:type="spellEnd"/>
      <w:r w:rsidRPr="001B134E">
        <w:rPr>
          <w:szCs w:val="20"/>
        </w:rPr>
        <w:t xml:space="preserve"> však meziročně vzrostl o 2,6 p. b.</w:t>
      </w:r>
    </w:p>
    <w:p w:rsidR="002424FF" w:rsidRPr="001B134E" w:rsidRDefault="002424FF" w:rsidP="002424FF">
      <w:pPr>
        <w:pStyle w:val="Odstavecseseznamem"/>
        <w:numPr>
          <w:ilvl w:val="0"/>
          <w:numId w:val="8"/>
        </w:numPr>
        <w:spacing w:after="120" w:line="240" w:lineRule="auto"/>
        <w:ind w:left="714" w:hanging="357"/>
        <w:contextualSpacing w:val="0"/>
        <w:rPr>
          <w:i/>
          <w:szCs w:val="20"/>
        </w:rPr>
      </w:pPr>
      <w:r w:rsidRPr="001B134E">
        <w:rPr>
          <w:szCs w:val="20"/>
        </w:rPr>
        <w:t xml:space="preserve">Osoby starší 55 let jsou po skupině osob s nízkým vzděláním druhou nejčastěji zastoupenou skupinou mezi dlouhodobě nezaměstnanými uchazeči o zaměstnání, dle hrubých odhadů činil v prosinci 2017 jejich podíl na uchazečích o zaměstnání s dobou evidence delší 12 měsíců 32,7 % a </w:t>
      </w:r>
      <w:r w:rsidRPr="001B134E">
        <w:rPr>
          <w:b/>
          <w:szCs w:val="20"/>
        </w:rPr>
        <w:t>48,9 % uchazečů o zaměstnání starších 55 let bylo dlouhodobě nezaměstnáno.</w:t>
      </w:r>
    </w:p>
    <w:p w:rsidR="002424FF" w:rsidRPr="001B134E" w:rsidRDefault="002424FF" w:rsidP="002424FF">
      <w:pPr>
        <w:pStyle w:val="Odstavecseseznamem"/>
        <w:numPr>
          <w:ilvl w:val="0"/>
          <w:numId w:val="8"/>
        </w:numPr>
        <w:spacing w:after="120" w:line="240" w:lineRule="auto"/>
        <w:ind w:left="714" w:hanging="357"/>
        <w:contextualSpacing w:val="0"/>
        <w:rPr>
          <w:i/>
          <w:szCs w:val="20"/>
        </w:rPr>
      </w:pPr>
      <w:r w:rsidRPr="001B134E">
        <w:rPr>
          <w:b/>
          <w:szCs w:val="20"/>
        </w:rPr>
        <w:t>zároveň 14 352 uchazečů o zaměstnání nad 55 let se koncem prosince 2017 ocitalo v situaci hmotné nouze,</w:t>
      </w:r>
      <w:r w:rsidR="00636031">
        <w:rPr>
          <w:b/>
          <w:szCs w:val="20"/>
        </w:rPr>
        <w:t xml:space="preserve"> tj. 21,2 % starších uchazečů o </w:t>
      </w:r>
      <w:r w:rsidRPr="001B134E">
        <w:rPr>
          <w:b/>
          <w:szCs w:val="20"/>
        </w:rPr>
        <w:t xml:space="preserve">zaměstnání. </w:t>
      </w:r>
      <w:r w:rsidRPr="001B134E">
        <w:rPr>
          <w:szCs w:val="20"/>
        </w:rPr>
        <w:t>Podíl takovýchto osob je tedy mírně nižší než celkové zastoupení osob v hmotné nouzi na celkovém počtu uchazečů o zaměstnání, a to o 4,4 p. b. (průměr za všechny uchazeče činí 25,6 %). U osob starších 65 let je však v situaci hmotné nouze více jak 1/3 evidovaných uchazečů o zaměstnání.</w:t>
      </w:r>
    </w:p>
    <w:p w:rsidR="002424FF" w:rsidRPr="00F75913" w:rsidRDefault="002424FF" w:rsidP="007B5796">
      <w:pPr>
        <w:pStyle w:val="Nadpis3"/>
      </w:pPr>
      <w:bookmarkStart w:id="102" w:name="_Toc509474142"/>
      <w:r w:rsidRPr="00F75913">
        <w:t xml:space="preserve">Důvody ohrožení </w:t>
      </w:r>
      <w:r w:rsidR="00636531">
        <w:t xml:space="preserve">starších </w:t>
      </w:r>
      <w:r w:rsidRPr="00F75913">
        <w:t>na trhu práce</w:t>
      </w:r>
      <w:bookmarkEnd w:id="102"/>
    </w:p>
    <w:p w:rsidR="002424FF" w:rsidRPr="001B134E" w:rsidRDefault="002424FF" w:rsidP="002424FF">
      <w:pPr>
        <w:rPr>
          <w:szCs w:val="20"/>
        </w:rPr>
      </w:pPr>
      <w:r w:rsidRPr="001B134E">
        <w:rPr>
          <w:szCs w:val="20"/>
        </w:rPr>
        <w:t>Základním hendikepem při uplatnění se na trhu práce hraje u starších osob právě jejich vyšší věk, který s sebou přináší některé negativní faktory, a to jak objektivní, tak subjektivní povahy, a to jak na straně zaměstnavatelů, tak na straně seniorů. Jedná se zejména o následující faktory:</w:t>
      </w:r>
    </w:p>
    <w:p w:rsidR="002424FF" w:rsidRPr="001B134E" w:rsidRDefault="002424FF" w:rsidP="002424FF">
      <w:pPr>
        <w:ind w:left="851" w:hanging="851"/>
        <w:rPr>
          <w:szCs w:val="20"/>
        </w:rPr>
      </w:pPr>
      <w:r w:rsidRPr="001B134E">
        <w:rPr>
          <w:szCs w:val="20"/>
          <w:u w:val="single"/>
        </w:rPr>
        <w:t>Vzdělání</w:t>
      </w:r>
    </w:p>
    <w:p w:rsidR="002424FF" w:rsidRPr="001B134E" w:rsidRDefault="002424FF" w:rsidP="002424FF">
      <w:pPr>
        <w:pStyle w:val="Odstavecseseznamem"/>
        <w:numPr>
          <w:ilvl w:val="0"/>
          <w:numId w:val="9"/>
        </w:numPr>
        <w:spacing w:after="120" w:line="240" w:lineRule="auto"/>
        <w:ind w:left="715" w:hanging="357"/>
        <w:contextualSpacing w:val="0"/>
        <w:rPr>
          <w:szCs w:val="20"/>
        </w:rPr>
      </w:pPr>
      <w:r w:rsidRPr="001B134E">
        <w:rPr>
          <w:szCs w:val="20"/>
        </w:rPr>
        <w:t xml:space="preserve">Mezi starší populací je </w:t>
      </w:r>
      <w:r w:rsidRPr="001B134E">
        <w:rPr>
          <w:b/>
          <w:szCs w:val="20"/>
        </w:rPr>
        <w:t>vyšší zastoupení osob s nižší kvalifikací</w:t>
      </w:r>
      <w:r w:rsidRPr="001B134E">
        <w:rPr>
          <w:szCs w:val="20"/>
        </w:rPr>
        <w:t>, v populaci osob starších 55 až 64 let, což je pro oblast (dlouhodobé) nezaměstnanosti nejsledovanější skupina, činí podíl osob s nejvýše dosaženým základním vzděláním 9,6 %, zatímco mezi 20 až 64 letými 6,6 %</w:t>
      </w:r>
      <w:r w:rsidRPr="001B134E">
        <w:rPr>
          <w:rStyle w:val="Znakapoznpodarou"/>
          <w:szCs w:val="20"/>
        </w:rPr>
        <w:footnoteReference w:id="20"/>
      </w:r>
      <w:r w:rsidRPr="001B134E">
        <w:rPr>
          <w:szCs w:val="20"/>
        </w:rPr>
        <w:t>. Dominantně se tento jev projevuje zejména u žen, kdy podíl žen s nejvýše dosaženým základním vzděláním starších 55 let činí 22,3 % na všech ženách ve stejném věku. Mezi ženami ve věku 55 až 64 let činil tento podíl 14,2 %</w:t>
      </w:r>
      <w:r w:rsidRPr="001B134E">
        <w:rPr>
          <w:rStyle w:val="Znakapoznpodarou"/>
          <w:szCs w:val="20"/>
        </w:rPr>
        <w:footnoteReference w:id="21"/>
      </w:r>
      <w:r w:rsidRPr="001B134E">
        <w:rPr>
          <w:szCs w:val="20"/>
        </w:rPr>
        <w:t xml:space="preserve">, oproti tomu u žen ve věku 20 – 64 let 7,8 %. </w:t>
      </w:r>
    </w:p>
    <w:p w:rsidR="002424FF" w:rsidRDefault="002424FF" w:rsidP="002424FF">
      <w:pPr>
        <w:pStyle w:val="Odstavecseseznamem"/>
        <w:numPr>
          <w:ilvl w:val="0"/>
          <w:numId w:val="9"/>
        </w:numPr>
        <w:spacing w:after="120" w:line="240" w:lineRule="auto"/>
        <w:ind w:left="715" w:hanging="357"/>
        <w:contextualSpacing w:val="0"/>
        <w:rPr>
          <w:szCs w:val="20"/>
        </w:rPr>
      </w:pPr>
      <w:r w:rsidRPr="001B134E">
        <w:rPr>
          <w:szCs w:val="20"/>
        </w:rPr>
        <w:t xml:space="preserve">Kromě nižší kvalifikace je problematická rovněž </w:t>
      </w:r>
      <w:r w:rsidRPr="001B134E">
        <w:rPr>
          <w:b/>
          <w:szCs w:val="20"/>
        </w:rPr>
        <w:t>aktuálnost kvalifikace,</w:t>
      </w:r>
      <w:r w:rsidRPr="001B134E">
        <w:rPr>
          <w:szCs w:val="20"/>
        </w:rPr>
        <w:t xml:space="preserve"> a to jak ve smyslu příslušného oboru kvalifikace, tak ve smyslu, zda úroveň znalostí odpovídá soudobým potřebám a stavu technického pokroku v daných odvětvích. Projevuje se tak jak delší časový odstup od dob ukončení přípravy na povolání, tak </w:t>
      </w:r>
      <w:r w:rsidRPr="001B134E">
        <w:rPr>
          <w:b/>
          <w:szCs w:val="20"/>
        </w:rPr>
        <w:t>nízká participace zaměstnanců vyššího věku na dalším vzdělávání</w:t>
      </w:r>
      <w:r w:rsidRPr="001B134E">
        <w:rPr>
          <w:szCs w:val="20"/>
        </w:rPr>
        <w:t xml:space="preserve">. Ta je způsobována jak nižší ochotou starších osob vzdělávat se v předdůchodovém věku a učit se novým postupům, tak rovněž v nižší ochotě zaměstnavatelů investovat do vzdělávání zaměstnanců v předdůchodovém věku. </w:t>
      </w:r>
      <w:r w:rsidRPr="001B134E">
        <w:rPr>
          <w:b/>
          <w:szCs w:val="20"/>
        </w:rPr>
        <w:t>V roce 2016 se dle VŠPS účastnilo neformálního vzdělávání ve věkové skupině 55 – 64 let 4 % osob, v celé populaci 15 – 64 let to bylo 7,1 %</w:t>
      </w:r>
      <w:r w:rsidRPr="001B134E">
        <w:rPr>
          <w:szCs w:val="20"/>
        </w:rPr>
        <w:t>.</w:t>
      </w:r>
    </w:p>
    <w:p w:rsidR="002424FF" w:rsidRPr="001B134E" w:rsidRDefault="002424FF" w:rsidP="002424FF">
      <w:pPr>
        <w:ind w:left="1"/>
        <w:rPr>
          <w:szCs w:val="24"/>
          <w:u w:val="single"/>
        </w:rPr>
      </w:pPr>
      <w:r w:rsidRPr="001B134E">
        <w:rPr>
          <w:szCs w:val="24"/>
          <w:u w:val="single"/>
        </w:rPr>
        <w:t>Zdravotní stav</w:t>
      </w:r>
    </w:p>
    <w:p w:rsidR="002424FF" w:rsidRPr="001B134E" w:rsidRDefault="002424FF" w:rsidP="002424FF">
      <w:pPr>
        <w:pStyle w:val="Odstavecseseznamem"/>
        <w:numPr>
          <w:ilvl w:val="0"/>
          <w:numId w:val="10"/>
        </w:numPr>
        <w:spacing w:after="120" w:line="240" w:lineRule="auto"/>
        <w:ind w:left="721" w:hanging="357"/>
        <w:contextualSpacing w:val="0"/>
        <w:rPr>
          <w:szCs w:val="24"/>
          <w:u w:val="single"/>
        </w:rPr>
      </w:pPr>
      <w:r w:rsidRPr="001B134E">
        <w:rPr>
          <w:szCs w:val="24"/>
        </w:rPr>
        <w:t>S narůstajícím věkem vzrůstají zdravotní problémy, které mohou ve větší či menší míře limitovat starší osoby v přístupu na trh práce a v hledání vhodného pracovního uplatnění. Jedná se zejména o vznik invalidity, zvýšenou nemocnost a obecně o snížení pracovní výkonnosti.</w:t>
      </w:r>
    </w:p>
    <w:p w:rsidR="002424FF" w:rsidRPr="001B134E" w:rsidRDefault="002424FF" w:rsidP="002424FF">
      <w:pPr>
        <w:pStyle w:val="Odstavecseseznamem"/>
        <w:numPr>
          <w:ilvl w:val="0"/>
          <w:numId w:val="10"/>
        </w:numPr>
        <w:spacing w:after="120" w:line="240" w:lineRule="auto"/>
        <w:ind w:left="721" w:hanging="357"/>
        <w:contextualSpacing w:val="0"/>
        <w:rPr>
          <w:szCs w:val="24"/>
          <w:u w:val="single"/>
        </w:rPr>
      </w:pPr>
      <w:r w:rsidRPr="001B134E">
        <w:rPr>
          <w:szCs w:val="24"/>
        </w:rPr>
        <w:t xml:space="preserve">Rovněž v tomto případě MPSV nedisponuje nástrojem umožňujícím stanovit podíl starších osob na počtu uchazečů o zaměstnání se zdravotním postižením, nicméně k prokázání tohoto faktu lze nepřímo využít statistiku nemocenského pojištění. V roce 2017 (1. až 3. čtvrtletí) </w:t>
      </w:r>
      <w:r w:rsidRPr="001B134E">
        <w:rPr>
          <w:b/>
          <w:szCs w:val="24"/>
        </w:rPr>
        <w:t>28,9 % evidovaných případů pracovních neschopností bylo ve věku nad 50 let</w:t>
      </w:r>
      <w:r w:rsidRPr="001B134E">
        <w:rPr>
          <w:szCs w:val="24"/>
        </w:rPr>
        <w:t xml:space="preserve">, rovněž s přibývajícím věkem roste průměrná doba pracovní neschopnosti, když v uváděném období byla u 50 a více letých o 16,8 dne delší než průměr (59 dnů oproti 42,2 dne). V populaci seniorů je rovněž obecně vyšší zastoupení invalidních důchodců, když v roce 2016 z celkového počtu 425 788 invalidních důchodců bylo ve věku 55 – 64 let 180 722, tj. 42,4 % invalidních důchodců bylo z řad seniorů. </w:t>
      </w:r>
      <w:r w:rsidRPr="001B134E">
        <w:rPr>
          <w:b/>
          <w:szCs w:val="24"/>
        </w:rPr>
        <w:t>Zatímco v celé populaci 15 až 64 letých byli invalidní důchodci zastoupení v roce 2016 podílem 6,1 % ve věkové skupině 55 – 64 let to bylo 13,3 %, tedy více jak dvojnásobek.</w:t>
      </w:r>
    </w:p>
    <w:p w:rsidR="002424FF" w:rsidRPr="001B134E" w:rsidRDefault="002424FF" w:rsidP="002424FF">
      <w:pPr>
        <w:pStyle w:val="Odstavecseseznamem"/>
        <w:numPr>
          <w:ilvl w:val="0"/>
          <w:numId w:val="10"/>
        </w:numPr>
        <w:spacing w:after="120" w:line="240" w:lineRule="auto"/>
        <w:ind w:left="721" w:hanging="357"/>
        <w:contextualSpacing w:val="0"/>
        <w:rPr>
          <w:szCs w:val="24"/>
          <w:u w:val="single"/>
        </w:rPr>
      </w:pPr>
      <w:r w:rsidRPr="001B134E">
        <w:rPr>
          <w:b/>
          <w:szCs w:val="24"/>
        </w:rPr>
        <w:t>S vyšší nemocností a zhoršeným zdravotním stavem pak souvisí obava zaměstnavatelů ze snížení produktivity práce starších osob.</w:t>
      </w:r>
    </w:p>
    <w:p w:rsidR="002424FF" w:rsidRPr="001B134E" w:rsidRDefault="002424FF" w:rsidP="002424FF">
      <w:pPr>
        <w:rPr>
          <w:szCs w:val="24"/>
          <w:u w:val="single"/>
        </w:rPr>
      </w:pPr>
      <w:r w:rsidRPr="001B134E">
        <w:rPr>
          <w:szCs w:val="24"/>
          <w:u w:val="single"/>
        </w:rPr>
        <w:t>Blížící se důchodový věk</w:t>
      </w:r>
    </w:p>
    <w:p w:rsidR="002424FF" w:rsidRPr="001B134E" w:rsidRDefault="002424FF" w:rsidP="002424FF">
      <w:pPr>
        <w:pStyle w:val="Odstavecseseznamem"/>
        <w:numPr>
          <w:ilvl w:val="0"/>
          <w:numId w:val="11"/>
        </w:numPr>
        <w:spacing w:after="120" w:line="240" w:lineRule="auto"/>
        <w:ind w:left="715" w:hanging="357"/>
        <w:contextualSpacing w:val="0"/>
        <w:rPr>
          <w:szCs w:val="24"/>
          <w:u w:val="single"/>
        </w:rPr>
      </w:pPr>
      <w:r w:rsidRPr="001B134E">
        <w:rPr>
          <w:szCs w:val="24"/>
        </w:rPr>
        <w:t xml:space="preserve">Vedle výše uvedených objektivních důvodů je pro starší osoby limitující rovněž samotný fakt blížícího se odchodu do důchodu, a to čím blíže je daná osoba věkové hranici odchodu do důchodu, tím více obtížné je její uplatnění na trhu práce bez ohledu na výše uvedené objektivní faktory. </w:t>
      </w:r>
    </w:p>
    <w:p w:rsidR="002424FF" w:rsidRPr="001B134E" w:rsidRDefault="002424FF" w:rsidP="002424FF">
      <w:pPr>
        <w:pStyle w:val="Odstavecseseznamem"/>
        <w:numPr>
          <w:ilvl w:val="0"/>
          <w:numId w:val="11"/>
        </w:numPr>
        <w:spacing w:after="120" w:line="240" w:lineRule="auto"/>
        <w:ind w:left="715" w:hanging="357"/>
        <w:contextualSpacing w:val="0"/>
        <w:rPr>
          <w:szCs w:val="24"/>
          <w:u w:val="single"/>
        </w:rPr>
      </w:pPr>
      <w:r w:rsidRPr="001B134E">
        <w:rPr>
          <w:szCs w:val="24"/>
        </w:rPr>
        <w:t xml:space="preserve">Snižuje se motivace zaměstnavatele takovouto osobu zaměstnat, neboť v tomto případě existuje zvýšená pravděpodobnost, že v dohledné době bude muset zaměstnavatel za tuto osobu hledat náhradu. </w:t>
      </w:r>
    </w:p>
    <w:p w:rsidR="002424FF" w:rsidRPr="001B134E" w:rsidRDefault="002424FF" w:rsidP="002424FF">
      <w:pPr>
        <w:pStyle w:val="Odstavecseseznamem"/>
        <w:numPr>
          <w:ilvl w:val="0"/>
          <w:numId w:val="11"/>
        </w:numPr>
        <w:spacing w:after="120" w:line="240" w:lineRule="auto"/>
        <w:ind w:left="715" w:hanging="357"/>
        <w:contextualSpacing w:val="0"/>
        <w:rPr>
          <w:szCs w:val="24"/>
        </w:rPr>
      </w:pPr>
      <w:r w:rsidRPr="001B134E">
        <w:rPr>
          <w:szCs w:val="24"/>
        </w:rPr>
        <w:t>S ohledem na výše uvedený předpoklad snižujících se pracovních schopností vyplývajících jak z nižšího vzdělání, tak zejména ze zdravotních omezení, se v případě seniorů zvyšují obavy zaměstnavatele z možnosti ukončit pracovní poměr v souladu s pracovní legislativou v případě ztráty pracovních schopností zaměstnance z důvodu vysokého věku. V takovém případě je pro zaměstnavatele výhodnější starší osobu vůbec nezaměstnat.</w:t>
      </w:r>
    </w:p>
    <w:p w:rsidR="002424FF" w:rsidRPr="001B134E" w:rsidRDefault="002424FF" w:rsidP="002424FF">
      <w:pPr>
        <w:pStyle w:val="Odstavecseseznamem"/>
        <w:numPr>
          <w:ilvl w:val="0"/>
          <w:numId w:val="11"/>
        </w:numPr>
        <w:spacing w:after="120" w:line="240" w:lineRule="auto"/>
        <w:ind w:left="715" w:hanging="357"/>
        <w:contextualSpacing w:val="0"/>
        <w:rPr>
          <w:szCs w:val="24"/>
        </w:rPr>
      </w:pPr>
      <w:r w:rsidRPr="001B134E">
        <w:rPr>
          <w:szCs w:val="24"/>
        </w:rPr>
        <w:t>Na straně nezaměstnaných seniorů se s přibližujícím věkem odchodu do důchodu významně snižuje motivace nalézt nové pracovní uplatnění, které by mělo v tomto případě, kdy se osoba skutečně rozhodne odejít do důchodu, pouze přechodný charakter.</w:t>
      </w:r>
    </w:p>
    <w:p w:rsidR="002424FF" w:rsidRPr="001B134E" w:rsidRDefault="002424FF" w:rsidP="002424FF">
      <w:pPr>
        <w:rPr>
          <w:szCs w:val="24"/>
          <w:u w:val="single"/>
        </w:rPr>
      </w:pPr>
      <w:r w:rsidRPr="001B134E">
        <w:rPr>
          <w:szCs w:val="24"/>
          <w:u w:val="single"/>
        </w:rPr>
        <w:t>Subjektivní důvody</w:t>
      </w:r>
    </w:p>
    <w:p w:rsidR="002424FF" w:rsidRPr="001B134E" w:rsidRDefault="002424FF" w:rsidP="002424FF">
      <w:pPr>
        <w:pStyle w:val="Odstavecseseznamem"/>
        <w:numPr>
          <w:ilvl w:val="0"/>
          <w:numId w:val="12"/>
        </w:numPr>
        <w:spacing w:after="120" w:line="240" w:lineRule="auto"/>
        <w:ind w:left="715" w:hanging="357"/>
        <w:contextualSpacing w:val="0"/>
        <w:rPr>
          <w:szCs w:val="24"/>
          <w:u w:val="single"/>
        </w:rPr>
      </w:pPr>
      <w:r w:rsidRPr="001B134E">
        <w:rPr>
          <w:szCs w:val="24"/>
        </w:rPr>
        <w:t>Lze je nalézt jak na straně zaměstnanců/nezaměstnaných, tak na straně zaměstnavatelů</w:t>
      </w:r>
    </w:p>
    <w:p w:rsidR="002424FF" w:rsidRPr="001B134E" w:rsidRDefault="002424FF" w:rsidP="002424FF">
      <w:pPr>
        <w:pStyle w:val="Odstavecseseznamem"/>
        <w:numPr>
          <w:ilvl w:val="0"/>
          <w:numId w:val="12"/>
        </w:numPr>
        <w:spacing w:after="120" w:line="240" w:lineRule="auto"/>
        <w:ind w:left="715" w:hanging="357"/>
        <w:contextualSpacing w:val="0"/>
        <w:rPr>
          <w:szCs w:val="24"/>
          <w:u w:val="single"/>
        </w:rPr>
      </w:pPr>
      <w:r w:rsidRPr="001B134E">
        <w:rPr>
          <w:szCs w:val="24"/>
        </w:rPr>
        <w:t>V případě nezaměstnaných osob se jedná o ztrátu sebedůvěry, která může být navíc násobena opakovaným selháním při snaze nalézt si pracovní uplatnění, a pozbytí naděje na úspěch, což vede k rezignaci ve snaze hledat pracovní uplatnění a omezí se na vyčkávání vzniku nároku na důchod.</w:t>
      </w:r>
    </w:p>
    <w:p w:rsidR="002424FF" w:rsidRPr="001B134E" w:rsidRDefault="002424FF" w:rsidP="002424FF">
      <w:pPr>
        <w:pStyle w:val="Odstavecseseznamem"/>
        <w:numPr>
          <w:ilvl w:val="0"/>
          <w:numId w:val="12"/>
        </w:numPr>
        <w:spacing w:after="120" w:line="240" w:lineRule="auto"/>
        <w:ind w:left="715" w:hanging="357"/>
        <w:contextualSpacing w:val="0"/>
        <w:rPr>
          <w:szCs w:val="24"/>
          <w:u w:val="single"/>
        </w:rPr>
      </w:pPr>
      <w:r w:rsidRPr="001B134E">
        <w:rPr>
          <w:szCs w:val="24"/>
        </w:rPr>
        <w:t>U starších osob je rovněž zjevná nižší flexibilita, menší ochota dojíždět či přestěhovat se za prací.</w:t>
      </w:r>
    </w:p>
    <w:p w:rsidR="002424FF" w:rsidRPr="001B134E" w:rsidRDefault="002424FF" w:rsidP="002424FF">
      <w:pPr>
        <w:pStyle w:val="Odstavecseseznamem"/>
        <w:numPr>
          <w:ilvl w:val="0"/>
          <w:numId w:val="12"/>
        </w:numPr>
        <w:spacing w:after="120" w:line="240" w:lineRule="auto"/>
        <w:ind w:left="715" w:hanging="357"/>
        <w:contextualSpacing w:val="0"/>
        <w:rPr>
          <w:szCs w:val="24"/>
          <w:u w:val="single"/>
        </w:rPr>
      </w:pPr>
      <w:r w:rsidRPr="001B134E">
        <w:rPr>
          <w:szCs w:val="24"/>
        </w:rPr>
        <w:t>Na straně zaměstnavatelů hrají dominantní vliv mezi subjektivními faktory zejména předsudky vůči starším generacím, které vycházejí i z objektivních příčin (viz zdravotní stav a vzdělání) generalizovaných na celou populaci 55+.</w:t>
      </w:r>
    </w:p>
    <w:p w:rsidR="002424FF" w:rsidRDefault="002424FF" w:rsidP="002424FF">
      <w:pPr>
        <w:rPr>
          <w:b/>
          <w:szCs w:val="24"/>
        </w:rPr>
      </w:pPr>
      <w:r w:rsidRPr="001B134E">
        <w:rPr>
          <w:szCs w:val="24"/>
        </w:rPr>
        <w:t>Mimo výše uvedené faktory může starší osoby na trhu práce limitovat rovněž rodinné zázemí, a to zejména v </w:t>
      </w:r>
      <w:r w:rsidRPr="001B134E">
        <w:rPr>
          <w:b/>
          <w:szCs w:val="24"/>
        </w:rPr>
        <w:t xml:space="preserve">podobě zajištění péče o blízkou osobu, a to jak osobu v různých stupních závislosti </w:t>
      </w:r>
      <w:r w:rsidRPr="001B134E">
        <w:rPr>
          <w:szCs w:val="24"/>
        </w:rPr>
        <w:t>(manželé, partneři, rodiče)</w:t>
      </w:r>
      <w:r w:rsidRPr="001B134E">
        <w:rPr>
          <w:b/>
          <w:szCs w:val="24"/>
        </w:rPr>
        <w:t xml:space="preserve">, tak například </w:t>
      </w:r>
      <w:r w:rsidR="001B134E">
        <w:rPr>
          <w:b/>
          <w:szCs w:val="24"/>
        </w:rPr>
        <w:t>i o </w:t>
      </w:r>
      <w:r w:rsidRPr="001B134E">
        <w:rPr>
          <w:b/>
          <w:szCs w:val="24"/>
        </w:rPr>
        <w:t xml:space="preserve">vnoučata. </w:t>
      </w:r>
      <w:r w:rsidRPr="001B134E">
        <w:rPr>
          <w:szCs w:val="24"/>
        </w:rPr>
        <w:t xml:space="preserve">Tento jev se nazývá tzv. jevem „sendvičové generace“, kdy mezi seniory, zejména ženami, je vyšší procento osob, které se zabývají péčí jak o starší osoby, tj. zejména své rodiče, tak zajišťují péči o vnoučata. </w:t>
      </w:r>
      <w:r w:rsidRPr="001B134E">
        <w:rPr>
          <w:b/>
          <w:szCs w:val="24"/>
        </w:rPr>
        <w:t>Tento jev však nelze ze statistických dat jednoznačně podchytit.</w:t>
      </w:r>
    </w:p>
    <w:p w:rsidR="00636531" w:rsidRPr="004E2383" w:rsidRDefault="00636531" w:rsidP="007B5796">
      <w:pPr>
        <w:pStyle w:val="Nadpis3"/>
      </w:pPr>
      <w:bookmarkStart w:id="103" w:name="_Toc509474143"/>
      <w:r w:rsidRPr="004E2383">
        <w:t>Opatření</w:t>
      </w:r>
      <w:r>
        <w:t xml:space="preserve"> pro skupinu 55+</w:t>
      </w:r>
      <w:bookmarkEnd w:id="103"/>
    </w:p>
    <w:p w:rsidR="00636531" w:rsidRPr="00636531" w:rsidRDefault="00636531" w:rsidP="00636531">
      <w:pPr>
        <w:rPr>
          <w:szCs w:val="20"/>
        </w:rPr>
      </w:pPr>
      <w:r w:rsidRPr="00636531">
        <w:rPr>
          <w:szCs w:val="20"/>
        </w:rPr>
        <w:t>Starším osobám je ze strany ÚP ČR věnována zvýšená pozornost, což mimo jiné ukládá UP ČR při zprostředkování zaměst</w:t>
      </w:r>
      <w:r w:rsidR="003B69A2">
        <w:rPr>
          <w:szCs w:val="20"/>
        </w:rPr>
        <w:t>nání i zákon č. 435/2004 Sb., o </w:t>
      </w:r>
      <w:r w:rsidRPr="00636531">
        <w:rPr>
          <w:szCs w:val="20"/>
        </w:rPr>
        <w:t>zaměstnanosti, ve znění pozdějších předpisů, a to konkrétně v § 33.</w:t>
      </w:r>
    </w:p>
    <w:p w:rsidR="00636531" w:rsidRPr="00DB47CD" w:rsidRDefault="00636531" w:rsidP="00636531">
      <w:pPr>
        <w:pStyle w:val="Odstavecseseznamem"/>
        <w:keepNext/>
        <w:keepLines/>
        <w:numPr>
          <w:ilvl w:val="0"/>
          <w:numId w:val="17"/>
        </w:numPr>
        <w:spacing w:before="200" w:after="120"/>
        <w:contextualSpacing w:val="0"/>
        <w:outlineLvl w:val="2"/>
        <w:rPr>
          <w:rFonts w:eastAsiaTheme="majorEastAsia" w:cstheme="majorBidi"/>
          <w:bCs/>
          <w:i/>
          <w:vanish/>
          <w:sz w:val="20"/>
        </w:rPr>
      </w:pPr>
      <w:bookmarkStart w:id="104" w:name="_Toc508629372"/>
      <w:bookmarkStart w:id="105" w:name="_Toc508629405"/>
      <w:bookmarkStart w:id="106" w:name="_Toc508640517"/>
      <w:bookmarkStart w:id="107" w:name="_Toc508704187"/>
      <w:bookmarkStart w:id="108" w:name="_Toc508713692"/>
      <w:bookmarkStart w:id="109" w:name="_Toc509474144"/>
      <w:bookmarkEnd w:id="104"/>
      <w:bookmarkEnd w:id="105"/>
      <w:bookmarkEnd w:id="106"/>
      <w:bookmarkEnd w:id="107"/>
      <w:bookmarkEnd w:id="108"/>
      <w:bookmarkEnd w:id="109"/>
    </w:p>
    <w:p w:rsidR="00636531" w:rsidRPr="00636531" w:rsidRDefault="00636531" w:rsidP="00636531">
      <w:pPr>
        <w:rPr>
          <w:u w:val="single"/>
        </w:rPr>
      </w:pPr>
      <w:r w:rsidRPr="00636531">
        <w:rPr>
          <w:u w:val="single"/>
        </w:rPr>
        <w:t>Pasivní politika zaměstnanosti</w:t>
      </w:r>
    </w:p>
    <w:p w:rsidR="00636531" w:rsidRPr="00636531" w:rsidRDefault="00636531" w:rsidP="00636531">
      <w:pPr>
        <w:rPr>
          <w:szCs w:val="20"/>
        </w:rPr>
      </w:pPr>
      <w:r w:rsidRPr="00636531">
        <w:rPr>
          <w:szCs w:val="20"/>
        </w:rPr>
        <w:t xml:space="preserve">Jako jediné skupině je </w:t>
      </w:r>
      <w:r w:rsidRPr="00636531">
        <w:rPr>
          <w:b/>
          <w:szCs w:val="20"/>
        </w:rPr>
        <w:t>starším osobám věnována v oblasti politiky zaměstnanosti zvýšená ochrana rovněž v rámci pasivní politiky zaměstnanosti</w:t>
      </w:r>
      <w:r w:rsidRPr="00636531">
        <w:rPr>
          <w:szCs w:val="20"/>
        </w:rPr>
        <w:t>, a to z důvodu, že dlouhodobě je předpokládáno obtížnější uplatnění této skupiny na trhu práce, a tedy delší setrvání v evidenci uchazečů o zaměstnání. Délka podpůrčí doby podpory v nezaměstnanosti je proto, podle § 43 zákona o zaměstnanosti, odstupňována v závislosti na věku dosaženém v době podání žádosti o podporu v nezaměstnanosti:</w:t>
      </w:r>
    </w:p>
    <w:p w:rsidR="00636531" w:rsidRPr="00636531" w:rsidRDefault="00636531" w:rsidP="00636531">
      <w:pPr>
        <w:pStyle w:val="Odstavecseseznamem"/>
        <w:numPr>
          <w:ilvl w:val="0"/>
          <w:numId w:val="15"/>
        </w:numPr>
        <w:spacing w:after="120" w:line="240" w:lineRule="auto"/>
        <w:rPr>
          <w:szCs w:val="20"/>
        </w:rPr>
      </w:pPr>
      <w:r w:rsidRPr="00636531">
        <w:rPr>
          <w:szCs w:val="20"/>
        </w:rPr>
        <w:t>do 50 let, podpůrčí doba 5 měsíců</w:t>
      </w:r>
    </w:p>
    <w:p w:rsidR="00636531" w:rsidRPr="00636531" w:rsidRDefault="00636531" w:rsidP="00636531">
      <w:pPr>
        <w:pStyle w:val="Odstavecseseznamem"/>
        <w:numPr>
          <w:ilvl w:val="0"/>
          <w:numId w:val="15"/>
        </w:numPr>
        <w:spacing w:after="120" w:line="240" w:lineRule="auto"/>
        <w:rPr>
          <w:szCs w:val="20"/>
        </w:rPr>
      </w:pPr>
      <w:r w:rsidRPr="00636531">
        <w:rPr>
          <w:szCs w:val="20"/>
        </w:rPr>
        <w:t>nad 50 let a do 55 let, podpůrčí doba 8 měsíců</w:t>
      </w:r>
    </w:p>
    <w:p w:rsidR="00636531" w:rsidRPr="00636531" w:rsidRDefault="00636531" w:rsidP="00636531">
      <w:pPr>
        <w:pStyle w:val="Odstavecseseznamem"/>
        <w:numPr>
          <w:ilvl w:val="0"/>
          <w:numId w:val="15"/>
        </w:numPr>
        <w:spacing w:after="120" w:line="240" w:lineRule="auto"/>
        <w:rPr>
          <w:szCs w:val="20"/>
        </w:rPr>
      </w:pPr>
      <w:r w:rsidRPr="00636531">
        <w:rPr>
          <w:szCs w:val="20"/>
        </w:rPr>
        <w:t>nad 55 let, podpůrčí doba 11 měsíců</w:t>
      </w:r>
    </w:p>
    <w:p w:rsidR="00636531" w:rsidRPr="00636531" w:rsidRDefault="00636531" w:rsidP="00636531">
      <w:pPr>
        <w:rPr>
          <w:b/>
          <w:szCs w:val="20"/>
        </w:rPr>
      </w:pPr>
      <w:r w:rsidRPr="00636531">
        <w:rPr>
          <w:b/>
          <w:szCs w:val="20"/>
        </w:rPr>
        <w:t>K 31. 12. 2017 však ÚP ČR evidoval pouze 12</w:t>
      </w:r>
      <w:r w:rsidR="003B69A2">
        <w:rPr>
          <w:b/>
          <w:szCs w:val="20"/>
        </w:rPr>
        <w:t>,1 % osob ze skupiny uchazečů o </w:t>
      </w:r>
      <w:r w:rsidRPr="00636531">
        <w:rPr>
          <w:b/>
          <w:szCs w:val="20"/>
        </w:rPr>
        <w:t>zaměstnání pobírajících podporu v nezaměstnan</w:t>
      </w:r>
      <w:r w:rsidR="00636031">
        <w:rPr>
          <w:b/>
          <w:szCs w:val="20"/>
        </w:rPr>
        <w:t>osti, které byly v evidenci 6 </w:t>
      </w:r>
      <w:r w:rsidR="003B69A2">
        <w:rPr>
          <w:b/>
          <w:szCs w:val="20"/>
        </w:rPr>
        <w:t>a </w:t>
      </w:r>
      <w:r w:rsidRPr="00636531">
        <w:rPr>
          <w:b/>
          <w:szCs w:val="20"/>
        </w:rPr>
        <w:t xml:space="preserve">více měsíců. </w:t>
      </w:r>
      <w:r w:rsidRPr="00636531">
        <w:rPr>
          <w:szCs w:val="20"/>
        </w:rPr>
        <w:t>Absolutně se jednalo o 10 329 osob, tedy podíl uchazečů pobírajících podporu s evidencí 6 a více měsí</w:t>
      </w:r>
      <w:r w:rsidR="00636031">
        <w:rPr>
          <w:szCs w:val="20"/>
        </w:rPr>
        <w:t>ců na celkovém počtu uchazečů o </w:t>
      </w:r>
      <w:r w:rsidRPr="00636531">
        <w:rPr>
          <w:szCs w:val="20"/>
        </w:rPr>
        <w:t>zaměstnání, kteří byli evidováni 6 a více měsíců, činil 7,6 % a lze tedy dovodit</w:t>
      </w:r>
      <w:r w:rsidRPr="00636531">
        <w:rPr>
          <w:b/>
          <w:szCs w:val="20"/>
        </w:rPr>
        <w:t>, že delší pobírání podpory v nezaměstnanosti není významným důvodem pro setrvávání v evidenci uchazečů o zaměstnání.</w:t>
      </w:r>
    </w:p>
    <w:p w:rsidR="00636531" w:rsidRPr="00636531" w:rsidRDefault="00636531" w:rsidP="00636531">
      <w:pPr>
        <w:rPr>
          <w:u w:val="single"/>
        </w:rPr>
      </w:pPr>
      <w:r w:rsidRPr="00636531">
        <w:rPr>
          <w:u w:val="single"/>
        </w:rPr>
        <w:t>Aktivní politika zaměstnanosti (APZ)</w:t>
      </w:r>
    </w:p>
    <w:p w:rsidR="00636531" w:rsidRPr="00636531" w:rsidRDefault="00636531" w:rsidP="00636531">
      <w:pPr>
        <w:pStyle w:val="Odstavecseseznamem"/>
        <w:numPr>
          <w:ilvl w:val="0"/>
          <w:numId w:val="16"/>
        </w:numPr>
        <w:spacing w:after="120" w:line="240" w:lineRule="auto"/>
        <w:ind w:left="426" w:hanging="357"/>
        <w:contextualSpacing w:val="0"/>
        <w:rPr>
          <w:szCs w:val="20"/>
        </w:rPr>
      </w:pPr>
      <w:r w:rsidRPr="00636531">
        <w:rPr>
          <w:szCs w:val="20"/>
        </w:rPr>
        <w:t>Starší osoby jsou dlouhodobě cílovou skupinou pro opatření aktivní politiky zaměstnanosti</w:t>
      </w:r>
    </w:p>
    <w:p w:rsidR="00636531" w:rsidRPr="00636531" w:rsidRDefault="00636531" w:rsidP="00636531">
      <w:pPr>
        <w:pStyle w:val="Odstavecseseznamem"/>
        <w:numPr>
          <w:ilvl w:val="0"/>
          <w:numId w:val="16"/>
        </w:numPr>
        <w:spacing w:after="120" w:line="240" w:lineRule="auto"/>
        <w:ind w:left="426" w:hanging="357"/>
        <w:contextualSpacing w:val="0"/>
        <w:rPr>
          <w:b/>
          <w:szCs w:val="20"/>
        </w:rPr>
      </w:pPr>
      <w:r w:rsidRPr="00636531">
        <w:rPr>
          <w:szCs w:val="20"/>
        </w:rPr>
        <w:t xml:space="preserve">pro podporu starších osob jsou z hlediska nástrojů APZ </w:t>
      </w:r>
      <w:r w:rsidRPr="00636531">
        <w:rPr>
          <w:b/>
          <w:szCs w:val="20"/>
        </w:rPr>
        <w:t>nejzásadnější veřejně prospěšné práce (VPP)</w:t>
      </w:r>
      <w:r w:rsidRPr="00636531">
        <w:rPr>
          <w:szCs w:val="20"/>
        </w:rPr>
        <w:t>. Podíl starších osob (nad 55 let věku) na celkovém počtu podpořených uchazečů o zaměstnání nástrojem VPP v roce 2017 činil 26,9 %. Z toho 31,9 % bylo v evidenci uchazečů o zaměstnání vedeno déle než 12 měsíců. Dlouhodobě nezaměstnaní uchazeči o zaměstnání starší 55 let tak tvořili 8,6 % všech osob podpořených VPP.</w:t>
      </w:r>
    </w:p>
    <w:p w:rsidR="00636531" w:rsidRPr="00636531" w:rsidRDefault="00636531" w:rsidP="00636531">
      <w:pPr>
        <w:pStyle w:val="Odstavecseseznamem"/>
        <w:numPr>
          <w:ilvl w:val="0"/>
          <w:numId w:val="16"/>
        </w:numPr>
        <w:spacing w:after="120" w:line="240" w:lineRule="auto"/>
        <w:ind w:left="426" w:hanging="357"/>
        <w:contextualSpacing w:val="0"/>
        <w:rPr>
          <w:b/>
          <w:szCs w:val="20"/>
        </w:rPr>
      </w:pPr>
      <w:r w:rsidRPr="00636531">
        <w:rPr>
          <w:szCs w:val="20"/>
        </w:rPr>
        <w:t>druhým nejčastěji využívaným opatřením APZ v případě starších osob jsou rekvalifikace</w:t>
      </w:r>
      <w:r w:rsidRPr="00636531">
        <w:rPr>
          <w:b/>
          <w:szCs w:val="20"/>
        </w:rPr>
        <w:t>, když podíl osob nad 55 let věku činil 13,8 % ze všech uchazečů o zaměstnání zařazených do rekvalifikačních kurzů,</w:t>
      </w:r>
      <w:r w:rsidRPr="00636531">
        <w:rPr>
          <w:szCs w:val="20"/>
        </w:rPr>
        <w:t xml:space="preserve"> z toho 38,7 % bylo dlouhodobě nezaměstnáno, dlouhodobě nezaměstnané osoby starší 55 let tak činily 5,3 % všech účastníků rekvalifikačních kurzů. </w:t>
      </w:r>
      <w:r w:rsidRPr="00636531">
        <w:rPr>
          <w:b/>
          <w:szCs w:val="20"/>
        </w:rPr>
        <w:t xml:space="preserve">Výrazně méně starší osoby využívaly tzv. zvolených rekvalifikací, když jejich podíl na celkově podpořených osobách činil jen 6,1 % </w:t>
      </w:r>
      <w:r w:rsidRPr="00636531">
        <w:rPr>
          <w:szCs w:val="20"/>
        </w:rPr>
        <w:t>(z toho 21,9 % dlouhodobě nezaměstnaných – absolutně pouze 90 osob)</w:t>
      </w:r>
      <w:r w:rsidRPr="00636531">
        <w:rPr>
          <w:b/>
          <w:szCs w:val="20"/>
        </w:rPr>
        <w:t>.</w:t>
      </w:r>
      <w:r w:rsidRPr="00636531">
        <w:rPr>
          <w:szCs w:val="20"/>
        </w:rPr>
        <w:t xml:space="preserve"> Zvolená rekvalifikace se však využívá zejména u osob s vyšší motivací k uplatnění se na trhu práce, jistou roli může rovněž sehrát skutečnost, že v případě zvolené rekvalifikace není uchazeči o zaměstnání poskytována podpora v rekvalifikaci, což zejména u dlouhodobě nezaměstnaných osob, které již vyčerpaly podpůrčí dobu podpory v nezaměstnanosti, může být limitujícím faktorem v účasti na rekvalifikačních kurzech.</w:t>
      </w:r>
    </w:p>
    <w:p w:rsidR="00636531" w:rsidRPr="00636531" w:rsidRDefault="00636531" w:rsidP="00636531">
      <w:pPr>
        <w:pStyle w:val="Odstavecseseznamem"/>
        <w:numPr>
          <w:ilvl w:val="0"/>
          <w:numId w:val="16"/>
        </w:numPr>
        <w:spacing w:after="120" w:line="240" w:lineRule="auto"/>
        <w:ind w:left="426" w:hanging="357"/>
        <w:contextualSpacing w:val="0"/>
        <w:rPr>
          <w:b/>
          <w:szCs w:val="20"/>
        </w:rPr>
      </w:pPr>
      <w:r w:rsidRPr="00636531">
        <w:rPr>
          <w:szCs w:val="20"/>
        </w:rPr>
        <w:t xml:space="preserve">poměrně obdobně jako v případě rekvalifikací byly starší osoby zastoupeny mezi podpořenými nástrojem společensky účelné pracovní místo vyhrazené </w:t>
      </w:r>
      <w:r w:rsidR="00551CC6">
        <w:rPr>
          <w:b/>
          <w:szCs w:val="20"/>
        </w:rPr>
        <w:t>(SÚ</w:t>
      </w:r>
      <w:r w:rsidRPr="00636531">
        <w:rPr>
          <w:b/>
          <w:szCs w:val="20"/>
        </w:rPr>
        <w:t>PM), a to s podílem 13,5 %</w:t>
      </w:r>
      <w:r w:rsidRPr="00636531">
        <w:rPr>
          <w:szCs w:val="20"/>
        </w:rPr>
        <w:t>,</w:t>
      </w:r>
      <w:r w:rsidRPr="00636531">
        <w:rPr>
          <w:b/>
          <w:szCs w:val="20"/>
        </w:rPr>
        <w:t xml:space="preserve"> z toho však 59,2 % bylo evidováno déle než 12 měsíců, to je téměř 2x více než v případě VPP</w:t>
      </w:r>
      <w:r w:rsidRPr="00636531">
        <w:rPr>
          <w:szCs w:val="20"/>
        </w:rPr>
        <w:t xml:space="preserve"> a dlouhodobě nezaměstnaní uchazeči starší 55 let se na celkovém poč</w:t>
      </w:r>
      <w:r w:rsidR="00551CC6">
        <w:rPr>
          <w:szCs w:val="20"/>
        </w:rPr>
        <w:t>tu osob podpořených nástrojem SÚ</w:t>
      </w:r>
      <w:r w:rsidRPr="00636531">
        <w:rPr>
          <w:szCs w:val="20"/>
        </w:rPr>
        <w:t>PM podílely téměř 8 %.</w:t>
      </w:r>
    </w:p>
    <w:p w:rsidR="00636531" w:rsidRPr="00636531" w:rsidRDefault="00636531" w:rsidP="00636531">
      <w:pPr>
        <w:pStyle w:val="Odstavecseseznamem"/>
        <w:numPr>
          <w:ilvl w:val="0"/>
          <w:numId w:val="16"/>
        </w:numPr>
        <w:spacing w:after="120" w:line="240" w:lineRule="auto"/>
        <w:ind w:left="426" w:hanging="357"/>
        <w:contextualSpacing w:val="0"/>
        <w:rPr>
          <w:b/>
          <w:szCs w:val="20"/>
        </w:rPr>
      </w:pPr>
      <w:r w:rsidRPr="00636531">
        <w:rPr>
          <w:szCs w:val="20"/>
        </w:rPr>
        <w:t xml:space="preserve">starší osoby jsou s ohledem na svůj zhoršující se zdravotní stav a vyšší podíl invalidních osob ve sledované věkové skupině častěji zastoupeny rovněž v nástrojích a opatřeních zaměřených na podporu OZP. V případě </w:t>
      </w:r>
      <w:r w:rsidRPr="00636531">
        <w:rPr>
          <w:b/>
          <w:szCs w:val="20"/>
        </w:rPr>
        <w:t>pracovní rehabilitace se jedná o podíl 16,8 %</w:t>
      </w:r>
      <w:r w:rsidRPr="00636531">
        <w:rPr>
          <w:szCs w:val="20"/>
        </w:rPr>
        <w:t xml:space="preserve"> starších 55 let na všech podpořených osobách, v případě </w:t>
      </w:r>
      <w:r w:rsidRPr="00636531">
        <w:rPr>
          <w:b/>
          <w:szCs w:val="20"/>
        </w:rPr>
        <w:t>chráněných pracovních míst</w:t>
      </w:r>
      <w:r w:rsidRPr="00636531">
        <w:rPr>
          <w:rStyle w:val="Znakapoznpodarou"/>
          <w:b/>
          <w:szCs w:val="20"/>
        </w:rPr>
        <w:footnoteReference w:id="22"/>
      </w:r>
      <w:r w:rsidRPr="00636531">
        <w:rPr>
          <w:b/>
          <w:szCs w:val="20"/>
        </w:rPr>
        <w:t xml:space="preserve"> o podíl 9,3 %</w:t>
      </w:r>
      <w:r w:rsidRPr="00636531">
        <w:rPr>
          <w:szCs w:val="20"/>
        </w:rPr>
        <w:t>. V obou případech činil podíl dlouhodobě nezaměstnaných seniorů více jak polovinu, nicméně v absolutních číslech se jedná o zanedbatelné množství osob s ohledem na nízkou četnost využívání těchto nástrojů APZ.</w:t>
      </w:r>
    </w:p>
    <w:p w:rsidR="00636531" w:rsidRPr="00302C26" w:rsidRDefault="00636531" w:rsidP="007B5796">
      <w:pPr>
        <w:pStyle w:val="Nadpis3"/>
      </w:pPr>
      <w:bookmarkStart w:id="110" w:name="_Toc509474145"/>
      <w:r w:rsidRPr="00302C26">
        <w:t>Osoby se zdravotním postižením</w:t>
      </w:r>
      <w:bookmarkEnd w:id="110"/>
    </w:p>
    <w:p w:rsidR="00636531" w:rsidRPr="00636531" w:rsidRDefault="00636531" w:rsidP="00636531">
      <w:pPr>
        <w:rPr>
          <w:szCs w:val="24"/>
        </w:rPr>
      </w:pPr>
      <w:r w:rsidRPr="00636531">
        <w:rPr>
          <w:szCs w:val="24"/>
        </w:rPr>
        <w:t xml:space="preserve">Druhou skupinou znevýhodněných osob, jejichž podíl na uchazečích o zaměstnání s prodlužující se dobou evidence narůstá, jsou osoby se zdravotním postižením (OZP). Zatímco v celkovém počtu uchazečů o zaměstnání činí jejich podíl 16,4 % mezi dlouhodobě nezaměstnanými uchazeči je jejich podíl odhadován o téměř 8,5 p. b. </w:t>
      </w:r>
      <w:proofErr w:type="gramStart"/>
      <w:r w:rsidRPr="00636531">
        <w:rPr>
          <w:szCs w:val="24"/>
        </w:rPr>
        <w:t>vyšší</w:t>
      </w:r>
      <w:proofErr w:type="gramEnd"/>
      <w:r w:rsidRPr="00636531">
        <w:rPr>
          <w:szCs w:val="24"/>
        </w:rPr>
        <w:t xml:space="preserve">, a to 24,9 %. V případě nezaměstnaných nad 24 měsíců je pak podíl této skupiny ještě o 1 p. b. </w:t>
      </w:r>
      <w:proofErr w:type="gramStart"/>
      <w:r w:rsidRPr="00636531">
        <w:rPr>
          <w:szCs w:val="24"/>
        </w:rPr>
        <w:t>vyšší</w:t>
      </w:r>
      <w:proofErr w:type="gramEnd"/>
      <w:r w:rsidRPr="00636531">
        <w:rPr>
          <w:szCs w:val="24"/>
        </w:rPr>
        <w:t>. Pro účely politiky zaměstnanosti, zákona o zaměstnanosti, se za tyto osoby považují nejenom OZP v různých stupních invalidity, ale rovněž osoby zdravotně znevýhodněné. Jedná se o skupinu osob, které mají objektivní bariéry při vstupu na trh práce vyplývající z jejich zdravotních omezení a které se projevují specifickými potřebami na úpravu pracoviště, pracovní asistenci a ve sníženém pracovním potenciálu. Ten však fakticky závisí zejména na typu postižení a druhu vykonávané práce. U OZP se však projevují i další negativa zdravotního omezení, která si sebou OZP nesou již před vstupem na trh práce, a to například z důvodu ztíženého přístupu ke vzdělání.</w:t>
      </w:r>
    </w:p>
    <w:p w:rsidR="00636531" w:rsidRPr="003A122F" w:rsidRDefault="00636531" w:rsidP="00636531">
      <w:pPr>
        <w:pStyle w:val="Odstavecseseznamem"/>
        <w:keepNext/>
        <w:keepLines/>
        <w:numPr>
          <w:ilvl w:val="0"/>
          <w:numId w:val="22"/>
        </w:numPr>
        <w:spacing w:before="200" w:after="120"/>
        <w:contextualSpacing w:val="0"/>
        <w:outlineLvl w:val="2"/>
        <w:rPr>
          <w:rFonts w:eastAsiaTheme="majorEastAsia" w:cstheme="majorBidi"/>
          <w:bCs/>
          <w:i/>
          <w:vanish/>
          <w:sz w:val="20"/>
        </w:rPr>
      </w:pPr>
      <w:bookmarkStart w:id="111" w:name="_Toc508629374"/>
      <w:bookmarkStart w:id="112" w:name="_Toc508629407"/>
      <w:bookmarkStart w:id="113" w:name="_Toc508640519"/>
      <w:bookmarkStart w:id="114" w:name="_Toc508704189"/>
      <w:bookmarkStart w:id="115" w:name="_Toc508713694"/>
      <w:bookmarkStart w:id="116" w:name="_Toc509474146"/>
      <w:bookmarkEnd w:id="111"/>
      <w:bookmarkEnd w:id="112"/>
      <w:bookmarkEnd w:id="113"/>
      <w:bookmarkEnd w:id="114"/>
      <w:bookmarkEnd w:id="115"/>
      <w:bookmarkEnd w:id="116"/>
    </w:p>
    <w:p w:rsidR="00636531" w:rsidRPr="00DB47CD" w:rsidRDefault="00636531" w:rsidP="00636531">
      <w:pPr>
        <w:pStyle w:val="Odstavecseseznamem"/>
        <w:keepNext/>
        <w:keepLines/>
        <w:numPr>
          <w:ilvl w:val="0"/>
          <w:numId w:val="17"/>
        </w:numPr>
        <w:spacing w:before="200" w:after="120"/>
        <w:contextualSpacing w:val="0"/>
        <w:outlineLvl w:val="2"/>
        <w:rPr>
          <w:rFonts w:eastAsiaTheme="majorEastAsia" w:cstheme="majorBidi"/>
          <w:bCs/>
          <w:i/>
          <w:vanish/>
          <w:sz w:val="20"/>
          <w:u w:val="single"/>
        </w:rPr>
      </w:pPr>
      <w:bookmarkStart w:id="117" w:name="_Toc508629375"/>
      <w:bookmarkStart w:id="118" w:name="_Toc508629408"/>
      <w:bookmarkStart w:id="119" w:name="_Toc508640520"/>
      <w:bookmarkStart w:id="120" w:name="_Toc508704190"/>
      <w:bookmarkStart w:id="121" w:name="_Toc508713695"/>
      <w:bookmarkStart w:id="122" w:name="_Toc509474147"/>
      <w:bookmarkEnd w:id="117"/>
      <w:bookmarkEnd w:id="118"/>
      <w:bookmarkEnd w:id="119"/>
      <w:bookmarkEnd w:id="120"/>
      <w:bookmarkEnd w:id="121"/>
      <w:bookmarkEnd w:id="122"/>
    </w:p>
    <w:p w:rsidR="00636531" w:rsidRPr="00CF0528" w:rsidRDefault="00636531" w:rsidP="00CF0528">
      <w:pPr>
        <w:rPr>
          <w:u w:val="single"/>
        </w:rPr>
      </w:pPr>
      <w:r w:rsidRPr="00CF0528">
        <w:rPr>
          <w:u w:val="single"/>
        </w:rPr>
        <w:t>Nezaměstnanost</w:t>
      </w:r>
    </w:p>
    <w:p w:rsidR="00636531" w:rsidRPr="00CF0528" w:rsidRDefault="00636531" w:rsidP="00636531">
      <w:pPr>
        <w:pStyle w:val="Odstavecseseznamem"/>
        <w:numPr>
          <w:ilvl w:val="0"/>
          <w:numId w:val="18"/>
        </w:numPr>
        <w:spacing w:after="120" w:line="240" w:lineRule="auto"/>
        <w:ind w:left="714" w:hanging="357"/>
        <w:contextualSpacing w:val="0"/>
        <w:rPr>
          <w:szCs w:val="24"/>
        </w:rPr>
      </w:pPr>
      <w:r w:rsidRPr="00CF0528">
        <w:rPr>
          <w:b/>
          <w:szCs w:val="24"/>
        </w:rPr>
        <w:t>V závěru roku 2017 evidoval ÚP ČR celkem 46 009 OZP, což činilo 16,4 % všech uchazečů o zaměstnání.</w:t>
      </w:r>
      <w:r w:rsidRPr="00CF0528">
        <w:rPr>
          <w:szCs w:val="24"/>
        </w:rPr>
        <w:t xml:space="preserve"> Ve skupině OZP byly nejčastěji zastoupeny osoby v I. stupni invalidity, a to s podílem 57,6 % na všech evidovaných OZP, druhou nejčastější skupinou pak byly osoby ve II. stupni invalidity zastoupené 29,4% podílem na všech evidovaných OZP. </w:t>
      </w:r>
    </w:p>
    <w:p w:rsidR="00636531" w:rsidRPr="00CF0528" w:rsidRDefault="00636531" w:rsidP="00636531">
      <w:pPr>
        <w:pStyle w:val="Odstavecseseznamem"/>
        <w:numPr>
          <w:ilvl w:val="0"/>
          <w:numId w:val="18"/>
        </w:numPr>
        <w:spacing w:after="120" w:line="240" w:lineRule="auto"/>
        <w:ind w:left="714" w:hanging="357"/>
        <w:contextualSpacing w:val="0"/>
        <w:rPr>
          <w:szCs w:val="24"/>
        </w:rPr>
      </w:pPr>
      <w:r w:rsidRPr="00CF0528">
        <w:rPr>
          <w:szCs w:val="24"/>
        </w:rPr>
        <w:t>Meziročně poklesl počet evidovaných uchazečů o zaměstnání se zdravotním postižením o 8 546 osob, jejich podíl však vzrostl o 2,1 p. b., což nasvědčuje skutečnosti, že i přes příznivý vývoj na trhu práce se OZP daří hůře uplatňovat na trhu práce.</w:t>
      </w:r>
    </w:p>
    <w:p w:rsidR="00636531" w:rsidRPr="00CF0528" w:rsidRDefault="00636531" w:rsidP="00636531">
      <w:pPr>
        <w:pStyle w:val="Odstavecseseznamem"/>
        <w:numPr>
          <w:ilvl w:val="0"/>
          <w:numId w:val="18"/>
        </w:numPr>
        <w:spacing w:after="120" w:line="240" w:lineRule="auto"/>
        <w:ind w:left="714" w:hanging="357"/>
        <w:contextualSpacing w:val="0"/>
        <w:rPr>
          <w:szCs w:val="24"/>
        </w:rPr>
      </w:pPr>
      <w:r w:rsidRPr="00CF0528">
        <w:rPr>
          <w:szCs w:val="24"/>
        </w:rPr>
        <w:t>Z provedených odhadů počtu dlouh</w:t>
      </w:r>
      <w:r w:rsidR="00636031">
        <w:rPr>
          <w:szCs w:val="24"/>
        </w:rPr>
        <w:t>odobě nezaměstnaných uchazečů o </w:t>
      </w:r>
      <w:r w:rsidRPr="00CF0528">
        <w:rPr>
          <w:szCs w:val="24"/>
        </w:rPr>
        <w:t>zaměstnání, kteří jsou OZP, vyplývá, že v prosinci</w:t>
      </w:r>
      <w:r w:rsidRPr="00CF0528">
        <w:rPr>
          <w:b/>
          <w:szCs w:val="24"/>
        </w:rPr>
        <w:t xml:space="preserve"> </w:t>
      </w:r>
      <w:r w:rsidRPr="00CF0528">
        <w:rPr>
          <w:szCs w:val="24"/>
        </w:rPr>
        <w:t>2017</w:t>
      </w:r>
      <w:r w:rsidRPr="00CF0528">
        <w:rPr>
          <w:b/>
          <w:szCs w:val="24"/>
        </w:rPr>
        <w:t xml:space="preserve"> 54,6 % nezaměstnaných OZP bylo nezaměstnáno déle než 12 měsíců</w:t>
      </w:r>
      <w:r w:rsidRPr="00CF0528">
        <w:rPr>
          <w:szCs w:val="24"/>
        </w:rPr>
        <w:t>.</w:t>
      </w:r>
    </w:p>
    <w:p w:rsidR="00636531" w:rsidRPr="00CF0528" w:rsidRDefault="00636531" w:rsidP="00636531">
      <w:pPr>
        <w:pStyle w:val="Odstavecseseznamem"/>
        <w:numPr>
          <w:ilvl w:val="0"/>
          <w:numId w:val="18"/>
        </w:numPr>
        <w:spacing w:after="120" w:line="240" w:lineRule="auto"/>
        <w:ind w:left="714" w:hanging="357"/>
        <w:contextualSpacing w:val="0"/>
        <w:rPr>
          <w:szCs w:val="24"/>
        </w:rPr>
      </w:pPr>
      <w:r w:rsidRPr="00CF0528">
        <w:rPr>
          <w:b/>
          <w:szCs w:val="24"/>
        </w:rPr>
        <w:t>k 31. 12. 2017 evidoval UP ČR celkem 13 022 volných pracovních míst vhodných pro OZP, na jedno volné pracovní místo tak připadalo 3,5 OZP</w:t>
      </w:r>
      <w:r w:rsidRPr="00CF0528">
        <w:rPr>
          <w:szCs w:val="24"/>
        </w:rPr>
        <w:t>. Pro srovnání celkově ke stejnému datu připadalo na jedno volné pracovní místo 1,3 uchazeče o zaměstnání (v případě absolventů dokonce jen 0,2). Oproti obecnému trendu je tak zřejmé, že konkurence mezi OZP při uplatňování se na trhu práce je vyšší a zájem zaměstnavatelů o tuto skupinu nižší než je obecný trend.</w:t>
      </w:r>
    </w:p>
    <w:p w:rsidR="00636531" w:rsidRPr="004E2383" w:rsidRDefault="00636531" w:rsidP="007B5796">
      <w:pPr>
        <w:pStyle w:val="Nadpis3"/>
      </w:pPr>
      <w:bookmarkStart w:id="123" w:name="_Toc509474148"/>
      <w:r w:rsidRPr="004E2383">
        <w:t xml:space="preserve">Důvody ohrožení </w:t>
      </w:r>
      <w:r w:rsidR="00CF0528">
        <w:t xml:space="preserve">OZP </w:t>
      </w:r>
      <w:r w:rsidRPr="004E2383">
        <w:t>na trhu práce</w:t>
      </w:r>
      <w:bookmarkEnd w:id="123"/>
    </w:p>
    <w:p w:rsidR="00636531" w:rsidRPr="00CF0528" w:rsidRDefault="00636531" w:rsidP="00636531">
      <w:pPr>
        <w:rPr>
          <w:szCs w:val="24"/>
          <w:u w:val="single"/>
        </w:rPr>
      </w:pPr>
      <w:r w:rsidRPr="00CF0528">
        <w:rPr>
          <w:szCs w:val="24"/>
          <w:u w:val="single"/>
        </w:rPr>
        <w:t>Zdravotní stav</w:t>
      </w:r>
    </w:p>
    <w:p w:rsidR="00636531" w:rsidRPr="00CF0528" w:rsidRDefault="00636531" w:rsidP="00636531">
      <w:pPr>
        <w:pStyle w:val="Odstavecseseznamem"/>
        <w:numPr>
          <w:ilvl w:val="0"/>
          <w:numId w:val="19"/>
        </w:numPr>
        <w:spacing w:after="120" w:line="240" w:lineRule="auto"/>
        <w:ind w:left="426" w:hanging="357"/>
        <w:contextualSpacing w:val="0"/>
        <w:rPr>
          <w:szCs w:val="24"/>
        </w:rPr>
      </w:pPr>
      <w:r w:rsidRPr="00CF0528">
        <w:rPr>
          <w:szCs w:val="24"/>
        </w:rPr>
        <w:t xml:space="preserve">Stěžejní bariérou OZP při vstupu na trh práce je jejich zdravotní stav limitující je jak v okruhu potenciálních pracovních činností, které mohou vykonávat, tak ve specifických požadavcích na uzpůsobení pracoviště a pracovních pomůcek, ale rovněž v oblasti poskytnutí vhodné asistence a v neposlední řadě ve sníženém pracovním potenciálu. </w:t>
      </w:r>
    </w:p>
    <w:p w:rsidR="00636531" w:rsidRPr="00CF0528" w:rsidRDefault="00636531" w:rsidP="00636531">
      <w:pPr>
        <w:pStyle w:val="Odstavecseseznamem"/>
        <w:numPr>
          <w:ilvl w:val="0"/>
          <w:numId w:val="19"/>
        </w:numPr>
        <w:spacing w:after="120" w:line="240" w:lineRule="auto"/>
        <w:ind w:left="426" w:hanging="357"/>
        <w:contextualSpacing w:val="0"/>
        <w:rPr>
          <w:szCs w:val="24"/>
        </w:rPr>
      </w:pPr>
      <w:r w:rsidRPr="00CF0528">
        <w:rPr>
          <w:szCs w:val="24"/>
        </w:rPr>
        <w:t>Problematické není jen fyzické, ale rovněž duševní postižení, nedostatek míst k pracovnímu uplatnění je registrován pro osoby se sníženou inteligencí, při tom je ve většině krajů registrován nárůst klientů s psychickými problémy nebo psychiatrickou léčbou. Z důchodové statistiky ČSSZ (počet vyplácených invalidních důchodů) vyplývá, že v posledních 5 letech, tj. mezi roky 2011 a 2016 vzrostl podíl vyplácených invalidních důchodů</w:t>
      </w:r>
      <w:r w:rsidR="00636031">
        <w:rPr>
          <w:szCs w:val="24"/>
        </w:rPr>
        <w:t xml:space="preserve"> s diagnózou „duševní porucha a </w:t>
      </w:r>
      <w:r w:rsidRPr="00CF0528">
        <w:rPr>
          <w:szCs w:val="24"/>
        </w:rPr>
        <w:t xml:space="preserve">porucha chování“ z 19 % všech vyplácených invalidních důchodů na 23 %, absolutně se jedná o nárůst zhruba o 10 000 případů. </w:t>
      </w:r>
    </w:p>
    <w:p w:rsidR="00636531" w:rsidRPr="00CF0528" w:rsidRDefault="00636531" w:rsidP="00636531">
      <w:pPr>
        <w:rPr>
          <w:szCs w:val="24"/>
          <w:u w:val="single"/>
        </w:rPr>
      </w:pPr>
      <w:r w:rsidRPr="00CF0528">
        <w:rPr>
          <w:szCs w:val="24"/>
          <w:u w:val="single"/>
        </w:rPr>
        <w:t>Vzdělání</w:t>
      </w:r>
    </w:p>
    <w:p w:rsidR="00636531" w:rsidRPr="00CF0528" w:rsidRDefault="00636531" w:rsidP="00636531">
      <w:pPr>
        <w:pStyle w:val="Odstavecseseznamem"/>
        <w:numPr>
          <w:ilvl w:val="0"/>
          <w:numId w:val="19"/>
        </w:numPr>
        <w:spacing w:after="120" w:line="240" w:lineRule="auto"/>
        <w:ind w:left="426" w:hanging="357"/>
        <w:contextualSpacing w:val="0"/>
        <w:rPr>
          <w:szCs w:val="24"/>
        </w:rPr>
      </w:pPr>
      <w:r w:rsidRPr="00CF0528">
        <w:rPr>
          <w:szCs w:val="24"/>
        </w:rPr>
        <w:t>Kromě vlastního zdravotního stavu, ve vztahu k výkonu zaměstnání, se však projevují i další bariéry. Z objektivních se jedná o zpravidla nižší kvalifikaci způsobenou zhoršeným přístupem ke vzdělání, popřípadě v případě některých typů postižení rovněž v důsledku snížení schopností ke vzdělání. Podle ČSÚ</w:t>
      </w:r>
      <w:r w:rsidRPr="00CF0528">
        <w:rPr>
          <w:rStyle w:val="Znakapoznpodarou"/>
          <w:szCs w:val="24"/>
        </w:rPr>
        <w:footnoteReference w:id="23"/>
      </w:r>
      <w:r w:rsidRPr="00CF0528">
        <w:rPr>
          <w:szCs w:val="24"/>
        </w:rPr>
        <w:t xml:space="preserve"> je zastoupení osob s nejvýše dosaženým základním vzděláním v populaci OZP starších 15 let významně vyšší než v celé populaci ČR téhož věku. V roce 2013 mělo nejvýše základní školu celkem 28 % OZP (v celé populaci ČR to bylo 17</w:t>
      </w:r>
      <w:r w:rsidR="00CF0528">
        <w:rPr>
          <w:szCs w:val="24"/>
        </w:rPr>
        <w:t>,6 </w:t>
      </w:r>
      <w:r w:rsidRPr="00CF0528">
        <w:rPr>
          <w:szCs w:val="24"/>
        </w:rPr>
        <w:t>%), naopak vysokoškolského vzdělání dosáhlo 7,1 % OZP.</w:t>
      </w:r>
    </w:p>
    <w:p w:rsidR="00636531" w:rsidRPr="00CF0528" w:rsidRDefault="00636531" w:rsidP="00636531">
      <w:pPr>
        <w:rPr>
          <w:szCs w:val="24"/>
          <w:u w:val="single"/>
        </w:rPr>
      </w:pPr>
      <w:r w:rsidRPr="00CF0528">
        <w:rPr>
          <w:szCs w:val="24"/>
          <w:u w:val="single"/>
        </w:rPr>
        <w:t>Další faktory</w:t>
      </w:r>
    </w:p>
    <w:p w:rsidR="00636531" w:rsidRPr="00CF0528" w:rsidRDefault="00636531" w:rsidP="00636531">
      <w:pPr>
        <w:pStyle w:val="Odstavecseseznamem"/>
        <w:numPr>
          <w:ilvl w:val="0"/>
          <w:numId w:val="20"/>
        </w:numPr>
        <w:spacing w:after="120" w:line="240" w:lineRule="auto"/>
        <w:ind w:left="426" w:hanging="357"/>
        <w:contextualSpacing w:val="0"/>
        <w:rPr>
          <w:szCs w:val="24"/>
        </w:rPr>
      </w:pPr>
      <w:r w:rsidRPr="00CF0528">
        <w:rPr>
          <w:szCs w:val="24"/>
        </w:rPr>
        <w:t>Kromě vlastního pracovního uplatnění limituje OZP jejich zdravotní stav v přístupu k zaměstnání i v dalších synergických efektech, a to např. ve vlastní fyzické dostupnosti zaměstnání, tj. např. v dojížďce, specifických nároků na bydlení a dostupnosti vhodného bydlení v takových lokalitách, které by OZP umožnily bezproblémový transfer do zaměstnání.</w:t>
      </w:r>
    </w:p>
    <w:p w:rsidR="00636531" w:rsidRPr="00CF0528" w:rsidRDefault="00636531" w:rsidP="00636531">
      <w:pPr>
        <w:pStyle w:val="Odstavecseseznamem"/>
        <w:numPr>
          <w:ilvl w:val="0"/>
          <w:numId w:val="20"/>
        </w:numPr>
        <w:spacing w:after="120" w:line="240" w:lineRule="auto"/>
        <w:ind w:left="426" w:hanging="357"/>
        <w:contextualSpacing w:val="0"/>
        <w:rPr>
          <w:szCs w:val="24"/>
        </w:rPr>
      </w:pPr>
      <w:r w:rsidRPr="00CF0528">
        <w:rPr>
          <w:szCs w:val="24"/>
        </w:rPr>
        <w:t>Institucionární faktory – jedná se zejména o dostupnost informací o pracovním trhu a možnostech pracovního uplatnění, tyto informace musí být OZP přístupny v adekvátní podobě odpovídající jejich postižení. V případě služeb zaměstnanosti, tj. UP ČR, který hraje rozhodující roli při zprostředkování zaměstnání, je nezbytné tuto instituci vybavit a přizpůsobit s ohledem na klienty z řad OZP (bezbariérový přístup, předávání informací, kompetence pracovníků jednat s OZP).</w:t>
      </w:r>
    </w:p>
    <w:p w:rsidR="00636531" w:rsidRPr="00CF0528" w:rsidRDefault="00636531" w:rsidP="00636531">
      <w:pPr>
        <w:pStyle w:val="Odstavecseseznamem"/>
        <w:numPr>
          <w:ilvl w:val="0"/>
          <w:numId w:val="20"/>
        </w:numPr>
        <w:spacing w:after="120" w:line="240" w:lineRule="auto"/>
        <w:ind w:left="426" w:hanging="357"/>
        <w:contextualSpacing w:val="0"/>
        <w:rPr>
          <w:szCs w:val="24"/>
        </w:rPr>
      </w:pPr>
      <w:r w:rsidRPr="00CF0528">
        <w:rPr>
          <w:szCs w:val="24"/>
        </w:rPr>
        <w:t xml:space="preserve">Na straně zaměstnavatelů se k dalším objektivním faktorům bránícím v zaměstnání OZP řadí náklady a nároky spojené s úpravou pracoviště, potažmo nároky na pracovní asistenci a objektivní obava z vyšší </w:t>
      </w:r>
      <w:r w:rsidR="00CF0528">
        <w:rPr>
          <w:szCs w:val="24"/>
        </w:rPr>
        <w:t>nemocnosti OZP a </w:t>
      </w:r>
      <w:r w:rsidRPr="00CF0528">
        <w:rPr>
          <w:szCs w:val="24"/>
        </w:rPr>
        <w:t>snížené pracovní schopnosti.</w:t>
      </w:r>
    </w:p>
    <w:p w:rsidR="00636531" w:rsidRPr="00CF0528" w:rsidRDefault="00636531" w:rsidP="00636531">
      <w:pPr>
        <w:pStyle w:val="Odstavecseseznamem"/>
        <w:numPr>
          <w:ilvl w:val="0"/>
          <w:numId w:val="20"/>
        </w:numPr>
        <w:spacing w:after="120" w:line="240" w:lineRule="auto"/>
        <w:ind w:left="426" w:hanging="357"/>
        <w:contextualSpacing w:val="0"/>
        <w:rPr>
          <w:szCs w:val="24"/>
        </w:rPr>
      </w:pPr>
      <w:r w:rsidRPr="00CF0528">
        <w:rPr>
          <w:szCs w:val="24"/>
        </w:rPr>
        <w:t>Nižší flexibilita, a to rovněž s ohledem na charakter postižení, kdy v některých případech je nutný u OZP pravidelný životní režim, který zvyšuje požadavky na organizaci práce u zaměstnavatele.</w:t>
      </w:r>
    </w:p>
    <w:p w:rsidR="00636531" w:rsidRPr="00CF0528" w:rsidRDefault="00636531" w:rsidP="00636531">
      <w:pPr>
        <w:rPr>
          <w:szCs w:val="24"/>
          <w:u w:val="single"/>
        </w:rPr>
      </w:pPr>
      <w:r w:rsidRPr="00CF0528">
        <w:rPr>
          <w:szCs w:val="24"/>
          <w:u w:val="single"/>
        </w:rPr>
        <w:t>Subjektivní faktory</w:t>
      </w:r>
    </w:p>
    <w:p w:rsidR="00636531" w:rsidRPr="00CF0528" w:rsidRDefault="00636531" w:rsidP="00636531">
      <w:pPr>
        <w:pStyle w:val="Odstavecseseznamem"/>
        <w:numPr>
          <w:ilvl w:val="0"/>
          <w:numId w:val="21"/>
        </w:numPr>
        <w:spacing w:after="120" w:line="240" w:lineRule="auto"/>
        <w:ind w:left="426" w:hanging="357"/>
        <w:contextualSpacing w:val="0"/>
        <w:rPr>
          <w:szCs w:val="24"/>
        </w:rPr>
      </w:pPr>
      <w:r w:rsidRPr="00CF0528">
        <w:rPr>
          <w:szCs w:val="24"/>
        </w:rPr>
        <w:t>Stejně tak jako u starších osob, rovněž v případě OZP může docházet ke ztrátě motivace k pracovnímu uplatnění z důvodu ztráty sebedůvěry, rezignace na vedení plnohodnotného života a pracovního sebeuplatnění a ke ztrátě aktivního přístupu k vyhledávání vhodného zaměstnání. Problematické je rovněž ohrožení sociálním vyloučením a obava z přijetí v majoritní společnosti.</w:t>
      </w:r>
    </w:p>
    <w:p w:rsidR="00636531" w:rsidRPr="00CF0528" w:rsidRDefault="00636531" w:rsidP="00636531">
      <w:pPr>
        <w:pStyle w:val="Odstavecseseznamem"/>
        <w:numPr>
          <w:ilvl w:val="0"/>
          <w:numId w:val="21"/>
        </w:numPr>
        <w:spacing w:after="120" w:line="240" w:lineRule="auto"/>
        <w:ind w:left="426" w:hanging="357"/>
        <w:contextualSpacing w:val="0"/>
        <w:rPr>
          <w:szCs w:val="24"/>
        </w:rPr>
      </w:pPr>
      <w:r w:rsidRPr="00CF0528">
        <w:rPr>
          <w:szCs w:val="24"/>
        </w:rPr>
        <w:t>Na straně zaměstnavatelů se jedná o obavu ze sníženého pracovního potenciálu a snížené pracovní výkonnosti. Přestože ztráta pracovní výkonnosti je však silně individualizovaná a závisí nejen na charakteru postižení ale zejména na charakteru postižení ve vztahu k vykonávané pracovní činnosti, bývá tento předsudek generalizován obecně na celou skupinu OZP.</w:t>
      </w:r>
    </w:p>
    <w:p w:rsidR="00636531" w:rsidRPr="00CF0528" w:rsidRDefault="00636531" w:rsidP="00636531">
      <w:pPr>
        <w:rPr>
          <w:szCs w:val="24"/>
        </w:rPr>
      </w:pPr>
    </w:p>
    <w:p w:rsidR="00636531" w:rsidRPr="00CF0528" w:rsidRDefault="00636531" w:rsidP="00636531">
      <w:pPr>
        <w:rPr>
          <w:szCs w:val="24"/>
        </w:rPr>
      </w:pPr>
      <w:r w:rsidRPr="00CF0528">
        <w:rPr>
          <w:szCs w:val="24"/>
        </w:rPr>
        <w:t>V případě OZP tak dochází ke kumulaci objektivních faktorů, které sami o sobě limitují uchazeče o zaměstnání v přístupu na trh práce, a to v daleko vyšší míře, než v případě ostatních skupin uchazečů o zaměstnání. Jak vyplývá z popisu skupiny starších osob, přidává se k vlastnímu zdravotnímu znevýhodnění a z něj vyplývajících bariér při vstupu na trh práce i bariéry, které se projevují u starších osob.</w:t>
      </w:r>
    </w:p>
    <w:p w:rsidR="007B5796" w:rsidRPr="004E2383" w:rsidRDefault="007B5796" w:rsidP="007B5796">
      <w:pPr>
        <w:pStyle w:val="Nadpis3"/>
      </w:pPr>
      <w:bookmarkStart w:id="124" w:name="_Toc509474149"/>
      <w:r w:rsidRPr="004E2383">
        <w:t>Opatření</w:t>
      </w:r>
      <w:r>
        <w:t xml:space="preserve"> pro OZP</w:t>
      </w:r>
      <w:bookmarkEnd w:id="124"/>
    </w:p>
    <w:p w:rsidR="007B5796" w:rsidRPr="007B5796" w:rsidRDefault="007B5796" w:rsidP="007B5796">
      <w:pPr>
        <w:rPr>
          <w:szCs w:val="24"/>
        </w:rPr>
      </w:pPr>
      <w:r w:rsidRPr="007B5796">
        <w:rPr>
          <w:szCs w:val="24"/>
        </w:rPr>
        <w:t xml:space="preserve">Stejně jako v případě starších osob, je UP ČR na základě § 33 </w:t>
      </w:r>
      <w:r>
        <w:rPr>
          <w:szCs w:val="24"/>
        </w:rPr>
        <w:t>zákona o </w:t>
      </w:r>
      <w:r w:rsidRPr="007B5796">
        <w:rPr>
          <w:szCs w:val="24"/>
        </w:rPr>
        <w:t xml:space="preserve">zaměstnanosti povinen věnovat osobám se zdravotním postižením při zprostředkování zaměstnání zvýšenou péči. Na rozdíl od starších osob nemají OZP zvýšenou ochranu v oblasti pasivní politiky zaměstnanosti, </w:t>
      </w:r>
      <w:r w:rsidRPr="007B5796">
        <w:rPr>
          <w:b/>
          <w:szCs w:val="24"/>
        </w:rPr>
        <w:t>nicméně je této skupině věnována v oblasti politiky zaměstnanosti dlouhodobě zvýšená pozornost.</w:t>
      </w:r>
      <w:r w:rsidRPr="007B5796">
        <w:rPr>
          <w:szCs w:val="24"/>
        </w:rPr>
        <w:t xml:space="preserve"> Politika zaměstnanosti tak disponuje uceleným systémem nástrojů a opatření specificky zaměřených k podpoře OZP na trhu práce, a to jak v oblasti podpory zaměstnávání OZP, tak v oblasti zvyšování jejich zaměstnatelnosti.</w:t>
      </w:r>
    </w:p>
    <w:p w:rsidR="007B5796" w:rsidRPr="00DB47CD" w:rsidRDefault="007B5796" w:rsidP="007B5796">
      <w:pPr>
        <w:pStyle w:val="Odstavecseseznamem"/>
        <w:keepNext/>
        <w:keepLines/>
        <w:numPr>
          <w:ilvl w:val="0"/>
          <w:numId w:val="17"/>
        </w:numPr>
        <w:spacing w:before="200" w:after="120"/>
        <w:contextualSpacing w:val="0"/>
        <w:outlineLvl w:val="2"/>
        <w:rPr>
          <w:rFonts w:eastAsiaTheme="majorEastAsia" w:cstheme="majorBidi"/>
          <w:bCs/>
          <w:i/>
          <w:vanish/>
          <w:sz w:val="20"/>
          <w:u w:val="single"/>
        </w:rPr>
      </w:pPr>
      <w:bookmarkStart w:id="125" w:name="_Toc508629378"/>
      <w:bookmarkStart w:id="126" w:name="_Toc508629411"/>
      <w:bookmarkStart w:id="127" w:name="_Toc508640523"/>
      <w:bookmarkStart w:id="128" w:name="_Toc508704193"/>
      <w:bookmarkStart w:id="129" w:name="_Toc508713698"/>
      <w:bookmarkStart w:id="130" w:name="_Toc509474150"/>
      <w:bookmarkEnd w:id="125"/>
      <w:bookmarkEnd w:id="126"/>
      <w:bookmarkEnd w:id="127"/>
      <w:bookmarkEnd w:id="128"/>
      <w:bookmarkEnd w:id="129"/>
      <w:bookmarkEnd w:id="130"/>
    </w:p>
    <w:p w:rsidR="007B5796" w:rsidRPr="007B5796" w:rsidRDefault="0065342C" w:rsidP="007B5796">
      <w:pPr>
        <w:rPr>
          <w:u w:val="single"/>
        </w:rPr>
      </w:pPr>
      <w:r>
        <w:rPr>
          <w:u w:val="single"/>
        </w:rPr>
        <w:t>Finančně podpořená pracovní místa</w:t>
      </w:r>
    </w:p>
    <w:p w:rsidR="007B5796" w:rsidRPr="007B5796" w:rsidRDefault="007B5796" w:rsidP="007B5796">
      <w:pPr>
        <w:pStyle w:val="Odstavecseseznamem"/>
        <w:numPr>
          <w:ilvl w:val="0"/>
          <w:numId w:val="23"/>
        </w:numPr>
        <w:spacing w:after="120" w:line="240" w:lineRule="auto"/>
        <w:ind w:left="714" w:hanging="357"/>
        <w:contextualSpacing w:val="0"/>
        <w:rPr>
          <w:szCs w:val="24"/>
        </w:rPr>
      </w:pPr>
      <w:r w:rsidRPr="007B5796">
        <w:rPr>
          <w:szCs w:val="24"/>
        </w:rPr>
        <w:t xml:space="preserve">Ve stávající legislativní podobě se jedná o podporu vytváření chráněného trhu práce (§ 78 zákona o zaměstnanosti), zejména o poskytování „příspěvku na podporu zaměstnávání osob se zdravotním postižením na chráněném trhu práce“ (§ 78a zákona o zaměstnanosti). </w:t>
      </w:r>
      <w:r w:rsidRPr="007B5796">
        <w:rPr>
          <w:b/>
          <w:szCs w:val="24"/>
        </w:rPr>
        <w:t>Na chráněném trhu práce je ročně podporováno zhruba 35 000 OZP, a to v objemu kolem cca 5 mld. Kč ročně.</w:t>
      </w:r>
      <w:r w:rsidR="00750355">
        <w:rPr>
          <w:rStyle w:val="Znakapoznpodarou"/>
          <w:b/>
          <w:szCs w:val="24"/>
        </w:rPr>
        <w:footnoteReference w:id="24"/>
      </w:r>
      <w:r w:rsidRPr="007B5796">
        <w:rPr>
          <w:szCs w:val="24"/>
        </w:rPr>
        <w:t xml:space="preserve"> Příspěvek je možné poskytnout pouze tomu zaměstnavateli, který je na základě dohody s UP ČR uznán za zaměstnavatele na chráněném trhu práce, k čemuž takovýto zaměstnavatel musí splnit zákonem stanovené podmínky. Cílem těchto podmínek, kromě zabezpečení hospodárnosti vynakládaných výdajů, je rovněž zabezpečení vhodných a důstojných pracovních podmínek pro OZP. Základní podmínkou je však povinnost zaměstnávat více jak 50 % zaměstnanců z řad OZP. Tento nástroj není nástrojem aktivní politiky zaměstnanosti podle zákona o zaměstnanosti, přestože s ní má shodný cíl – pozitivně ovlivnit trh práce.</w:t>
      </w:r>
    </w:p>
    <w:p w:rsidR="007B5796" w:rsidRPr="007B5796" w:rsidRDefault="007B5796" w:rsidP="007B5796">
      <w:pPr>
        <w:pStyle w:val="Odstavecseseznamem"/>
        <w:numPr>
          <w:ilvl w:val="0"/>
          <w:numId w:val="23"/>
        </w:numPr>
        <w:spacing w:after="120" w:line="240" w:lineRule="auto"/>
        <w:ind w:left="714" w:hanging="357"/>
        <w:contextualSpacing w:val="0"/>
        <w:rPr>
          <w:szCs w:val="24"/>
        </w:rPr>
      </w:pPr>
      <w:r w:rsidRPr="007B5796">
        <w:rPr>
          <w:b/>
          <w:szCs w:val="24"/>
        </w:rPr>
        <w:t>Pracovní místa zřízena pro OZP (bývalá chráněná pracovní místa)</w:t>
      </w:r>
      <w:r w:rsidRPr="007B5796">
        <w:rPr>
          <w:szCs w:val="24"/>
        </w:rPr>
        <w:t xml:space="preserve"> – jedná se o nástroj APZ určený zejména pro zaměstnavatele, kteří nemusí být zaměstnavateli na chráněném trhu práce, ale chtějí zaměstnat osobu se zdravotním postižením. Jelikož se jedná o nástroj výhradně určený pro OZP, byl jejich podíl 100 % na podpořených osobách v roce 2017. Celkový </w:t>
      </w:r>
      <w:r w:rsidRPr="007B5796">
        <w:rPr>
          <w:b/>
          <w:szCs w:val="24"/>
        </w:rPr>
        <w:t>podíl dlouhodobě nezaměstnaných uchazečů o zaměstnání, kteří jsou OZP, na počtu podpořených uchazečů o zaměstnání se zdravotním postižením činil u tohoto nástroje 58,8 %</w:t>
      </w:r>
      <w:r w:rsidRPr="007B5796">
        <w:rPr>
          <w:rStyle w:val="Znakapoznpodarou"/>
          <w:szCs w:val="24"/>
        </w:rPr>
        <w:footnoteReference w:id="25"/>
      </w:r>
      <w:r w:rsidRPr="007B5796">
        <w:rPr>
          <w:szCs w:val="24"/>
        </w:rPr>
        <w:t>.</w:t>
      </w:r>
    </w:p>
    <w:p w:rsidR="007B5796" w:rsidRPr="007B5796" w:rsidRDefault="007B5796" w:rsidP="007B5796">
      <w:pPr>
        <w:pStyle w:val="Odstavecseseznamem"/>
        <w:numPr>
          <w:ilvl w:val="0"/>
          <w:numId w:val="23"/>
        </w:numPr>
        <w:spacing w:after="120" w:line="240" w:lineRule="auto"/>
        <w:ind w:left="714" w:hanging="357"/>
        <w:contextualSpacing w:val="0"/>
        <w:rPr>
          <w:szCs w:val="24"/>
        </w:rPr>
      </w:pPr>
      <w:r w:rsidRPr="007B5796">
        <w:rPr>
          <w:b/>
          <w:szCs w:val="24"/>
        </w:rPr>
        <w:t>Pracovní rehabilitace</w:t>
      </w:r>
      <w:r w:rsidRPr="007B5796">
        <w:rPr>
          <w:szCs w:val="24"/>
        </w:rPr>
        <w:t xml:space="preserve"> je dalším opatřením APZ specificky zaměřeným na podporu OZP, v tomto případě na zvýšení jejich zaměstnatelnosti, a to zejména formou přípravy k práci a poradenstvím. Dlouhodobě nezaměstnané OZP tvořily 39,2 % podpořených OZP v roce 2017, nicméně uvedené opatření je využíváno pouze v malém množství (v roce 2017 necelých 200 osob).</w:t>
      </w:r>
    </w:p>
    <w:p w:rsidR="007B5796" w:rsidRPr="007B5796" w:rsidRDefault="007B5796" w:rsidP="007B5796">
      <w:pPr>
        <w:pStyle w:val="Odstavecseseznamem"/>
        <w:numPr>
          <w:ilvl w:val="0"/>
          <w:numId w:val="23"/>
        </w:numPr>
        <w:spacing w:after="120" w:line="240" w:lineRule="auto"/>
        <w:ind w:left="714" w:hanging="357"/>
        <w:contextualSpacing w:val="0"/>
        <w:rPr>
          <w:szCs w:val="24"/>
        </w:rPr>
      </w:pPr>
      <w:r w:rsidRPr="007B5796">
        <w:rPr>
          <w:szCs w:val="24"/>
        </w:rPr>
        <w:t xml:space="preserve">Z dalších nástrojů APZ, které nejsou sice specificky zaměřeny na OZP, ale jichž se k podpoře OZP na trhu práce využívá, </w:t>
      </w:r>
      <w:r w:rsidRPr="007B5796">
        <w:rPr>
          <w:b/>
          <w:szCs w:val="24"/>
        </w:rPr>
        <w:t>byly OZP nejčastěji podpořeny prostřednictvím VPP</w:t>
      </w:r>
      <w:r w:rsidRPr="007B5796">
        <w:rPr>
          <w:szCs w:val="24"/>
        </w:rPr>
        <w:t xml:space="preserve">, když jejich podíl na celkově podpořených uchazečích o zaměstnání v roce 2017 činil 15,3 % (téměř 3 000 osob), z toho 31,1 % bylo vedeno v evidenci uchazečů o zaměstnání déle než 12 měsíců. OZP tak tvořily celkem 13 % dlouhodobě nezaměstnaných podpořených nástrojem VPP. V případě </w:t>
      </w:r>
      <w:r w:rsidRPr="007B5796">
        <w:rPr>
          <w:b/>
          <w:szCs w:val="24"/>
        </w:rPr>
        <w:t>SÚPM vyhrazených</w:t>
      </w:r>
      <w:r w:rsidRPr="007B5796">
        <w:rPr>
          <w:szCs w:val="24"/>
        </w:rPr>
        <w:t xml:space="preserve"> tvořily OZP 10,4 % podpořených uchazečů o zaměstnání, přičemž z této skupiny 55,5 % (více jak 900 osob) bylo nezaměstnáno déle než 12 měsíců a OZP tak tvořily 13 % dlouhodobě nezaměstnaných uchazečů o zam</w:t>
      </w:r>
      <w:r w:rsidR="00551CC6">
        <w:rPr>
          <w:szCs w:val="24"/>
        </w:rPr>
        <w:t>ěstnání podpořených nástrojem SÚ</w:t>
      </w:r>
      <w:r w:rsidRPr="007B5796">
        <w:rPr>
          <w:szCs w:val="24"/>
        </w:rPr>
        <w:t>PM vyhrazené.</w:t>
      </w:r>
    </w:p>
    <w:p w:rsidR="007B5796" w:rsidRPr="007B5796" w:rsidRDefault="007B5796" w:rsidP="007B5796">
      <w:pPr>
        <w:pStyle w:val="Odstavecseseznamem"/>
        <w:numPr>
          <w:ilvl w:val="0"/>
          <w:numId w:val="23"/>
        </w:numPr>
        <w:spacing w:after="120" w:line="240" w:lineRule="auto"/>
        <w:ind w:left="714" w:hanging="357"/>
        <w:contextualSpacing w:val="0"/>
        <w:rPr>
          <w:szCs w:val="24"/>
        </w:rPr>
      </w:pPr>
      <w:r w:rsidRPr="007B5796">
        <w:rPr>
          <w:szCs w:val="24"/>
        </w:rPr>
        <w:t>Významněji pak byly OZP zastoupeny v poradenských aktivitách (17,8 % podpořených), prostřednictvím příspěvku na dojížďku (17,2 % z podpořených) a v rekvalifikacích (12,1 % podpořených, z toho dlouhodobě nezaměstnaných 37,3 %).</w:t>
      </w:r>
    </w:p>
    <w:p w:rsidR="007B5796" w:rsidRPr="007B5796" w:rsidRDefault="007B5796" w:rsidP="007B5796">
      <w:pPr>
        <w:rPr>
          <w:szCs w:val="24"/>
        </w:rPr>
      </w:pPr>
      <w:r w:rsidRPr="007B5796">
        <w:rPr>
          <w:szCs w:val="24"/>
        </w:rPr>
        <w:t>Kromě výše uvedených opatření a nástrojů aktivní politiky zaměstnanosti je podpora OZP na trhu práce poskytována nepřímo prostřednictvím zvýšení motivace zaměstnavatelů zaměstnávat OZP a to jak na volném, tak chráněném trhu práce. Předně se jedná o povinnost zaměstnavatele s více jak 25 zaměstnanci zaměstnávat 4 % z celkového počtu zaměstnanců z řad OZP (tzv. povinný podíl). Nečiní-li tak, je zaměstnavatel povinen odvést do státního rozpočtu finanční částku odpovídající výši 2,5 násobku průměrné mzdy za každou OZP, kterou z povinného podílu v daném roce nezaměstnal</w:t>
      </w:r>
      <w:r w:rsidRPr="007B5796">
        <w:rPr>
          <w:rStyle w:val="Znakapoznpodarou"/>
          <w:szCs w:val="24"/>
        </w:rPr>
        <w:t xml:space="preserve"> </w:t>
      </w:r>
      <w:r w:rsidRPr="007B5796">
        <w:rPr>
          <w:rStyle w:val="Znakapoznpodarou"/>
          <w:szCs w:val="24"/>
        </w:rPr>
        <w:footnoteReference w:id="26"/>
      </w:r>
      <w:r w:rsidRPr="007B5796">
        <w:rPr>
          <w:szCs w:val="24"/>
        </w:rPr>
        <w:t>. Dalším opatřením je pak poskytování slevy na dani z</w:t>
      </w:r>
      <w:r>
        <w:rPr>
          <w:szCs w:val="24"/>
        </w:rPr>
        <w:t> </w:t>
      </w:r>
      <w:r w:rsidRPr="007B5796">
        <w:rPr>
          <w:szCs w:val="24"/>
        </w:rPr>
        <w:t>příjmu</w:t>
      </w:r>
      <w:r>
        <w:rPr>
          <w:szCs w:val="24"/>
        </w:rPr>
        <w:t>, a </w:t>
      </w:r>
      <w:r w:rsidRPr="007B5796">
        <w:rPr>
          <w:szCs w:val="24"/>
        </w:rPr>
        <w:t>to za každou zaměstnanou osobu z řad OZP.</w:t>
      </w:r>
    </w:p>
    <w:p w:rsidR="007B5796" w:rsidRDefault="007B5796" w:rsidP="007B5796">
      <w:pPr>
        <w:pStyle w:val="Nadpis2"/>
      </w:pPr>
      <w:bookmarkStart w:id="131" w:name="_Toc509474151"/>
      <w:r>
        <w:t>Osoby v hmotné nouzi a osoby s exekucí</w:t>
      </w:r>
      <w:bookmarkEnd w:id="131"/>
    </w:p>
    <w:p w:rsidR="007B5796" w:rsidRPr="003A122F" w:rsidRDefault="007B5796" w:rsidP="007B5796">
      <w:pPr>
        <w:pStyle w:val="Odstavecseseznamem"/>
        <w:keepNext/>
        <w:keepLines/>
        <w:numPr>
          <w:ilvl w:val="0"/>
          <w:numId w:val="22"/>
        </w:numPr>
        <w:spacing w:before="200" w:after="120"/>
        <w:contextualSpacing w:val="0"/>
        <w:outlineLvl w:val="2"/>
        <w:rPr>
          <w:rFonts w:eastAsiaTheme="majorEastAsia" w:cstheme="majorBidi"/>
          <w:bCs/>
          <w:i/>
          <w:vanish/>
          <w:sz w:val="20"/>
        </w:rPr>
      </w:pPr>
      <w:bookmarkStart w:id="132" w:name="_Toc508629380"/>
      <w:bookmarkStart w:id="133" w:name="_Toc508629413"/>
      <w:bookmarkStart w:id="134" w:name="_Toc508640525"/>
      <w:bookmarkStart w:id="135" w:name="_Toc508704195"/>
      <w:bookmarkStart w:id="136" w:name="_Toc508713700"/>
      <w:bookmarkStart w:id="137" w:name="_Toc509474152"/>
      <w:bookmarkEnd w:id="132"/>
      <w:bookmarkEnd w:id="133"/>
      <w:bookmarkEnd w:id="134"/>
      <w:bookmarkEnd w:id="135"/>
      <w:bookmarkEnd w:id="136"/>
      <w:bookmarkEnd w:id="137"/>
    </w:p>
    <w:p w:rsidR="007B5796" w:rsidRPr="00DB47CD" w:rsidRDefault="007B5796" w:rsidP="007B5796">
      <w:pPr>
        <w:pStyle w:val="Odstavecseseznamem"/>
        <w:keepNext/>
        <w:keepLines/>
        <w:numPr>
          <w:ilvl w:val="0"/>
          <w:numId w:val="17"/>
        </w:numPr>
        <w:spacing w:before="200" w:after="120"/>
        <w:contextualSpacing w:val="0"/>
        <w:outlineLvl w:val="2"/>
        <w:rPr>
          <w:rFonts w:eastAsiaTheme="majorEastAsia" w:cstheme="majorBidi"/>
          <w:bCs/>
          <w:i/>
          <w:vanish/>
          <w:sz w:val="20"/>
          <w:u w:val="single"/>
        </w:rPr>
      </w:pPr>
      <w:bookmarkStart w:id="138" w:name="_Toc508629381"/>
      <w:bookmarkStart w:id="139" w:name="_Toc508629414"/>
      <w:bookmarkStart w:id="140" w:name="_Toc508640526"/>
      <w:bookmarkStart w:id="141" w:name="_Toc508704196"/>
      <w:bookmarkStart w:id="142" w:name="_Toc508713701"/>
      <w:bookmarkStart w:id="143" w:name="_Toc509474153"/>
      <w:bookmarkEnd w:id="138"/>
      <w:bookmarkEnd w:id="139"/>
      <w:bookmarkEnd w:id="140"/>
      <w:bookmarkEnd w:id="141"/>
      <w:bookmarkEnd w:id="142"/>
      <w:bookmarkEnd w:id="143"/>
    </w:p>
    <w:p w:rsidR="007B5796" w:rsidRPr="007B5796" w:rsidRDefault="007B5796" w:rsidP="007B5796">
      <w:r w:rsidRPr="007B5796">
        <w:t>V </w:t>
      </w:r>
      <w:r w:rsidR="00636031">
        <w:t>prosinci</w:t>
      </w:r>
      <w:r w:rsidRPr="007B5796">
        <w:t xml:space="preserve"> 2017 bylo evidováno celkem 67 </w:t>
      </w:r>
      <w:r w:rsidR="00636031">
        <w:t>749</w:t>
      </w:r>
      <w:r w:rsidRPr="007B5796">
        <w:t xml:space="preserve"> uchazečů o zaměstnání, kteří byli příjemci dávek pomoci v hmotné nouzi, tj. 2</w:t>
      </w:r>
      <w:r w:rsidR="00636031">
        <w:t>4</w:t>
      </w:r>
      <w:r w:rsidRPr="007B5796">
        <w:t>,</w:t>
      </w:r>
      <w:r w:rsidR="00636031">
        <w:t>4 % všech uchazečů o zaměstnání. Déle než 12 měsíců bylo při tom nezaměstnáno 42 296, což znamená, že 62,4 %</w:t>
      </w:r>
      <w:r w:rsidRPr="007B5796">
        <w:t xml:space="preserve"> </w:t>
      </w:r>
      <w:r w:rsidR="00636031">
        <w:t xml:space="preserve">uchazečů o zaměstnání, kteří jsou osobami v hmotné nouzi </w:t>
      </w:r>
      <w:proofErr w:type="gramStart"/>
      <w:r w:rsidR="00636031">
        <w:t>je</w:t>
      </w:r>
      <w:proofErr w:type="gramEnd"/>
      <w:r w:rsidR="00636031">
        <w:t xml:space="preserve"> bez zaměstnání déle jak rok.</w:t>
      </w:r>
    </w:p>
    <w:p w:rsidR="007B5796" w:rsidRPr="004E2383" w:rsidRDefault="007B5796" w:rsidP="007B5796">
      <w:pPr>
        <w:pStyle w:val="Nadpis3"/>
      </w:pPr>
      <w:bookmarkStart w:id="144" w:name="_Toc509474154"/>
      <w:r w:rsidRPr="004E2383">
        <w:t>Důvody ohrožení na trhu práce</w:t>
      </w:r>
      <w:bookmarkEnd w:id="144"/>
    </w:p>
    <w:p w:rsidR="007B5796" w:rsidRPr="007B5796" w:rsidRDefault="007B5796" w:rsidP="007B5796">
      <w:pPr>
        <w:pStyle w:val="Odstavecseseznamem"/>
        <w:numPr>
          <w:ilvl w:val="0"/>
          <w:numId w:val="24"/>
        </w:numPr>
        <w:spacing w:after="120" w:line="240" w:lineRule="auto"/>
        <w:contextualSpacing w:val="0"/>
        <w:rPr>
          <w:i/>
          <w:szCs w:val="24"/>
        </w:rPr>
      </w:pPr>
      <w:r w:rsidRPr="007B5796">
        <w:rPr>
          <w:szCs w:val="20"/>
        </w:rPr>
        <w:t>U</w:t>
      </w:r>
      <w:r w:rsidRPr="007B5796">
        <w:rPr>
          <w:sz w:val="32"/>
          <w:szCs w:val="24"/>
        </w:rPr>
        <w:t xml:space="preserve"> </w:t>
      </w:r>
      <w:r w:rsidRPr="007B5796">
        <w:rPr>
          <w:szCs w:val="24"/>
        </w:rPr>
        <w:t>osob nacházejících se v hmotné nouzi se zpravidla kumulují další faktory související s jejich socioekonomickým postavením a často rovněž s rodinným zázemím. Častější bývá rovněž výskyt již uvedených objektivních bariér – zdravotní stav (který může rovněž souviset se špatnou životosprávou), nízké vzdělání, regionální dostupnost zaměstnání (dostatek finančních prostředků na dojížďku).</w:t>
      </w:r>
    </w:p>
    <w:p w:rsidR="007B5796" w:rsidRPr="007B5796" w:rsidRDefault="007B5796" w:rsidP="007B5796">
      <w:pPr>
        <w:pStyle w:val="Odstavecseseznamem"/>
        <w:numPr>
          <w:ilvl w:val="0"/>
          <w:numId w:val="24"/>
        </w:numPr>
        <w:spacing w:after="120" w:line="240" w:lineRule="auto"/>
        <w:contextualSpacing w:val="0"/>
        <w:rPr>
          <w:i/>
          <w:szCs w:val="24"/>
        </w:rPr>
      </w:pPr>
      <w:r w:rsidRPr="007B5796">
        <w:rPr>
          <w:szCs w:val="24"/>
        </w:rPr>
        <w:t>U této skupiny osob lze předpokládat zvýšený počet exekucí, přičemž exekuční srážky jsou limitující na straně nezaměstnané osoby, když snižují její motivaci nalézt si pracovní uplatnění. V případě exekučních srážek je finální příjmová situace takové osoby stejná, jako by byla na sociálních dávkách, jestliže tyto osoby pracovat chtějí, pak zpravidla preferují např. výkon nelegálního zaměstnání, popřípadě využívají institutu nekolidujícího zaměstnání. Exekuce snižují rovněž motivaci zaměstnavatelů zaměstnat takovouto osobu, neboť administrace exekučních srážek ze mzdy zaměstnanců přináší zvýšené finanční a organizační nároky.</w:t>
      </w:r>
    </w:p>
    <w:p w:rsidR="007B5796" w:rsidRPr="007B5796" w:rsidRDefault="007B5796" w:rsidP="007B5796">
      <w:pPr>
        <w:pStyle w:val="Odstavecseseznamem"/>
        <w:numPr>
          <w:ilvl w:val="0"/>
          <w:numId w:val="24"/>
        </w:numPr>
        <w:spacing w:after="120" w:line="240" w:lineRule="auto"/>
        <w:contextualSpacing w:val="0"/>
        <w:rPr>
          <w:i/>
          <w:szCs w:val="24"/>
        </w:rPr>
      </w:pPr>
      <w:r w:rsidRPr="007B5796">
        <w:rPr>
          <w:szCs w:val="24"/>
        </w:rPr>
        <w:t>Na straně nezaměstnaných osob je rovněž problémem hranice mezi příjmem sociálním a příjmem ze zaměstnání, kdy v důsledku kumulace některých dávek a způsobu jejich výpočtu mohou příjemci těchto dávek při přijetí zaměstnání, a tedy výdělku, dosáhnout nižšího čistého příjmu. Tento problém je výrazný např. ve vícečetných rodinách, kdy i přes snahu nalézt si zaměstnání může být taková osoba od pracovního uplatnění zrazována příslušníky společné domácnosti.</w:t>
      </w:r>
    </w:p>
    <w:p w:rsidR="007B5796" w:rsidRPr="007B5796" w:rsidRDefault="007B5796" w:rsidP="007B5796">
      <w:pPr>
        <w:pStyle w:val="Odstavecseseznamem"/>
        <w:numPr>
          <w:ilvl w:val="0"/>
          <w:numId w:val="24"/>
        </w:numPr>
        <w:spacing w:after="120" w:line="240" w:lineRule="auto"/>
        <w:contextualSpacing w:val="0"/>
        <w:rPr>
          <w:i/>
          <w:szCs w:val="24"/>
        </w:rPr>
      </w:pPr>
      <w:r w:rsidRPr="007B5796">
        <w:rPr>
          <w:szCs w:val="24"/>
        </w:rPr>
        <w:t>U osob v hmotné nouzi je rovněž vyšší výskyt subjektivních faktorů omezujících jejich šance uspět na trhu práce, neboť v situaci hmotné nouze se častěji vyskytují osoby, u nichž dochází k sociálně patologickým jevům – alkoholismus, bezdomovectví. Nepříznivá příjmová situace se pak odráží i na dalších subjektivních charakteristikách, které však hrají svoji roli v motivaci zaměstnavatelů takovéto osoby zaměstnat – vzhled, občanské dovednosti, sociální kompetence a nevhodné společenské návyky.</w:t>
      </w:r>
    </w:p>
    <w:p w:rsidR="007B5796" w:rsidRPr="004E2383" w:rsidRDefault="007B5796" w:rsidP="007B5796">
      <w:pPr>
        <w:pStyle w:val="Nadpis3"/>
      </w:pPr>
      <w:bookmarkStart w:id="145" w:name="_Toc509474155"/>
      <w:r w:rsidRPr="004E2383">
        <w:t>Opatření</w:t>
      </w:r>
      <w:r>
        <w:t xml:space="preserve"> pro osoby v hmotné nouzi</w:t>
      </w:r>
      <w:bookmarkEnd w:id="145"/>
    </w:p>
    <w:p w:rsidR="007B5796" w:rsidRPr="007B5796" w:rsidRDefault="007B5796" w:rsidP="007B5796">
      <w:pPr>
        <w:rPr>
          <w:szCs w:val="24"/>
        </w:rPr>
      </w:pPr>
      <w:r w:rsidRPr="007B5796">
        <w:rPr>
          <w:b/>
          <w:szCs w:val="24"/>
        </w:rPr>
        <w:t xml:space="preserve">Veřejná služba - </w:t>
      </w:r>
      <w:r w:rsidRPr="007B5796">
        <w:rPr>
          <w:szCs w:val="24"/>
        </w:rPr>
        <w:t>v loňském roce byla opětovně zavedena jistá míra bonifikace v podobě zvýšení dávek příspěvku na živobytí, jestliže příjemce této dávky ve stanoveném rozsahu vykonává veřejnou službu – cílem je zvýšit motivaci příjemců sociálních dávek řešit svoji nepříznivou situaci prostřednictvím aktivního přístupu k výkonu pracovní činnosti, včetně sekundárního dopadu na cílovou skupinu v podobě získání (obnovení) pracovních a sociálních návyků.</w:t>
      </w:r>
    </w:p>
    <w:p w:rsidR="007B5796" w:rsidRPr="007B5796" w:rsidRDefault="007B5796" w:rsidP="007B5796">
      <w:pPr>
        <w:rPr>
          <w:szCs w:val="24"/>
        </w:rPr>
      </w:pPr>
      <w:r w:rsidRPr="007B5796">
        <w:rPr>
          <w:b/>
          <w:szCs w:val="24"/>
        </w:rPr>
        <w:t xml:space="preserve">Nekolidující zaměstnání - </w:t>
      </w:r>
      <w:r w:rsidRPr="007B5796">
        <w:rPr>
          <w:szCs w:val="24"/>
        </w:rPr>
        <w:t>omezení možnosti výkonu tzv. nekolidujícího zaměstnání, které již není možné vykonávat na základě dohody o provedení práce.</w:t>
      </w:r>
    </w:p>
    <w:p w:rsidR="007B5796" w:rsidRPr="007B5796" w:rsidRDefault="007B5796" w:rsidP="007B5796">
      <w:pPr>
        <w:rPr>
          <w:szCs w:val="24"/>
        </w:rPr>
      </w:pPr>
      <w:r w:rsidRPr="007B5796">
        <w:rPr>
          <w:b/>
          <w:szCs w:val="24"/>
        </w:rPr>
        <w:t>Koordinace útvarů NSD a ZAM</w:t>
      </w:r>
      <w:r w:rsidRPr="007B5796">
        <w:rPr>
          <w:rStyle w:val="Znakapoznpodarou"/>
          <w:b/>
          <w:szCs w:val="24"/>
        </w:rPr>
        <w:footnoteReference w:id="27"/>
      </w:r>
      <w:r w:rsidRPr="007B5796">
        <w:rPr>
          <w:b/>
          <w:szCs w:val="24"/>
        </w:rPr>
        <w:t xml:space="preserve"> na UP ČR. </w:t>
      </w:r>
      <w:r w:rsidRPr="007B5796">
        <w:rPr>
          <w:szCs w:val="24"/>
        </w:rPr>
        <w:t>V rámci UP ČR je při řešení situace osob v hmotné nouzi přistupováno, na základě vnitřního aktu řízení UP ČR, ke koordinované komplexní práci s takovýmito klienty a to formou spolupráce útvarů zaměstnanosti (zprostředkování zaměstnání a podpora</w:t>
      </w:r>
      <w:r w:rsidR="00636031">
        <w:rPr>
          <w:szCs w:val="24"/>
        </w:rPr>
        <w:t xml:space="preserve"> při uplatnění na trhu práce) a </w:t>
      </w:r>
      <w:r w:rsidRPr="007B5796">
        <w:rPr>
          <w:szCs w:val="24"/>
        </w:rPr>
        <w:t>nepojistných sociálních dávek (řešení sociální situace klienta). Připravována je realizace projektu VÚSPV, který bude zaměřen na nastavení metodických postupů ÚP ČR při práci s cílovou skupinou dlouhodobě nezaměstnaných osob na základě koordinované a komplexní práce jak napříč útvary ÚP ČR, tak ve spolupráci s externími subjekty v sociální oblasti.</w:t>
      </w:r>
    </w:p>
    <w:p w:rsidR="00636531" w:rsidRPr="00636531" w:rsidRDefault="00636531" w:rsidP="00636531">
      <w:pPr>
        <w:rPr>
          <w:b/>
          <w:szCs w:val="20"/>
        </w:rPr>
      </w:pPr>
    </w:p>
    <w:p w:rsidR="00636531" w:rsidRPr="00376A29" w:rsidRDefault="00636531" w:rsidP="002424FF">
      <w:pPr>
        <w:rPr>
          <w:b/>
          <w:sz w:val="20"/>
          <w:szCs w:val="20"/>
        </w:rPr>
      </w:pPr>
    </w:p>
    <w:p w:rsidR="006E64B8" w:rsidRPr="006E64B8" w:rsidRDefault="006E64B8" w:rsidP="006E64B8">
      <w:pPr>
        <w:rPr>
          <w:b/>
        </w:rPr>
      </w:pPr>
    </w:p>
    <w:p w:rsidR="009E23B0" w:rsidRDefault="009E23B0" w:rsidP="002A3A1A">
      <w:pPr>
        <w:sectPr w:rsidR="009E23B0">
          <w:pgSz w:w="11906" w:h="16838"/>
          <w:pgMar w:top="1417" w:right="1417" w:bottom="1417" w:left="1417" w:header="708" w:footer="708" w:gutter="0"/>
          <w:cols w:space="708"/>
          <w:docGrid w:linePitch="360"/>
        </w:sectPr>
      </w:pPr>
    </w:p>
    <w:p w:rsidR="00606D2C" w:rsidRPr="00606D2C" w:rsidRDefault="00606D2C" w:rsidP="00606D2C">
      <w:pPr>
        <w:pStyle w:val="Nadpis1"/>
        <w:rPr>
          <w:rStyle w:val="Nadpis1Char"/>
          <w:b/>
          <w:bCs/>
        </w:rPr>
      </w:pPr>
      <w:bookmarkStart w:id="146" w:name="_Toc492628605"/>
      <w:bookmarkStart w:id="147" w:name="_Ref508640712"/>
      <w:bookmarkStart w:id="148" w:name="_Toc509474156"/>
      <w:r w:rsidRPr="00606D2C">
        <w:rPr>
          <w:rStyle w:val="Nadpis1Char"/>
          <w:b/>
          <w:bCs/>
        </w:rPr>
        <w:t>Plnění opatření</w:t>
      </w:r>
      <w:bookmarkEnd w:id="146"/>
      <w:bookmarkEnd w:id="147"/>
      <w:bookmarkEnd w:id="148"/>
      <w:r w:rsidRPr="00606D2C">
        <w:rPr>
          <w:rStyle w:val="Nadpis1Char"/>
          <w:b/>
          <w:bCs/>
        </w:rPr>
        <w:t xml:space="preserve"> </w:t>
      </w:r>
    </w:p>
    <w:p w:rsidR="00606D2C" w:rsidRDefault="00AA1F26" w:rsidP="00813009">
      <w:r>
        <w:t xml:space="preserve">Následující část Analýzy se věnuje vyhodnocení a stavu plnění opatření, která byla s cílem maximalizovat soulad mezi nabídkou a poptávkou na trhu práce přijata usnesením vlády č. 1127 ze dne 14. prosince 2016 o Analýze nabídky a poptávky na trhu práce. Vymezeno bylo celkem </w:t>
      </w:r>
      <w:r w:rsidR="001B2FA0">
        <w:t>17 opatření seskupených do 4 skupin. Z toho počtu bylo k 31. 12. 2017:</w:t>
      </w:r>
    </w:p>
    <w:p w:rsidR="001B2FA0" w:rsidRDefault="001B2FA0" w:rsidP="00813009">
      <w:pPr>
        <w:pStyle w:val="Odstavecseseznamem"/>
        <w:numPr>
          <w:ilvl w:val="0"/>
          <w:numId w:val="27"/>
        </w:numPr>
        <w:spacing w:line="240" w:lineRule="auto"/>
        <w:ind w:left="714" w:hanging="357"/>
        <w:contextualSpacing w:val="0"/>
      </w:pPr>
      <w:r w:rsidRPr="001B2FA0">
        <w:rPr>
          <w:b/>
        </w:rPr>
        <w:t>splněno: 5 opatření</w:t>
      </w:r>
      <w:r>
        <w:t>,</w:t>
      </w:r>
    </w:p>
    <w:p w:rsidR="001B2FA0" w:rsidRDefault="001B2FA0" w:rsidP="00813009">
      <w:pPr>
        <w:pStyle w:val="Odstavecseseznamem"/>
        <w:numPr>
          <w:ilvl w:val="0"/>
          <w:numId w:val="27"/>
        </w:numPr>
        <w:spacing w:line="240" w:lineRule="auto"/>
        <w:ind w:left="714" w:hanging="357"/>
        <w:contextualSpacing w:val="0"/>
      </w:pPr>
      <w:r w:rsidRPr="001B2FA0">
        <w:rPr>
          <w:b/>
        </w:rPr>
        <w:t>průběžně plněno: 5 opatření</w:t>
      </w:r>
      <w:r>
        <w:t xml:space="preserve"> – jedná se o opatření, jejichž naplnění není jednorázové, ale plní se průběžně v čase,</w:t>
      </w:r>
    </w:p>
    <w:p w:rsidR="00AA1F26" w:rsidRDefault="001B2FA0" w:rsidP="00813009">
      <w:pPr>
        <w:pStyle w:val="Odstavecseseznamem"/>
        <w:numPr>
          <w:ilvl w:val="0"/>
          <w:numId w:val="27"/>
        </w:numPr>
        <w:spacing w:line="240" w:lineRule="auto"/>
        <w:ind w:left="714" w:hanging="357"/>
        <w:contextualSpacing w:val="0"/>
      </w:pPr>
      <w:r w:rsidRPr="001B2FA0">
        <w:rPr>
          <w:b/>
        </w:rPr>
        <w:t>řešeno: 7</w:t>
      </w:r>
      <w:r>
        <w:t xml:space="preserve"> – jedná se povětšinou o opatření, která jsou částečně plněna, nicméně stále se průběžně řeší.</w:t>
      </w:r>
    </w:p>
    <w:p w:rsidR="00AA1F26" w:rsidRPr="000F125A" w:rsidRDefault="00AA1F26" w:rsidP="00606D2C"/>
    <w:tbl>
      <w:tblPr>
        <w:tblW w:w="13972" w:type="dxa"/>
        <w:tblInd w:w="47" w:type="dxa"/>
        <w:tblCellMar>
          <w:left w:w="70" w:type="dxa"/>
          <w:right w:w="70" w:type="dxa"/>
        </w:tblCellMar>
        <w:tblLook w:val="04A0" w:firstRow="1" w:lastRow="0" w:firstColumn="1" w:lastColumn="0" w:noHBand="0" w:noVBand="1"/>
      </w:tblPr>
      <w:tblGrid>
        <w:gridCol w:w="732"/>
        <w:gridCol w:w="647"/>
        <w:gridCol w:w="235"/>
        <w:gridCol w:w="1714"/>
        <w:gridCol w:w="1166"/>
        <w:gridCol w:w="1048"/>
        <w:gridCol w:w="1928"/>
        <w:gridCol w:w="1770"/>
        <w:gridCol w:w="1654"/>
        <w:gridCol w:w="3078"/>
      </w:tblGrid>
      <w:tr w:rsidR="00606D2C" w:rsidRPr="002C70E1" w:rsidTr="001B2FA0">
        <w:trPr>
          <w:trHeight w:val="379"/>
        </w:trPr>
        <w:tc>
          <w:tcPr>
            <w:tcW w:w="732" w:type="dxa"/>
            <w:tcBorders>
              <w:top w:val="double" w:sz="6" w:space="0" w:color="auto"/>
              <w:left w:val="double" w:sz="6" w:space="0" w:color="auto"/>
              <w:bottom w:val="double" w:sz="6" w:space="0" w:color="auto"/>
              <w:right w:val="nil"/>
            </w:tcBorders>
            <w:shd w:val="clear" w:color="000000" w:fill="8DB4E2"/>
            <w:noWrap/>
            <w:vAlign w:val="bottom"/>
            <w:hideMark/>
          </w:tcPr>
          <w:p w:rsidR="00606D2C" w:rsidRPr="002C70E1" w:rsidRDefault="00606D2C" w:rsidP="00606D2C">
            <w:pPr>
              <w:spacing w:before="0" w:after="0"/>
              <w:jc w:val="left"/>
              <w:rPr>
                <w:rFonts w:eastAsia="Times New Roman" w:cs="Arial"/>
                <w:b/>
                <w:bCs/>
                <w:color w:val="000000"/>
                <w:sz w:val="20"/>
                <w:szCs w:val="24"/>
                <w:lang w:eastAsia="cs-CZ"/>
              </w:rPr>
            </w:pPr>
          </w:p>
        </w:tc>
        <w:tc>
          <w:tcPr>
            <w:tcW w:w="13240" w:type="dxa"/>
            <w:gridSpan w:val="9"/>
            <w:tcBorders>
              <w:top w:val="double" w:sz="6" w:space="0" w:color="auto"/>
              <w:left w:val="nil"/>
              <w:bottom w:val="double" w:sz="6" w:space="0" w:color="auto"/>
              <w:right w:val="double" w:sz="6" w:space="0" w:color="000000"/>
            </w:tcBorders>
            <w:shd w:val="clear" w:color="000000" w:fill="8DB4E2"/>
            <w:noWrap/>
            <w:vAlign w:val="bottom"/>
            <w:hideMark/>
          </w:tcPr>
          <w:p w:rsidR="00606D2C" w:rsidRPr="00606D2C" w:rsidRDefault="00606D2C" w:rsidP="001B2FA0">
            <w:pPr>
              <w:pStyle w:val="Nadpis2"/>
              <w:numPr>
                <w:ilvl w:val="0"/>
                <w:numId w:val="0"/>
              </w:numPr>
              <w:spacing w:before="0" w:after="0"/>
              <w:rPr>
                <w:rFonts w:eastAsia="Times New Roman"/>
                <w:lang w:eastAsia="cs-CZ"/>
              </w:rPr>
            </w:pPr>
            <w:bookmarkStart w:id="149" w:name="_Toc492628606"/>
            <w:bookmarkStart w:id="150" w:name="_Toc509474157"/>
            <w:r w:rsidRPr="00606D2C">
              <w:rPr>
                <w:rFonts w:eastAsia="Times New Roman"/>
                <w:lang w:eastAsia="cs-CZ"/>
              </w:rPr>
              <w:t xml:space="preserve">Sk. 1 Zvýšení </w:t>
            </w:r>
            <w:r w:rsidRPr="00606D2C">
              <w:t>motivace</w:t>
            </w:r>
            <w:r w:rsidRPr="00606D2C">
              <w:rPr>
                <w:rFonts w:eastAsia="Times New Roman"/>
                <w:lang w:eastAsia="cs-CZ"/>
              </w:rPr>
              <w:t xml:space="preserve"> pracovní síly akceptovat zaměstnání</w:t>
            </w:r>
            <w:bookmarkEnd w:id="149"/>
            <w:bookmarkEnd w:id="150"/>
          </w:p>
        </w:tc>
      </w:tr>
      <w:tr w:rsidR="00606D2C" w:rsidRPr="002C70E1" w:rsidTr="00606D2C">
        <w:trPr>
          <w:trHeight w:val="285"/>
        </w:trPr>
        <w:tc>
          <w:tcPr>
            <w:tcW w:w="732" w:type="dxa"/>
            <w:tcBorders>
              <w:top w:val="single" w:sz="8" w:space="0" w:color="auto"/>
              <w:left w:val="single" w:sz="8" w:space="0" w:color="auto"/>
              <w:bottom w:val="single" w:sz="4" w:space="0" w:color="auto"/>
              <w:right w:val="nil"/>
            </w:tcBorders>
            <w:shd w:val="clear" w:color="000000" w:fill="DCE6F1"/>
            <w:noWrap/>
            <w:vAlign w:val="bottom"/>
            <w:hideMark/>
          </w:tcPr>
          <w:p w:rsidR="00606D2C" w:rsidRPr="002C70E1" w:rsidRDefault="00606D2C" w:rsidP="00606D2C">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1.1</w:t>
            </w:r>
          </w:p>
        </w:tc>
        <w:tc>
          <w:tcPr>
            <w:tcW w:w="882" w:type="dxa"/>
            <w:gridSpan w:val="2"/>
            <w:tcBorders>
              <w:top w:val="single" w:sz="8" w:space="0" w:color="auto"/>
              <w:left w:val="single" w:sz="8" w:space="0" w:color="auto"/>
              <w:bottom w:val="single" w:sz="12" w:space="0" w:color="auto"/>
              <w:right w:val="nil"/>
            </w:tcBorders>
            <w:shd w:val="clear" w:color="auto" w:fill="auto"/>
            <w:noWrap/>
            <w:vAlign w:val="bottom"/>
            <w:hideMark/>
          </w:tcPr>
          <w:p w:rsidR="00606D2C" w:rsidRPr="002C70E1" w:rsidRDefault="00606D2C" w:rsidP="00606D2C">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1714" w:type="dxa"/>
            <w:tcBorders>
              <w:top w:val="single" w:sz="8" w:space="0" w:color="auto"/>
              <w:left w:val="nil"/>
              <w:bottom w:val="single" w:sz="12" w:space="0" w:color="auto"/>
              <w:right w:val="nil"/>
            </w:tcBorders>
            <w:shd w:val="clear" w:color="auto" w:fill="auto"/>
            <w:noWrap/>
            <w:vAlign w:val="bottom"/>
            <w:hideMark/>
          </w:tcPr>
          <w:p w:rsidR="00606D2C" w:rsidRPr="002C70E1" w:rsidRDefault="00606D2C" w:rsidP="00606D2C">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2016</w:t>
            </w:r>
          </w:p>
        </w:tc>
        <w:tc>
          <w:tcPr>
            <w:tcW w:w="1166" w:type="dxa"/>
            <w:tcBorders>
              <w:top w:val="single" w:sz="12" w:space="0" w:color="auto"/>
              <w:left w:val="single" w:sz="12" w:space="0" w:color="auto"/>
              <w:bottom w:val="single" w:sz="12" w:space="0" w:color="auto"/>
              <w:right w:val="nil"/>
            </w:tcBorders>
            <w:shd w:val="clear" w:color="auto" w:fill="auto"/>
            <w:noWrap/>
            <w:vAlign w:val="bottom"/>
            <w:hideMark/>
          </w:tcPr>
          <w:p w:rsidR="00606D2C" w:rsidRPr="002C70E1" w:rsidRDefault="00606D2C" w:rsidP="00606D2C">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48" w:type="dxa"/>
            <w:tcBorders>
              <w:top w:val="single" w:sz="12" w:space="0" w:color="auto"/>
              <w:left w:val="nil"/>
              <w:bottom w:val="single" w:sz="12" w:space="0" w:color="auto"/>
              <w:right w:val="single" w:sz="12" w:space="0" w:color="auto"/>
            </w:tcBorders>
            <w:shd w:val="clear" w:color="auto" w:fill="auto"/>
            <w:noWrap/>
            <w:vAlign w:val="bottom"/>
            <w:hideMark/>
          </w:tcPr>
          <w:p w:rsidR="00606D2C" w:rsidRPr="002C70E1" w:rsidRDefault="00606D2C" w:rsidP="00606D2C">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1928" w:type="dxa"/>
            <w:tcBorders>
              <w:top w:val="double" w:sz="6" w:space="0" w:color="auto"/>
              <w:left w:val="nil"/>
              <w:right w:val="nil"/>
            </w:tcBorders>
            <w:shd w:val="clear" w:color="auto" w:fill="auto"/>
            <w:noWrap/>
            <w:vAlign w:val="bottom"/>
          </w:tcPr>
          <w:p w:rsidR="00606D2C" w:rsidRPr="002C70E1" w:rsidRDefault="00606D2C" w:rsidP="00606D2C">
            <w:pPr>
              <w:spacing w:before="0" w:after="0"/>
              <w:jc w:val="right"/>
              <w:rPr>
                <w:rFonts w:eastAsia="Times New Roman" w:cs="Arial"/>
                <w:color w:val="000000"/>
                <w:sz w:val="20"/>
                <w:szCs w:val="24"/>
                <w:lang w:eastAsia="cs-CZ"/>
              </w:rPr>
            </w:pPr>
          </w:p>
        </w:tc>
        <w:tc>
          <w:tcPr>
            <w:tcW w:w="1770" w:type="dxa"/>
            <w:tcBorders>
              <w:top w:val="single" w:sz="8" w:space="0" w:color="auto"/>
              <w:left w:val="nil"/>
              <w:right w:val="single" w:sz="12" w:space="0" w:color="auto"/>
            </w:tcBorders>
            <w:shd w:val="clear" w:color="auto" w:fill="auto"/>
            <w:noWrap/>
            <w:vAlign w:val="bottom"/>
          </w:tcPr>
          <w:p w:rsidR="00606D2C" w:rsidRPr="002C70E1" w:rsidRDefault="00606D2C" w:rsidP="00606D2C">
            <w:pPr>
              <w:spacing w:before="0" w:after="0"/>
              <w:jc w:val="right"/>
              <w:rPr>
                <w:rFonts w:eastAsia="Times New Roman" w:cs="Arial"/>
                <w:color w:val="000000"/>
                <w:sz w:val="20"/>
                <w:szCs w:val="24"/>
                <w:lang w:eastAsia="cs-CZ"/>
              </w:rPr>
            </w:pPr>
          </w:p>
        </w:tc>
        <w:tc>
          <w:tcPr>
            <w:tcW w:w="1654" w:type="dxa"/>
            <w:tcBorders>
              <w:top w:val="single" w:sz="8" w:space="0" w:color="auto"/>
              <w:left w:val="single" w:sz="12" w:space="0" w:color="auto"/>
              <w:bottom w:val="single" w:sz="12" w:space="0" w:color="auto"/>
            </w:tcBorders>
            <w:shd w:val="clear" w:color="auto" w:fill="auto"/>
            <w:noWrap/>
            <w:vAlign w:val="bottom"/>
          </w:tcPr>
          <w:p w:rsidR="00606D2C" w:rsidRPr="002C70E1" w:rsidRDefault="00606D2C" w:rsidP="00606D2C">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78" w:type="dxa"/>
            <w:tcBorders>
              <w:top w:val="single" w:sz="12" w:space="0" w:color="auto"/>
              <w:bottom w:val="single" w:sz="12" w:space="0" w:color="auto"/>
              <w:right w:val="single" w:sz="12" w:space="0" w:color="auto"/>
            </w:tcBorders>
            <w:shd w:val="clear" w:color="auto" w:fill="auto"/>
            <w:noWrap/>
            <w:vAlign w:val="bottom"/>
          </w:tcPr>
          <w:p w:rsidR="00606D2C" w:rsidRPr="002C70E1" w:rsidRDefault="00606D2C" w:rsidP="00606D2C">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L</w:t>
            </w:r>
          </w:p>
        </w:tc>
      </w:tr>
      <w:tr w:rsidR="00606D2C" w:rsidRPr="002C70E1" w:rsidTr="00606D2C">
        <w:trPr>
          <w:trHeight w:val="315"/>
        </w:trPr>
        <w:tc>
          <w:tcPr>
            <w:tcW w:w="732"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606D2C" w:rsidRPr="002C70E1" w:rsidRDefault="00606D2C" w:rsidP="00606D2C">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Veřejná služba</w:t>
            </w:r>
          </w:p>
        </w:tc>
        <w:tc>
          <w:tcPr>
            <w:tcW w:w="2596" w:type="dxa"/>
            <w:gridSpan w:val="3"/>
            <w:tcBorders>
              <w:top w:val="single" w:sz="8" w:space="0" w:color="auto"/>
              <w:left w:val="nil"/>
            </w:tcBorders>
            <w:shd w:val="clear" w:color="auto" w:fill="auto"/>
            <w:noWrap/>
            <w:vAlign w:val="bottom"/>
          </w:tcPr>
          <w:p w:rsidR="00606D2C" w:rsidRPr="002C70E1" w:rsidRDefault="00606D2C" w:rsidP="00606D2C">
            <w:pPr>
              <w:spacing w:before="0" w:after="0"/>
              <w:jc w:val="right"/>
              <w:rPr>
                <w:rFonts w:eastAsia="Times New Roman" w:cs="Arial"/>
                <w:b/>
                <w:bCs/>
                <w:color w:val="000000"/>
                <w:sz w:val="20"/>
                <w:szCs w:val="24"/>
                <w:lang w:eastAsia="cs-CZ"/>
              </w:rPr>
            </w:pPr>
          </w:p>
        </w:tc>
        <w:tc>
          <w:tcPr>
            <w:tcW w:w="1166" w:type="dxa"/>
            <w:tcBorders>
              <w:top w:val="single" w:sz="8" w:space="0" w:color="auto"/>
            </w:tcBorders>
            <w:shd w:val="clear" w:color="auto" w:fill="auto"/>
            <w:noWrap/>
            <w:vAlign w:val="bottom"/>
          </w:tcPr>
          <w:p w:rsidR="00606D2C" w:rsidRPr="002C70E1" w:rsidRDefault="00606D2C" w:rsidP="00606D2C">
            <w:pPr>
              <w:spacing w:before="0" w:after="0"/>
              <w:jc w:val="center"/>
              <w:rPr>
                <w:rFonts w:eastAsia="Times New Roman" w:cs="Arial"/>
                <w:b/>
                <w:bCs/>
                <w:color w:val="000000"/>
                <w:sz w:val="20"/>
                <w:szCs w:val="24"/>
                <w:lang w:eastAsia="cs-CZ"/>
              </w:rPr>
            </w:pPr>
          </w:p>
        </w:tc>
        <w:tc>
          <w:tcPr>
            <w:tcW w:w="4746" w:type="dxa"/>
            <w:gridSpan w:val="3"/>
            <w:shd w:val="clear" w:color="auto" w:fill="auto"/>
            <w:noWrap/>
            <w:vAlign w:val="bottom"/>
            <w:hideMark/>
          </w:tcPr>
          <w:p w:rsidR="00606D2C" w:rsidRPr="002C70E1" w:rsidRDefault="00606D2C" w:rsidP="00606D2C">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54" w:type="dxa"/>
            <w:tcBorders>
              <w:top w:val="single" w:sz="12" w:space="0" w:color="auto"/>
            </w:tcBorders>
            <w:shd w:val="clear" w:color="auto" w:fill="auto"/>
            <w:noWrap/>
            <w:vAlign w:val="bottom"/>
            <w:hideMark/>
          </w:tcPr>
          <w:p w:rsidR="00606D2C" w:rsidRPr="002C70E1" w:rsidRDefault="00606D2C" w:rsidP="00606D2C">
            <w:pPr>
              <w:spacing w:before="0" w:after="0"/>
              <w:jc w:val="right"/>
              <w:rPr>
                <w:rFonts w:eastAsia="Times New Roman" w:cs="Arial"/>
                <w:color w:val="000000"/>
                <w:sz w:val="20"/>
                <w:szCs w:val="24"/>
                <w:lang w:eastAsia="cs-CZ"/>
              </w:rPr>
            </w:pPr>
            <w:r w:rsidRPr="002C70E1">
              <w:rPr>
                <w:rFonts w:eastAsia="Times New Roman" w:cs="Arial"/>
                <w:color w:val="000000"/>
                <w:sz w:val="20"/>
                <w:szCs w:val="24"/>
                <w:lang w:eastAsia="cs-CZ"/>
              </w:rPr>
              <w:t> </w:t>
            </w:r>
          </w:p>
        </w:tc>
        <w:tc>
          <w:tcPr>
            <w:tcW w:w="3078" w:type="dxa"/>
            <w:tcBorders>
              <w:top w:val="single" w:sz="12" w:space="0" w:color="auto"/>
              <w:right w:val="single" w:sz="8" w:space="0" w:color="auto"/>
            </w:tcBorders>
            <w:shd w:val="clear" w:color="auto" w:fill="auto"/>
            <w:noWrap/>
            <w:vAlign w:val="bottom"/>
            <w:hideMark/>
          </w:tcPr>
          <w:p w:rsidR="00606D2C" w:rsidRPr="002C70E1" w:rsidRDefault="00606D2C" w:rsidP="00606D2C">
            <w:pPr>
              <w:spacing w:before="0" w:after="0"/>
              <w:jc w:val="left"/>
              <w:rPr>
                <w:rFonts w:eastAsia="Times New Roman" w:cs="Arial"/>
                <w:color w:val="000000"/>
                <w:sz w:val="20"/>
                <w:szCs w:val="24"/>
                <w:lang w:eastAsia="cs-CZ"/>
              </w:rPr>
            </w:pPr>
            <w:r w:rsidRPr="002C70E1">
              <w:rPr>
                <w:rFonts w:eastAsia="Times New Roman" w:cs="Arial"/>
                <w:color w:val="000000"/>
                <w:sz w:val="20"/>
                <w:szCs w:val="24"/>
                <w:lang w:eastAsia="cs-CZ"/>
              </w:rPr>
              <w:t> </w:t>
            </w:r>
          </w:p>
        </w:tc>
      </w:tr>
      <w:tr w:rsidR="00606D2C" w:rsidRPr="002C70E1" w:rsidTr="00606D2C">
        <w:trPr>
          <w:trHeight w:val="408"/>
        </w:trPr>
        <w:tc>
          <w:tcPr>
            <w:tcW w:w="732"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606D2C">
            <w:pPr>
              <w:spacing w:before="0" w:after="0"/>
              <w:jc w:val="left"/>
              <w:rPr>
                <w:rFonts w:eastAsia="Times New Roman" w:cs="Arial"/>
                <w:b/>
                <w:bCs/>
                <w:color w:val="000000"/>
                <w:sz w:val="20"/>
                <w:szCs w:val="24"/>
                <w:lang w:eastAsia="cs-CZ"/>
              </w:rPr>
            </w:pPr>
          </w:p>
        </w:tc>
        <w:tc>
          <w:tcPr>
            <w:tcW w:w="13240" w:type="dxa"/>
            <w:gridSpan w:val="9"/>
            <w:tcBorders>
              <w:left w:val="nil"/>
              <w:bottom w:val="double" w:sz="6" w:space="0" w:color="auto"/>
              <w:right w:val="single" w:sz="8" w:space="0" w:color="000000"/>
            </w:tcBorders>
            <w:shd w:val="clear" w:color="auto" w:fill="auto"/>
            <w:hideMark/>
          </w:tcPr>
          <w:p w:rsidR="00606D2C" w:rsidRPr="002C70E1" w:rsidRDefault="00606D2C" w:rsidP="00606D2C">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Opětovné zavedení bonifikace výkonu veřejné služby s cílem aktivizovat osoby dlouhodobě nezaměstnané, resp. osoby nacházející se v hmotné nouzi s cílem podpořit uchování, resp. znovuzískání nezbytných pracovních návyků</w:t>
            </w:r>
          </w:p>
        </w:tc>
      </w:tr>
      <w:tr w:rsidR="00606D2C" w:rsidRPr="002C70E1" w:rsidTr="00606D2C">
        <w:trPr>
          <w:trHeight w:val="330"/>
        </w:trPr>
        <w:tc>
          <w:tcPr>
            <w:tcW w:w="732"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606D2C">
            <w:pPr>
              <w:spacing w:before="0" w:after="0"/>
              <w:jc w:val="left"/>
              <w:rPr>
                <w:rFonts w:eastAsia="Times New Roman" w:cs="Arial"/>
                <w:b/>
                <w:bCs/>
                <w:color w:val="000000"/>
                <w:sz w:val="20"/>
                <w:szCs w:val="24"/>
                <w:lang w:eastAsia="cs-CZ"/>
              </w:rPr>
            </w:pPr>
          </w:p>
        </w:tc>
        <w:tc>
          <w:tcPr>
            <w:tcW w:w="647" w:type="dxa"/>
            <w:tcBorders>
              <w:top w:val="double" w:sz="6" w:space="0" w:color="auto"/>
              <w:left w:val="single" w:sz="12" w:space="0" w:color="auto"/>
              <w:bottom w:val="single" w:sz="12" w:space="0" w:color="auto"/>
              <w:right w:val="nil"/>
            </w:tcBorders>
            <w:shd w:val="clear" w:color="000000" w:fill="00B050"/>
            <w:noWrap/>
            <w:vAlign w:val="bottom"/>
            <w:hideMark/>
          </w:tcPr>
          <w:p w:rsidR="00606D2C" w:rsidRPr="002C70E1" w:rsidRDefault="00606D2C" w:rsidP="00606D2C">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115" w:type="dxa"/>
            <w:gridSpan w:val="3"/>
            <w:tcBorders>
              <w:top w:val="double" w:sz="6" w:space="0" w:color="auto"/>
              <w:left w:val="nil"/>
              <w:bottom w:val="single" w:sz="12" w:space="0" w:color="auto"/>
              <w:right w:val="double" w:sz="6" w:space="0" w:color="auto"/>
            </w:tcBorders>
            <w:shd w:val="clear" w:color="000000" w:fill="00B050"/>
            <w:vAlign w:val="bottom"/>
            <w:hideMark/>
          </w:tcPr>
          <w:p w:rsidR="00606D2C" w:rsidRPr="002C70E1" w:rsidRDefault="00606D2C" w:rsidP="00606D2C">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Splněno</w:t>
            </w:r>
          </w:p>
        </w:tc>
        <w:tc>
          <w:tcPr>
            <w:tcW w:w="4746" w:type="dxa"/>
            <w:gridSpan w:val="3"/>
            <w:tcBorders>
              <w:top w:val="double" w:sz="6" w:space="0" w:color="auto"/>
              <w:left w:val="double" w:sz="6" w:space="0" w:color="auto"/>
              <w:bottom w:val="nil"/>
            </w:tcBorders>
            <w:shd w:val="clear" w:color="auto" w:fill="auto"/>
            <w:vAlign w:val="center"/>
            <w:hideMark/>
          </w:tcPr>
          <w:p w:rsidR="00606D2C" w:rsidRPr="002C70E1" w:rsidRDefault="00606D2C" w:rsidP="00606D2C">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54" w:type="dxa"/>
            <w:tcBorders>
              <w:top w:val="nil"/>
              <w:right w:val="nil"/>
            </w:tcBorders>
            <w:shd w:val="clear" w:color="auto" w:fill="auto"/>
            <w:vAlign w:val="center"/>
          </w:tcPr>
          <w:p w:rsidR="00606D2C" w:rsidRPr="002C70E1" w:rsidRDefault="00606D2C" w:rsidP="00606D2C">
            <w:pPr>
              <w:spacing w:before="0" w:after="0"/>
              <w:jc w:val="right"/>
              <w:rPr>
                <w:rFonts w:eastAsia="Times New Roman" w:cs="Arial"/>
                <w:color w:val="000000"/>
                <w:sz w:val="20"/>
                <w:szCs w:val="24"/>
                <w:lang w:eastAsia="cs-CZ"/>
              </w:rPr>
            </w:pPr>
          </w:p>
        </w:tc>
        <w:tc>
          <w:tcPr>
            <w:tcW w:w="3078" w:type="dxa"/>
            <w:tcBorders>
              <w:top w:val="nil"/>
              <w:left w:val="nil"/>
              <w:right w:val="single" w:sz="8" w:space="0" w:color="auto"/>
            </w:tcBorders>
            <w:shd w:val="clear" w:color="auto" w:fill="auto"/>
            <w:vAlign w:val="center"/>
          </w:tcPr>
          <w:p w:rsidR="00606D2C" w:rsidRPr="002C70E1" w:rsidRDefault="00606D2C" w:rsidP="00606D2C">
            <w:pPr>
              <w:spacing w:before="0" w:after="0"/>
              <w:jc w:val="center"/>
              <w:rPr>
                <w:rFonts w:eastAsia="Times New Roman" w:cs="Arial"/>
                <w:b/>
                <w:bCs/>
                <w:color w:val="000000"/>
                <w:sz w:val="20"/>
                <w:szCs w:val="24"/>
                <w:u w:val="single"/>
                <w:lang w:eastAsia="cs-CZ"/>
              </w:rPr>
            </w:pPr>
          </w:p>
        </w:tc>
      </w:tr>
      <w:tr w:rsidR="00606D2C" w:rsidRPr="002C70E1" w:rsidTr="00606D2C">
        <w:trPr>
          <w:trHeight w:val="553"/>
        </w:trPr>
        <w:tc>
          <w:tcPr>
            <w:tcW w:w="732"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606D2C">
            <w:pPr>
              <w:spacing w:before="0" w:after="0"/>
              <w:jc w:val="left"/>
              <w:rPr>
                <w:rFonts w:eastAsia="Times New Roman" w:cs="Arial"/>
                <w:b/>
                <w:bCs/>
                <w:color w:val="000000"/>
                <w:sz w:val="20"/>
                <w:szCs w:val="24"/>
                <w:lang w:eastAsia="cs-CZ"/>
              </w:rPr>
            </w:pPr>
          </w:p>
        </w:tc>
        <w:tc>
          <w:tcPr>
            <w:tcW w:w="647" w:type="dxa"/>
            <w:tcBorders>
              <w:top w:val="nil"/>
              <w:left w:val="nil"/>
              <w:bottom w:val="nil"/>
              <w:right w:val="single" w:sz="4" w:space="0" w:color="auto"/>
            </w:tcBorders>
            <w:shd w:val="clear" w:color="auto" w:fill="auto"/>
            <w:textDirection w:val="btLr"/>
            <w:vAlign w:val="center"/>
            <w:hideMark/>
          </w:tcPr>
          <w:p w:rsidR="00606D2C" w:rsidRPr="002C70E1" w:rsidRDefault="00606D2C" w:rsidP="00606D2C">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Min</w:t>
            </w:r>
            <w:r>
              <w:rPr>
                <w:rFonts w:eastAsia="Times New Roman" w:cs="Arial"/>
                <w:color w:val="000000"/>
                <w:sz w:val="20"/>
                <w:szCs w:val="24"/>
                <w:lang w:eastAsia="cs-CZ"/>
              </w:rPr>
              <w:t>.</w:t>
            </w:r>
          </w:p>
        </w:tc>
        <w:tc>
          <w:tcPr>
            <w:tcW w:w="12593" w:type="dxa"/>
            <w:gridSpan w:val="8"/>
            <w:tcBorders>
              <w:top w:val="nil"/>
              <w:left w:val="nil"/>
              <w:bottom w:val="nil"/>
              <w:right w:val="single" w:sz="8" w:space="0" w:color="000000"/>
            </w:tcBorders>
            <w:shd w:val="clear" w:color="auto" w:fill="auto"/>
            <w:hideMark/>
          </w:tcPr>
          <w:p w:rsidR="00606D2C" w:rsidRPr="004E56CF" w:rsidRDefault="00606D2C" w:rsidP="00606D2C">
            <w:pPr>
              <w:spacing w:before="0" w:after="0"/>
              <w:rPr>
                <w:rFonts w:eastAsia="Times New Roman" w:cs="Arial"/>
                <w:sz w:val="20"/>
                <w:szCs w:val="24"/>
                <w:lang w:eastAsia="cs-CZ"/>
              </w:rPr>
            </w:pPr>
            <w:r w:rsidRPr="004E56CF">
              <w:rPr>
                <w:rFonts w:eastAsia="Times New Roman" w:cs="Arial"/>
                <w:sz w:val="20"/>
                <w:szCs w:val="24"/>
                <w:lang w:eastAsia="cs-CZ"/>
              </w:rPr>
              <w:t>Zákonem č. 367/2016 Sb., došlo k novelizaci zákona č, 111/2006 Sb., o pomoci v hmotné nouzi s účinností od 1. 2. 2017. V 1. pololetí roku 2017 byly připravovány k implementaci do praxe potřebné metodické dokumenty.</w:t>
            </w:r>
          </w:p>
        </w:tc>
      </w:tr>
      <w:tr w:rsidR="00606D2C" w:rsidRPr="002C70E1" w:rsidTr="00606D2C">
        <w:trPr>
          <w:trHeight w:val="1661"/>
        </w:trPr>
        <w:tc>
          <w:tcPr>
            <w:tcW w:w="732"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606D2C">
            <w:pPr>
              <w:spacing w:before="0" w:after="0"/>
              <w:jc w:val="left"/>
              <w:rPr>
                <w:rFonts w:eastAsia="Times New Roman" w:cs="Arial"/>
                <w:b/>
                <w:bCs/>
                <w:color w:val="000000"/>
                <w:sz w:val="20"/>
                <w:szCs w:val="24"/>
                <w:lang w:eastAsia="cs-CZ"/>
              </w:rPr>
            </w:pPr>
          </w:p>
        </w:tc>
        <w:tc>
          <w:tcPr>
            <w:tcW w:w="647" w:type="dxa"/>
            <w:tcBorders>
              <w:top w:val="single" w:sz="4" w:space="0" w:color="auto"/>
              <w:left w:val="nil"/>
              <w:bottom w:val="single" w:sz="8" w:space="0" w:color="auto"/>
              <w:right w:val="single" w:sz="4" w:space="0" w:color="auto"/>
            </w:tcBorders>
            <w:shd w:val="clear" w:color="auto" w:fill="auto"/>
            <w:textDirection w:val="btLr"/>
            <w:vAlign w:val="center"/>
            <w:hideMark/>
          </w:tcPr>
          <w:p w:rsidR="00606D2C" w:rsidRPr="002C70E1" w:rsidRDefault="00606D2C" w:rsidP="00606D2C">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 xml:space="preserve">sledované </w:t>
            </w:r>
          </w:p>
        </w:tc>
        <w:tc>
          <w:tcPr>
            <w:tcW w:w="12593" w:type="dxa"/>
            <w:gridSpan w:val="8"/>
            <w:tcBorders>
              <w:top w:val="single" w:sz="4" w:space="0" w:color="auto"/>
              <w:left w:val="nil"/>
              <w:bottom w:val="single" w:sz="8" w:space="0" w:color="auto"/>
              <w:right w:val="single" w:sz="8" w:space="0" w:color="000000"/>
            </w:tcBorders>
            <w:shd w:val="clear" w:color="auto" w:fill="auto"/>
            <w:hideMark/>
          </w:tcPr>
          <w:p w:rsidR="00606D2C" w:rsidRDefault="00606D2C" w:rsidP="00606D2C">
            <w:pPr>
              <w:spacing w:before="0" w:after="0"/>
              <w:rPr>
                <w:rFonts w:eastAsia="Times New Roman" w:cs="Arial"/>
                <w:sz w:val="20"/>
                <w:szCs w:val="20"/>
                <w:lang w:eastAsia="cs-CZ"/>
              </w:rPr>
            </w:pPr>
            <w:r>
              <w:rPr>
                <w:rFonts w:eastAsia="Times New Roman" w:cs="Arial"/>
                <w:sz w:val="20"/>
                <w:szCs w:val="20"/>
                <w:lang w:eastAsia="cs-CZ"/>
              </w:rPr>
              <w:t>Uvedenou úpravou zákona č. 111/2006 Sb., o pomoci v hmotné nouzi</w:t>
            </w:r>
            <w:r w:rsidR="00820FB7">
              <w:rPr>
                <w:rFonts w:eastAsia="Times New Roman" w:cs="Arial"/>
                <w:sz w:val="20"/>
                <w:szCs w:val="20"/>
                <w:lang w:eastAsia="cs-CZ"/>
              </w:rPr>
              <w:t>,</w:t>
            </w:r>
            <w:r>
              <w:rPr>
                <w:rFonts w:eastAsia="Times New Roman" w:cs="Arial"/>
                <w:sz w:val="20"/>
                <w:szCs w:val="20"/>
                <w:lang w:eastAsia="cs-CZ"/>
              </w:rPr>
              <w:t xml:space="preserve"> došlo k opětovnému zavedení bonifikace výkonu veřejné služby osobou v hmotné nouzi. Hlavním principem novely k veřejné službě je, že dlouhodobě neaktivní osoba má nárok na příspěvek na živobytí ve výši existenčního minima (2</w:t>
            </w:r>
            <w:r w:rsidR="00820FB7">
              <w:rPr>
                <w:rFonts w:eastAsia="Times New Roman" w:cs="Arial"/>
                <w:sz w:val="20"/>
                <w:szCs w:val="20"/>
                <w:lang w:eastAsia="cs-CZ"/>
              </w:rPr>
              <w:t xml:space="preserve"> </w:t>
            </w:r>
            <w:r>
              <w:rPr>
                <w:rFonts w:eastAsia="Times New Roman" w:cs="Arial"/>
                <w:sz w:val="20"/>
                <w:szCs w:val="20"/>
                <w:lang w:eastAsia="cs-CZ"/>
              </w:rPr>
              <w:t xml:space="preserve">200 Kč). </w:t>
            </w:r>
            <w:r>
              <w:rPr>
                <w:sz w:val="20"/>
                <w:szCs w:val="20"/>
              </w:rPr>
              <w:t xml:space="preserve">Uvedené neplatí mimo jiné pro osobu, která vykonává veřejnou službu v rozsahu alespoň 20 hodin měsíčně, ta má nárok na příspěvek na živobytí ve výši životního minima. </w:t>
            </w:r>
            <w:r>
              <w:rPr>
                <w:rFonts w:eastAsia="Times New Roman" w:cs="Arial"/>
                <w:sz w:val="20"/>
                <w:szCs w:val="20"/>
                <w:lang w:eastAsia="cs-CZ"/>
              </w:rPr>
              <w:t>Přičemž pokud příjemce příspěvku na živobytí odpracuje na veřejné službě alespoň 30 hodin měsíčně, zvýší se mu příspěvek na živobytí o 605 Kč (v případě jednotlivce tedy na 4 015 Kč). Až 300 Kč navíc pak mohou ještě dostat ti, kteří prokáží, že mají zvýšené náklady s hledáním zaměstnání nebo s výkonem veřejné služby (celkově až 4 315 Kč). Na změny, které jsou upraveny v novele k veřejné službě, se zaměřuje Instrukce NM4 č. 1/2017 ze dne 26. 1. 2017.</w:t>
            </w:r>
          </w:p>
          <w:p w:rsidR="009A06DA" w:rsidRPr="002C70E1" w:rsidRDefault="009A06DA" w:rsidP="009A06DA">
            <w:pPr>
              <w:spacing w:after="0"/>
              <w:rPr>
                <w:rFonts w:eastAsia="Times New Roman" w:cs="Arial"/>
                <w:color w:val="000000"/>
                <w:sz w:val="20"/>
                <w:szCs w:val="24"/>
                <w:lang w:eastAsia="cs-CZ"/>
              </w:rPr>
            </w:pPr>
            <w:r>
              <w:rPr>
                <w:rFonts w:eastAsia="Times New Roman" w:cs="Arial"/>
                <w:sz w:val="20"/>
                <w:szCs w:val="20"/>
                <w:lang w:eastAsia="cs-CZ"/>
              </w:rPr>
              <w:t>V roce 2017 (stav k 31. 12. 2017) bylo ve spolupráci s UP ČR vytvořeno celkem 11 619 pozic veřejné služby, z čehož k datu 31. 12. 2017 bylo volných celkem 7 817 pozic, přičemž více jak ¼ pozic veřejné služby byla vytvořena v ULK (3 206), následoval MSK (1 621 pozic).</w:t>
            </w:r>
          </w:p>
        </w:tc>
      </w:tr>
    </w:tbl>
    <w:p w:rsidR="00606D2C" w:rsidRDefault="00606D2C" w:rsidP="00606D2C">
      <w:pPr>
        <w:jc w:val="left"/>
        <w:rPr>
          <w:sz w:val="20"/>
        </w:rPr>
      </w:pPr>
    </w:p>
    <w:p w:rsidR="00606D2C" w:rsidRDefault="00606D2C" w:rsidP="00606D2C">
      <w:pPr>
        <w:spacing w:after="200"/>
        <w:jc w:val="left"/>
        <w:rPr>
          <w:sz w:val="20"/>
        </w:rPr>
      </w:pPr>
      <w:r>
        <w:rPr>
          <w:sz w:val="20"/>
        </w:rPr>
        <w:br w:type="page"/>
      </w:r>
    </w:p>
    <w:tbl>
      <w:tblPr>
        <w:tblW w:w="14052" w:type="dxa"/>
        <w:tblInd w:w="47" w:type="dxa"/>
        <w:tblCellMar>
          <w:left w:w="70" w:type="dxa"/>
          <w:right w:w="70" w:type="dxa"/>
        </w:tblCellMar>
        <w:tblLook w:val="04A0" w:firstRow="1" w:lastRow="0" w:firstColumn="1" w:lastColumn="0" w:noHBand="0" w:noVBand="1"/>
      </w:tblPr>
      <w:tblGrid>
        <w:gridCol w:w="732"/>
        <w:gridCol w:w="647"/>
        <w:gridCol w:w="80"/>
        <w:gridCol w:w="1949"/>
        <w:gridCol w:w="1166"/>
        <w:gridCol w:w="1048"/>
        <w:gridCol w:w="1928"/>
        <w:gridCol w:w="1770"/>
        <w:gridCol w:w="1654"/>
        <w:gridCol w:w="3078"/>
      </w:tblGrid>
      <w:tr w:rsidR="00606D2C" w:rsidRPr="002C70E1" w:rsidTr="00606D2C">
        <w:trPr>
          <w:trHeight w:val="285"/>
        </w:trPr>
        <w:tc>
          <w:tcPr>
            <w:tcW w:w="732" w:type="dxa"/>
            <w:tcBorders>
              <w:top w:val="single" w:sz="8" w:space="0" w:color="auto"/>
              <w:left w:val="single" w:sz="8" w:space="0" w:color="auto"/>
              <w:bottom w:val="single" w:sz="4" w:space="0" w:color="auto"/>
              <w:right w:val="single" w:sz="12" w:space="0" w:color="auto"/>
            </w:tcBorders>
            <w:shd w:val="clear" w:color="000000" w:fill="DCE6F1"/>
            <w:noWrap/>
            <w:vAlign w:val="bottom"/>
            <w:hideMark/>
          </w:tcPr>
          <w:p w:rsidR="00606D2C" w:rsidRPr="002C70E1" w:rsidRDefault="00606D2C" w:rsidP="00606D2C">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1.2</w:t>
            </w:r>
          </w:p>
        </w:tc>
        <w:tc>
          <w:tcPr>
            <w:tcW w:w="727" w:type="dxa"/>
            <w:gridSpan w:val="2"/>
            <w:tcBorders>
              <w:top w:val="single" w:sz="12" w:space="0" w:color="auto"/>
              <w:left w:val="single" w:sz="12" w:space="0" w:color="auto"/>
              <w:bottom w:val="single" w:sz="12" w:space="0" w:color="auto"/>
            </w:tcBorders>
            <w:shd w:val="clear" w:color="auto" w:fill="auto"/>
            <w:noWrap/>
            <w:vAlign w:val="bottom"/>
            <w:hideMark/>
          </w:tcPr>
          <w:p w:rsidR="00606D2C" w:rsidRPr="002C70E1" w:rsidRDefault="00606D2C" w:rsidP="00606D2C">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1949" w:type="dxa"/>
            <w:tcBorders>
              <w:top w:val="single" w:sz="12" w:space="0" w:color="auto"/>
              <w:bottom w:val="single" w:sz="12" w:space="0" w:color="auto"/>
              <w:right w:val="single" w:sz="12" w:space="0" w:color="auto"/>
            </w:tcBorders>
            <w:shd w:val="clear" w:color="auto" w:fill="auto"/>
            <w:noWrap/>
            <w:vAlign w:val="bottom"/>
            <w:hideMark/>
          </w:tcPr>
          <w:p w:rsidR="00606D2C" w:rsidRPr="002C70E1" w:rsidRDefault="00606D2C" w:rsidP="00606D2C">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2016</w:t>
            </w:r>
          </w:p>
        </w:tc>
        <w:tc>
          <w:tcPr>
            <w:tcW w:w="1166" w:type="dxa"/>
            <w:tcBorders>
              <w:top w:val="single" w:sz="12" w:space="0" w:color="auto"/>
              <w:left w:val="single" w:sz="12" w:space="0" w:color="auto"/>
              <w:bottom w:val="single" w:sz="12" w:space="0" w:color="auto"/>
            </w:tcBorders>
            <w:shd w:val="clear" w:color="auto" w:fill="auto"/>
            <w:noWrap/>
            <w:vAlign w:val="bottom"/>
            <w:hideMark/>
          </w:tcPr>
          <w:p w:rsidR="00606D2C" w:rsidRPr="002C70E1" w:rsidRDefault="00606D2C" w:rsidP="00606D2C">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48" w:type="dxa"/>
            <w:tcBorders>
              <w:top w:val="single" w:sz="12" w:space="0" w:color="auto"/>
              <w:bottom w:val="single" w:sz="12" w:space="0" w:color="auto"/>
              <w:right w:val="single" w:sz="12" w:space="0" w:color="auto"/>
            </w:tcBorders>
            <w:shd w:val="clear" w:color="auto" w:fill="auto"/>
            <w:noWrap/>
            <w:vAlign w:val="bottom"/>
            <w:hideMark/>
          </w:tcPr>
          <w:p w:rsidR="00606D2C" w:rsidRPr="002C70E1" w:rsidRDefault="00606D2C" w:rsidP="00606D2C">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1928" w:type="dxa"/>
            <w:tcBorders>
              <w:top w:val="single" w:sz="12" w:space="0" w:color="auto"/>
              <w:left w:val="single" w:sz="12" w:space="0" w:color="auto"/>
            </w:tcBorders>
            <w:shd w:val="clear" w:color="auto" w:fill="auto"/>
            <w:noWrap/>
            <w:vAlign w:val="bottom"/>
          </w:tcPr>
          <w:p w:rsidR="00606D2C" w:rsidRPr="002C70E1" w:rsidRDefault="00606D2C" w:rsidP="00606D2C">
            <w:pPr>
              <w:spacing w:before="0" w:after="0"/>
              <w:jc w:val="right"/>
              <w:rPr>
                <w:rFonts w:eastAsia="Times New Roman" w:cs="Arial"/>
                <w:color w:val="000000"/>
                <w:sz w:val="20"/>
                <w:szCs w:val="24"/>
                <w:lang w:eastAsia="cs-CZ"/>
              </w:rPr>
            </w:pPr>
          </w:p>
        </w:tc>
        <w:tc>
          <w:tcPr>
            <w:tcW w:w="1770" w:type="dxa"/>
            <w:tcBorders>
              <w:top w:val="single" w:sz="12" w:space="0" w:color="auto"/>
              <w:right w:val="single" w:sz="12" w:space="0" w:color="auto"/>
            </w:tcBorders>
            <w:shd w:val="clear" w:color="auto" w:fill="auto"/>
            <w:noWrap/>
            <w:vAlign w:val="bottom"/>
          </w:tcPr>
          <w:p w:rsidR="00606D2C" w:rsidRPr="002C70E1" w:rsidRDefault="00606D2C" w:rsidP="00606D2C">
            <w:pPr>
              <w:spacing w:before="0" w:after="0"/>
              <w:jc w:val="right"/>
              <w:rPr>
                <w:rFonts w:eastAsia="Times New Roman" w:cs="Arial"/>
                <w:color w:val="000000"/>
                <w:sz w:val="20"/>
                <w:szCs w:val="24"/>
                <w:lang w:eastAsia="cs-CZ"/>
              </w:rPr>
            </w:pPr>
          </w:p>
        </w:tc>
        <w:tc>
          <w:tcPr>
            <w:tcW w:w="1654" w:type="dxa"/>
            <w:tcBorders>
              <w:top w:val="single" w:sz="12" w:space="0" w:color="auto"/>
              <w:left w:val="single" w:sz="12" w:space="0" w:color="auto"/>
              <w:bottom w:val="single" w:sz="12" w:space="0" w:color="auto"/>
            </w:tcBorders>
            <w:shd w:val="clear" w:color="auto" w:fill="auto"/>
            <w:noWrap/>
            <w:vAlign w:val="bottom"/>
          </w:tcPr>
          <w:p w:rsidR="00606D2C" w:rsidRPr="002C70E1" w:rsidRDefault="00606D2C" w:rsidP="00606D2C">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78" w:type="dxa"/>
            <w:tcBorders>
              <w:top w:val="single" w:sz="12" w:space="0" w:color="auto"/>
              <w:bottom w:val="single" w:sz="12" w:space="0" w:color="auto"/>
              <w:right w:val="single" w:sz="12" w:space="0" w:color="auto"/>
            </w:tcBorders>
            <w:shd w:val="clear" w:color="auto" w:fill="auto"/>
            <w:noWrap/>
            <w:vAlign w:val="bottom"/>
          </w:tcPr>
          <w:p w:rsidR="00606D2C" w:rsidRPr="002C70E1" w:rsidRDefault="00606D2C" w:rsidP="00606D2C">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L</w:t>
            </w:r>
          </w:p>
        </w:tc>
      </w:tr>
      <w:tr w:rsidR="00606D2C" w:rsidRPr="002C70E1" w:rsidTr="00606D2C">
        <w:trPr>
          <w:trHeight w:val="285"/>
        </w:trPr>
        <w:tc>
          <w:tcPr>
            <w:tcW w:w="732"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606D2C" w:rsidRPr="002C70E1" w:rsidRDefault="00606D2C" w:rsidP="00606D2C">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Revize nekolidujícího zaměstnání</w:t>
            </w:r>
          </w:p>
        </w:tc>
        <w:tc>
          <w:tcPr>
            <w:tcW w:w="2676" w:type="dxa"/>
            <w:gridSpan w:val="3"/>
            <w:tcBorders>
              <w:top w:val="single" w:sz="8" w:space="0" w:color="auto"/>
              <w:left w:val="nil"/>
            </w:tcBorders>
            <w:shd w:val="clear" w:color="auto" w:fill="auto"/>
            <w:noWrap/>
            <w:vAlign w:val="bottom"/>
          </w:tcPr>
          <w:p w:rsidR="00606D2C" w:rsidRPr="002C70E1" w:rsidRDefault="00606D2C" w:rsidP="00606D2C">
            <w:pPr>
              <w:spacing w:before="0" w:after="0"/>
              <w:jc w:val="right"/>
              <w:rPr>
                <w:rFonts w:eastAsia="Times New Roman" w:cs="Arial"/>
                <w:b/>
                <w:bCs/>
                <w:color w:val="000000"/>
                <w:sz w:val="20"/>
                <w:szCs w:val="24"/>
                <w:lang w:eastAsia="cs-CZ"/>
              </w:rPr>
            </w:pPr>
          </w:p>
        </w:tc>
        <w:tc>
          <w:tcPr>
            <w:tcW w:w="1166" w:type="dxa"/>
            <w:tcBorders>
              <w:top w:val="single" w:sz="8" w:space="0" w:color="auto"/>
            </w:tcBorders>
            <w:shd w:val="clear" w:color="auto" w:fill="auto"/>
            <w:noWrap/>
            <w:vAlign w:val="bottom"/>
          </w:tcPr>
          <w:p w:rsidR="00606D2C" w:rsidRPr="002C70E1" w:rsidRDefault="00606D2C" w:rsidP="00606D2C">
            <w:pPr>
              <w:spacing w:before="0" w:after="0"/>
              <w:jc w:val="center"/>
              <w:rPr>
                <w:rFonts w:eastAsia="Times New Roman" w:cs="Arial"/>
                <w:b/>
                <w:bCs/>
                <w:color w:val="000000"/>
                <w:sz w:val="20"/>
                <w:szCs w:val="24"/>
                <w:lang w:eastAsia="cs-CZ"/>
              </w:rPr>
            </w:pPr>
          </w:p>
        </w:tc>
        <w:tc>
          <w:tcPr>
            <w:tcW w:w="4746" w:type="dxa"/>
            <w:gridSpan w:val="3"/>
            <w:shd w:val="clear" w:color="auto" w:fill="auto"/>
            <w:noWrap/>
            <w:vAlign w:val="bottom"/>
            <w:hideMark/>
          </w:tcPr>
          <w:p w:rsidR="00606D2C" w:rsidRPr="002C70E1" w:rsidRDefault="00606D2C" w:rsidP="00606D2C">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54" w:type="dxa"/>
            <w:tcBorders>
              <w:top w:val="single" w:sz="12" w:space="0" w:color="auto"/>
            </w:tcBorders>
            <w:shd w:val="clear" w:color="auto" w:fill="auto"/>
            <w:noWrap/>
            <w:vAlign w:val="bottom"/>
            <w:hideMark/>
          </w:tcPr>
          <w:p w:rsidR="00606D2C" w:rsidRPr="002C70E1" w:rsidRDefault="00606D2C" w:rsidP="00606D2C">
            <w:pPr>
              <w:spacing w:before="0" w:after="0"/>
              <w:jc w:val="right"/>
              <w:rPr>
                <w:rFonts w:eastAsia="Times New Roman" w:cs="Arial"/>
                <w:color w:val="000000"/>
                <w:sz w:val="20"/>
                <w:szCs w:val="24"/>
                <w:lang w:eastAsia="cs-CZ"/>
              </w:rPr>
            </w:pPr>
            <w:r w:rsidRPr="002C70E1">
              <w:rPr>
                <w:rFonts w:eastAsia="Times New Roman" w:cs="Arial"/>
                <w:color w:val="000000"/>
                <w:sz w:val="20"/>
                <w:szCs w:val="24"/>
                <w:lang w:eastAsia="cs-CZ"/>
              </w:rPr>
              <w:t> </w:t>
            </w:r>
          </w:p>
        </w:tc>
        <w:tc>
          <w:tcPr>
            <w:tcW w:w="3078" w:type="dxa"/>
            <w:tcBorders>
              <w:top w:val="single" w:sz="12" w:space="0" w:color="auto"/>
              <w:right w:val="single" w:sz="8" w:space="0" w:color="auto"/>
            </w:tcBorders>
            <w:shd w:val="clear" w:color="auto" w:fill="auto"/>
            <w:noWrap/>
            <w:vAlign w:val="bottom"/>
            <w:hideMark/>
          </w:tcPr>
          <w:p w:rsidR="00606D2C" w:rsidRPr="002C70E1" w:rsidRDefault="00606D2C" w:rsidP="00606D2C">
            <w:pPr>
              <w:spacing w:before="0" w:after="0"/>
              <w:jc w:val="left"/>
              <w:rPr>
                <w:rFonts w:eastAsia="Times New Roman" w:cs="Arial"/>
                <w:color w:val="000000"/>
                <w:sz w:val="20"/>
                <w:szCs w:val="24"/>
                <w:lang w:eastAsia="cs-CZ"/>
              </w:rPr>
            </w:pPr>
            <w:r w:rsidRPr="002C70E1">
              <w:rPr>
                <w:rFonts w:eastAsia="Times New Roman" w:cs="Arial"/>
                <w:color w:val="000000"/>
                <w:sz w:val="20"/>
                <w:szCs w:val="24"/>
                <w:lang w:eastAsia="cs-CZ"/>
              </w:rPr>
              <w:t> </w:t>
            </w:r>
          </w:p>
        </w:tc>
      </w:tr>
      <w:tr w:rsidR="00606D2C" w:rsidRPr="002C70E1" w:rsidTr="00606D2C">
        <w:trPr>
          <w:trHeight w:val="1372"/>
        </w:trPr>
        <w:tc>
          <w:tcPr>
            <w:tcW w:w="732"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606D2C">
            <w:pPr>
              <w:spacing w:before="0" w:after="0"/>
              <w:jc w:val="left"/>
              <w:rPr>
                <w:rFonts w:eastAsia="Times New Roman" w:cs="Arial"/>
                <w:b/>
                <w:bCs/>
                <w:color w:val="000000"/>
                <w:sz w:val="20"/>
                <w:szCs w:val="24"/>
                <w:lang w:eastAsia="cs-CZ"/>
              </w:rPr>
            </w:pPr>
          </w:p>
        </w:tc>
        <w:tc>
          <w:tcPr>
            <w:tcW w:w="13320" w:type="dxa"/>
            <w:gridSpan w:val="9"/>
            <w:tcBorders>
              <w:left w:val="nil"/>
              <w:bottom w:val="double" w:sz="6" w:space="0" w:color="auto"/>
              <w:right w:val="single" w:sz="8" w:space="0" w:color="000000"/>
            </w:tcBorders>
            <w:shd w:val="clear" w:color="auto" w:fill="auto"/>
            <w:hideMark/>
          </w:tcPr>
          <w:p w:rsidR="00606D2C" w:rsidRPr="002C70E1" w:rsidRDefault="00606D2C" w:rsidP="00606D2C">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 xml:space="preserve">Částečné zaměstnávání v souběhu s vedením v evidenci </w:t>
            </w:r>
            <w:proofErr w:type="spellStart"/>
            <w:r>
              <w:rPr>
                <w:rFonts w:eastAsia="Times New Roman" w:cs="Arial"/>
                <w:color w:val="000000"/>
                <w:sz w:val="20"/>
                <w:szCs w:val="24"/>
                <w:lang w:eastAsia="cs-CZ"/>
              </w:rPr>
              <w:t>UoZ</w:t>
            </w:r>
            <w:proofErr w:type="spellEnd"/>
            <w:r w:rsidRPr="002C70E1">
              <w:rPr>
                <w:rFonts w:eastAsia="Times New Roman" w:cs="Arial"/>
                <w:color w:val="000000"/>
                <w:sz w:val="20"/>
                <w:szCs w:val="24"/>
                <w:lang w:eastAsia="cs-CZ"/>
              </w:rPr>
              <w:t xml:space="preserve"> je umožněno od počátku úč</w:t>
            </w:r>
            <w:r>
              <w:rPr>
                <w:rFonts w:eastAsia="Times New Roman" w:cs="Arial"/>
                <w:color w:val="000000"/>
                <w:sz w:val="20"/>
                <w:szCs w:val="24"/>
                <w:lang w:eastAsia="cs-CZ"/>
              </w:rPr>
              <w:t>innosti zákona o zaměstnanosti</w:t>
            </w:r>
            <w:r w:rsidRPr="002C70E1">
              <w:rPr>
                <w:rFonts w:eastAsia="Times New Roman" w:cs="Arial"/>
                <w:color w:val="000000"/>
                <w:sz w:val="20"/>
                <w:szCs w:val="24"/>
                <w:lang w:eastAsia="cs-CZ"/>
              </w:rPr>
              <w:t xml:space="preserve">. Cílem bylo umožnit zachování pracovních návyků </w:t>
            </w:r>
            <w:proofErr w:type="spellStart"/>
            <w:r>
              <w:rPr>
                <w:rFonts w:eastAsia="Times New Roman" w:cs="Arial"/>
                <w:color w:val="000000"/>
                <w:sz w:val="20"/>
                <w:szCs w:val="24"/>
                <w:lang w:eastAsia="cs-CZ"/>
              </w:rPr>
              <w:t>UoZ</w:t>
            </w:r>
            <w:proofErr w:type="spellEnd"/>
            <w:r w:rsidRPr="002C70E1">
              <w:rPr>
                <w:rFonts w:eastAsia="Times New Roman" w:cs="Arial"/>
                <w:color w:val="000000"/>
                <w:sz w:val="20"/>
                <w:szCs w:val="24"/>
                <w:lang w:eastAsia="cs-CZ"/>
              </w:rPr>
              <w:t xml:space="preserve">, případně jejich získání, a podpoření snahy o zvýšení příjmu vlastní prací. Z aktuálních dat vyplývá, že počet vykonávaných nekolidujících zaměstnání se zvyšuje, při tom jsou vykonávány </w:t>
            </w:r>
            <w:proofErr w:type="spellStart"/>
            <w:r>
              <w:rPr>
                <w:rFonts w:eastAsia="Times New Roman" w:cs="Arial"/>
                <w:color w:val="000000"/>
                <w:sz w:val="20"/>
                <w:szCs w:val="24"/>
                <w:lang w:eastAsia="cs-CZ"/>
              </w:rPr>
              <w:t>UoZ</w:t>
            </w:r>
            <w:proofErr w:type="spellEnd"/>
            <w:r w:rsidRPr="002C70E1">
              <w:rPr>
                <w:rFonts w:eastAsia="Times New Roman" w:cs="Arial"/>
                <w:color w:val="000000"/>
                <w:sz w:val="20"/>
                <w:szCs w:val="24"/>
                <w:lang w:eastAsia="cs-CZ"/>
              </w:rPr>
              <w:t>, kteří neztratili pracovní návyky. MPSV připraví variantní řešení regulace nekolidujícího zaměstnání tak, aby byla zachována jeho funkčnost, ale zároveň došlo k eliminaci jeho negativních dopadů na zprostředkování zaměstnání. Variabilita možného řešení se pohybuje od úplného zrušení nekolidujícího zaměstnání po jeho regulaci v oblasti maximální možné odměny, rozsahu či formy využívaného pracovněprávního vztahu.</w:t>
            </w:r>
          </w:p>
        </w:tc>
      </w:tr>
      <w:tr w:rsidR="00606D2C" w:rsidRPr="002C70E1" w:rsidTr="00606D2C">
        <w:trPr>
          <w:trHeight w:val="285"/>
        </w:trPr>
        <w:tc>
          <w:tcPr>
            <w:tcW w:w="732" w:type="dxa"/>
            <w:vMerge/>
            <w:tcBorders>
              <w:top w:val="nil"/>
              <w:left w:val="single" w:sz="8" w:space="0" w:color="auto"/>
              <w:bottom w:val="single" w:sz="8" w:space="0" w:color="000000"/>
              <w:right w:val="double" w:sz="6" w:space="0" w:color="auto"/>
            </w:tcBorders>
            <w:vAlign w:val="center"/>
            <w:hideMark/>
          </w:tcPr>
          <w:p w:rsidR="00606D2C" w:rsidRPr="002C70E1" w:rsidRDefault="00606D2C" w:rsidP="00606D2C">
            <w:pPr>
              <w:spacing w:before="0" w:after="0"/>
              <w:jc w:val="left"/>
              <w:rPr>
                <w:rFonts w:eastAsia="Times New Roman" w:cs="Arial"/>
                <w:b/>
                <w:bCs/>
                <w:color w:val="000000"/>
                <w:sz w:val="20"/>
                <w:szCs w:val="24"/>
                <w:lang w:eastAsia="cs-CZ"/>
              </w:rPr>
            </w:pPr>
          </w:p>
        </w:tc>
        <w:tc>
          <w:tcPr>
            <w:tcW w:w="647" w:type="dxa"/>
            <w:tcBorders>
              <w:top w:val="double" w:sz="6" w:space="0" w:color="auto"/>
              <w:left w:val="double" w:sz="6" w:space="0" w:color="auto"/>
              <w:bottom w:val="double" w:sz="6" w:space="0" w:color="auto"/>
              <w:right w:val="nil"/>
            </w:tcBorders>
            <w:shd w:val="clear" w:color="000000" w:fill="00B050"/>
            <w:noWrap/>
            <w:vAlign w:val="bottom"/>
            <w:hideMark/>
          </w:tcPr>
          <w:p w:rsidR="00606D2C" w:rsidRPr="002C70E1" w:rsidRDefault="00606D2C" w:rsidP="00606D2C">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195" w:type="dxa"/>
            <w:gridSpan w:val="3"/>
            <w:tcBorders>
              <w:top w:val="double" w:sz="6" w:space="0" w:color="auto"/>
              <w:left w:val="nil"/>
              <w:bottom w:val="double" w:sz="6" w:space="0" w:color="auto"/>
              <w:right w:val="double" w:sz="6" w:space="0" w:color="auto"/>
            </w:tcBorders>
            <w:shd w:val="clear" w:color="000000" w:fill="00B050"/>
            <w:vAlign w:val="bottom"/>
            <w:hideMark/>
          </w:tcPr>
          <w:p w:rsidR="00606D2C" w:rsidRPr="002C70E1" w:rsidRDefault="00606D2C" w:rsidP="00606D2C">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Splněno</w:t>
            </w:r>
          </w:p>
        </w:tc>
        <w:tc>
          <w:tcPr>
            <w:tcW w:w="4746" w:type="dxa"/>
            <w:gridSpan w:val="3"/>
            <w:tcBorders>
              <w:top w:val="double" w:sz="6" w:space="0" w:color="auto"/>
              <w:left w:val="double" w:sz="6" w:space="0" w:color="auto"/>
            </w:tcBorders>
            <w:shd w:val="clear" w:color="auto" w:fill="auto"/>
            <w:vAlign w:val="center"/>
            <w:hideMark/>
          </w:tcPr>
          <w:p w:rsidR="00606D2C" w:rsidRPr="002C70E1" w:rsidRDefault="00606D2C" w:rsidP="00606D2C">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54" w:type="dxa"/>
            <w:tcBorders>
              <w:top w:val="nil"/>
            </w:tcBorders>
            <w:shd w:val="clear" w:color="auto" w:fill="auto"/>
            <w:vAlign w:val="center"/>
          </w:tcPr>
          <w:p w:rsidR="00606D2C" w:rsidRPr="002C70E1" w:rsidRDefault="00606D2C" w:rsidP="00606D2C">
            <w:pPr>
              <w:spacing w:before="0" w:after="0"/>
              <w:jc w:val="right"/>
              <w:rPr>
                <w:rFonts w:eastAsia="Times New Roman" w:cs="Arial"/>
                <w:color w:val="000000"/>
                <w:sz w:val="20"/>
                <w:szCs w:val="24"/>
                <w:lang w:eastAsia="cs-CZ"/>
              </w:rPr>
            </w:pPr>
          </w:p>
        </w:tc>
        <w:tc>
          <w:tcPr>
            <w:tcW w:w="3078" w:type="dxa"/>
            <w:tcBorders>
              <w:top w:val="nil"/>
              <w:right w:val="single" w:sz="8" w:space="0" w:color="auto"/>
            </w:tcBorders>
            <w:shd w:val="clear" w:color="auto" w:fill="auto"/>
            <w:vAlign w:val="center"/>
          </w:tcPr>
          <w:p w:rsidR="00606D2C" w:rsidRPr="002C70E1" w:rsidRDefault="00606D2C" w:rsidP="00606D2C">
            <w:pPr>
              <w:spacing w:before="0" w:after="0"/>
              <w:jc w:val="center"/>
              <w:rPr>
                <w:rFonts w:eastAsia="Times New Roman" w:cs="Arial"/>
                <w:b/>
                <w:bCs/>
                <w:color w:val="000000"/>
                <w:sz w:val="20"/>
                <w:szCs w:val="24"/>
                <w:u w:val="single"/>
                <w:lang w:eastAsia="cs-CZ"/>
              </w:rPr>
            </w:pPr>
          </w:p>
        </w:tc>
      </w:tr>
      <w:tr w:rsidR="00606D2C" w:rsidRPr="002C70E1" w:rsidTr="00606D2C">
        <w:trPr>
          <w:trHeight w:val="945"/>
        </w:trPr>
        <w:tc>
          <w:tcPr>
            <w:tcW w:w="732"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606D2C">
            <w:pPr>
              <w:spacing w:before="0" w:after="0"/>
              <w:jc w:val="left"/>
              <w:rPr>
                <w:rFonts w:eastAsia="Times New Roman" w:cs="Arial"/>
                <w:b/>
                <w:bCs/>
                <w:color w:val="000000"/>
                <w:sz w:val="20"/>
                <w:szCs w:val="24"/>
                <w:lang w:eastAsia="cs-CZ"/>
              </w:rPr>
            </w:pPr>
          </w:p>
        </w:tc>
        <w:tc>
          <w:tcPr>
            <w:tcW w:w="647" w:type="dxa"/>
            <w:tcBorders>
              <w:top w:val="nil"/>
              <w:left w:val="nil"/>
              <w:bottom w:val="nil"/>
              <w:right w:val="single" w:sz="4" w:space="0" w:color="auto"/>
            </w:tcBorders>
            <w:shd w:val="clear" w:color="auto" w:fill="auto"/>
            <w:textDirection w:val="btLr"/>
            <w:vAlign w:val="center"/>
            <w:hideMark/>
          </w:tcPr>
          <w:p w:rsidR="00606D2C" w:rsidRPr="002C70E1" w:rsidRDefault="00606D2C" w:rsidP="00606D2C">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minulé</w:t>
            </w:r>
          </w:p>
        </w:tc>
        <w:tc>
          <w:tcPr>
            <w:tcW w:w="12673" w:type="dxa"/>
            <w:gridSpan w:val="8"/>
            <w:tcBorders>
              <w:top w:val="nil"/>
              <w:left w:val="nil"/>
              <w:bottom w:val="nil"/>
              <w:right w:val="single" w:sz="8" w:space="0" w:color="000000"/>
            </w:tcBorders>
            <w:shd w:val="clear" w:color="auto" w:fill="auto"/>
            <w:hideMark/>
          </w:tcPr>
          <w:p w:rsidR="00606D2C" w:rsidRPr="002C70E1" w:rsidRDefault="00606D2C" w:rsidP="00750355">
            <w:pPr>
              <w:spacing w:before="0" w:after="0"/>
              <w:rPr>
                <w:rFonts w:eastAsia="Times New Roman" w:cs="Arial"/>
                <w:color w:val="000000"/>
                <w:sz w:val="20"/>
                <w:szCs w:val="24"/>
                <w:lang w:eastAsia="cs-CZ"/>
              </w:rPr>
            </w:pPr>
            <w:r w:rsidRPr="004E56CF">
              <w:rPr>
                <w:rFonts w:eastAsia="Times New Roman" w:cs="Arial"/>
                <w:sz w:val="20"/>
                <w:szCs w:val="24"/>
                <w:lang w:eastAsia="cs-CZ"/>
              </w:rPr>
              <w:t xml:space="preserve">Zákonem č. 206/2017 Sb. došlo k novelizaci zákona č. 435/2004 Sb., o zaměstnanosti, a to s účinností od 29. 7. 2017. Na základě této úpravy je tzv. „nekolidující zaměstnání“ možné vykonávat pouze na základě pracovního či služebního </w:t>
            </w:r>
            <w:r w:rsidR="00820FB7">
              <w:rPr>
                <w:rFonts w:eastAsia="Times New Roman" w:cs="Arial"/>
                <w:sz w:val="20"/>
                <w:szCs w:val="24"/>
                <w:lang w:eastAsia="cs-CZ"/>
              </w:rPr>
              <w:t>poměru nebo na základě dohody o </w:t>
            </w:r>
            <w:r w:rsidR="00750355">
              <w:rPr>
                <w:rFonts w:eastAsia="Times New Roman" w:cs="Arial"/>
                <w:sz w:val="20"/>
                <w:szCs w:val="24"/>
                <w:lang w:eastAsia="cs-CZ"/>
              </w:rPr>
              <w:t>pracovní činnosti</w:t>
            </w:r>
            <w:r w:rsidRPr="004E56CF">
              <w:rPr>
                <w:rFonts w:eastAsia="Times New Roman" w:cs="Arial"/>
                <w:sz w:val="20"/>
                <w:szCs w:val="24"/>
                <w:lang w:eastAsia="cs-CZ"/>
              </w:rPr>
              <w:t xml:space="preserve">. </w:t>
            </w:r>
          </w:p>
        </w:tc>
      </w:tr>
      <w:tr w:rsidR="00606D2C" w:rsidRPr="002C70E1" w:rsidTr="00606D2C">
        <w:trPr>
          <w:trHeight w:val="2550"/>
        </w:trPr>
        <w:tc>
          <w:tcPr>
            <w:tcW w:w="732"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606D2C">
            <w:pPr>
              <w:spacing w:before="0" w:after="0"/>
              <w:jc w:val="left"/>
              <w:rPr>
                <w:rFonts w:eastAsia="Times New Roman" w:cs="Arial"/>
                <w:b/>
                <w:bCs/>
                <w:color w:val="000000"/>
                <w:sz w:val="20"/>
                <w:szCs w:val="24"/>
                <w:lang w:eastAsia="cs-CZ"/>
              </w:rPr>
            </w:pPr>
          </w:p>
        </w:tc>
        <w:tc>
          <w:tcPr>
            <w:tcW w:w="647" w:type="dxa"/>
            <w:tcBorders>
              <w:top w:val="single" w:sz="4" w:space="0" w:color="auto"/>
              <w:left w:val="nil"/>
              <w:bottom w:val="single" w:sz="8" w:space="0" w:color="auto"/>
              <w:right w:val="single" w:sz="4" w:space="0" w:color="auto"/>
            </w:tcBorders>
            <w:shd w:val="clear" w:color="auto" w:fill="auto"/>
            <w:textDirection w:val="btLr"/>
            <w:vAlign w:val="center"/>
            <w:hideMark/>
          </w:tcPr>
          <w:p w:rsidR="00606D2C" w:rsidRPr="002C70E1" w:rsidRDefault="00606D2C" w:rsidP="00606D2C">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 xml:space="preserve">sledované </w:t>
            </w:r>
          </w:p>
        </w:tc>
        <w:tc>
          <w:tcPr>
            <w:tcW w:w="12673" w:type="dxa"/>
            <w:gridSpan w:val="8"/>
            <w:tcBorders>
              <w:top w:val="single" w:sz="4" w:space="0" w:color="auto"/>
              <w:left w:val="nil"/>
              <w:bottom w:val="single" w:sz="8" w:space="0" w:color="auto"/>
              <w:right w:val="single" w:sz="8" w:space="0" w:color="000000"/>
            </w:tcBorders>
            <w:shd w:val="clear" w:color="auto" w:fill="auto"/>
            <w:hideMark/>
          </w:tcPr>
          <w:p w:rsidR="00606D2C" w:rsidRPr="0075662D" w:rsidRDefault="00606D2C" w:rsidP="00606D2C">
            <w:pPr>
              <w:spacing w:before="0" w:after="0"/>
              <w:rPr>
                <w:sz w:val="20"/>
                <w:szCs w:val="24"/>
                <w:lang w:eastAsia="cs-CZ"/>
              </w:rPr>
            </w:pPr>
            <w:r w:rsidRPr="0075662D">
              <w:rPr>
                <w:sz w:val="20"/>
                <w:szCs w:val="24"/>
                <w:lang w:eastAsia="cs-CZ"/>
              </w:rPr>
              <w:t>V průběhu 2. poloviny roku 2017 bylo ukončeno přechodné tříměsíční období (29. 7. 2017 – 28. 10. 20</w:t>
            </w:r>
            <w:r w:rsidR="00820FB7">
              <w:rPr>
                <w:sz w:val="20"/>
                <w:szCs w:val="24"/>
                <w:lang w:eastAsia="cs-CZ"/>
              </w:rPr>
              <w:t>17) stanovené na základě bodu 1 </w:t>
            </w:r>
            <w:r w:rsidRPr="0075662D">
              <w:rPr>
                <w:sz w:val="20"/>
                <w:szCs w:val="24"/>
                <w:lang w:eastAsia="cs-CZ"/>
              </w:rPr>
              <w:t xml:space="preserve">přechodných ustanovení zákona č. 206/2017 Sb., kterým se mění zákon č. 435/2004 Sb., o zaměstnanosti, </w:t>
            </w:r>
            <w:r w:rsidR="00820FB7">
              <w:rPr>
                <w:sz w:val="20"/>
                <w:szCs w:val="24"/>
                <w:lang w:eastAsia="cs-CZ"/>
              </w:rPr>
              <w:t>ve znění pozdějších předpisů, a </w:t>
            </w:r>
            <w:r w:rsidRPr="0075662D">
              <w:rPr>
                <w:sz w:val="20"/>
                <w:szCs w:val="24"/>
                <w:lang w:eastAsia="cs-CZ"/>
              </w:rPr>
              <w:t xml:space="preserve">další související zákony, ve kterém nebránil výkon činnosti na základě dohody o provedení práce, </w:t>
            </w:r>
            <w:r w:rsidR="00820FB7">
              <w:rPr>
                <w:sz w:val="20"/>
                <w:szCs w:val="24"/>
                <w:lang w:eastAsia="cs-CZ"/>
              </w:rPr>
              <w:t xml:space="preserve">kterou </w:t>
            </w:r>
            <w:proofErr w:type="spellStart"/>
            <w:r w:rsidR="00820FB7">
              <w:rPr>
                <w:sz w:val="20"/>
                <w:szCs w:val="24"/>
                <w:lang w:eastAsia="cs-CZ"/>
              </w:rPr>
              <w:t>UoZ</w:t>
            </w:r>
            <w:proofErr w:type="spellEnd"/>
            <w:r w:rsidR="00820FB7">
              <w:rPr>
                <w:sz w:val="20"/>
                <w:szCs w:val="24"/>
                <w:lang w:eastAsia="cs-CZ"/>
              </w:rPr>
              <w:t xml:space="preserve"> uzavřel, v souběhu s </w:t>
            </w:r>
            <w:r w:rsidRPr="0075662D">
              <w:rPr>
                <w:sz w:val="20"/>
                <w:szCs w:val="24"/>
                <w:lang w:eastAsia="cs-CZ"/>
              </w:rPr>
              <w:t xml:space="preserve">vedením v evidenci uchazečů o zaměstnání do dne nabytí účinnosti předmětné novely, vedení </w:t>
            </w:r>
            <w:proofErr w:type="spellStart"/>
            <w:r w:rsidRPr="0075662D">
              <w:rPr>
                <w:sz w:val="20"/>
                <w:szCs w:val="24"/>
                <w:lang w:eastAsia="cs-CZ"/>
              </w:rPr>
              <w:t>UoZ</w:t>
            </w:r>
            <w:proofErr w:type="spellEnd"/>
            <w:r w:rsidRPr="0075662D">
              <w:rPr>
                <w:sz w:val="20"/>
                <w:szCs w:val="24"/>
                <w:lang w:eastAsia="cs-CZ"/>
              </w:rPr>
              <w:t xml:space="preserve"> v evidenci uchazečů o zaměstnání. V tomto období mohl </w:t>
            </w:r>
            <w:proofErr w:type="spellStart"/>
            <w:r w:rsidRPr="0075662D">
              <w:rPr>
                <w:sz w:val="20"/>
                <w:szCs w:val="24"/>
                <w:lang w:eastAsia="cs-CZ"/>
              </w:rPr>
              <w:t>UoZ</w:t>
            </w:r>
            <w:proofErr w:type="spellEnd"/>
            <w:r w:rsidRPr="0075662D">
              <w:rPr>
                <w:sz w:val="20"/>
                <w:szCs w:val="24"/>
                <w:lang w:eastAsia="cs-CZ"/>
              </w:rPr>
              <w:t xml:space="preserve"> výkon činnosti na základě dohody o provedení práce ukončit a setrvat v evidenci uchazečů o zaměstnání, nebo nadále tuto činnost na základě dohody o provedení práce vykonávat, což se po uplynutí přechodného období stalo překážkou pro vedení v evidenci uchazečů o zaměstnání a tedy důvodem pro ukončení  vedení v evidenci uchazečů o zaměstnání nebo vyřazení z evidence uchazečů o zaměstnání.</w:t>
            </w:r>
          </w:p>
          <w:p w:rsidR="00606D2C" w:rsidRPr="00606D2C" w:rsidRDefault="00606D2C" w:rsidP="00606D2C">
            <w:pPr>
              <w:spacing w:after="0"/>
              <w:rPr>
                <w:color w:val="1F497D"/>
                <w:sz w:val="20"/>
                <w:szCs w:val="24"/>
              </w:rPr>
            </w:pPr>
            <w:r w:rsidRPr="0075662D">
              <w:rPr>
                <w:sz w:val="20"/>
                <w:szCs w:val="24"/>
                <w:lang w:eastAsia="cs-CZ"/>
              </w:rPr>
              <w:t>Vývoj počtu osob vykonávajících ke konci daného měsíce tzv. nekolidující zaměstnání v průběhu 2. pol. 2017: červenec – 33 475, srpen – 28 640, září – 23 184, říjen – 15 242, listopad – 14 832, prosinec – 14</w:t>
            </w:r>
            <w:r>
              <w:rPr>
                <w:sz w:val="20"/>
                <w:szCs w:val="24"/>
                <w:lang w:eastAsia="cs-CZ"/>
              </w:rPr>
              <w:t> </w:t>
            </w:r>
            <w:r w:rsidRPr="0075662D">
              <w:rPr>
                <w:sz w:val="20"/>
                <w:szCs w:val="24"/>
                <w:lang w:eastAsia="cs-CZ"/>
              </w:rPr>
              <w:t>246</w:t>
            </w:r>
            <w:r>
              <w:rPr>
                <w:color w:val="1F497D"/>
                <w:sz w:val="20"/>
                <w:szCs w:val="24"/>
              </w:rPr>
              <w:t>.</w:t>
            </w:r>
          </w:p>
        </w:tc>
      </w:tr>
    </w:tbl>
    <w:p w:rsidR="00606D2C" w:rsidRPr="002C70E1" w:rsidRDefault="00606D2C" w:rsidP="00606D2C">
      <w:pPr>
        <w:rPr>
          <w:sz w:val="20"/>
        </w:rPr>
      </w:pPr>
      <w:r w:rsidRPr="002C70E1">
        <w:rPr>
          <w:sz w:val="20"/>
        </w:rPr>
        <w:br w:type="page"/>
      </w:r>
    </w:p>
    <w:tbl>
      <w:tblPr>
        <w:tblW w:w="14097" w:type="dxa"/>
        <w:tblInd w:w="47" w:type="dxa"/>
        <w:tblCellMar>
          <w:left w:w="70" w:type="dxa"/>
          <w:right w:w="70" w:type="dxa"/>
        </w:tblCellMar>
        <w:tblLook w:val="04A0" w:firstRow="1" w:lastRow="0" w:firstColumn="1" w:lastColumn="0" w:noHBand="0" w:noVBand="1"/>
      </w:tblPr>
      <w:tblGrid>
        <w:gridCol w:w="720"/>
        <w:gridCol w:w="579"/>
        <w:gridCol w:w="420"/>
        <w:gridCol w:w="1882"/>
        <w:gridCol w:w="1151"/>
        <w:gridCol w:w="1033"/>
        <w:gridCol w:w="1902"/>
        <w:gridCol w:w="1745"/>
        <w:gridCol w:w="1632"/>
        <w:gridCol w:w="3033"/>
      </w:tblGrid>
      <w:tr w:rsidR="00606D2C" w:rsidRPr="002C70E1" w:rsidTr="00606D2C">
        <w:trPr>
          <w:trHeight w:val="285"/>
        </w:trPr>
        <w:tc>
          <w:tcPr>
            <w:tcW w:w="720" w:type="dxa"/>
            <w:tcBorders>
              <w:top w:val="single" w:sz="8" w:space="0" w:color="auto"/>
              <w:left w:val="single" w:sz="8" w:space="0" w:color="auto"/>
              <w:bottom w:val="single" w:sz="4" w:space="0" w:color="auto"/>
              <w:right w:val="single" w:sz="12" w:space="0" w:color="auto"/>
            </w:tcBorders>
            <w:shd w:val="clear" w:color="000000" w:fill="DCE6F1"/>
            <w:noWrap/>
            <w:vAlign w:val="bottom"/>
            <w:hideMark/>
          </w:tcPr>
          <w:p w:rsidR="00606D2C" w:rsidRPr="00606D2C" w:rsidRDefault="00606D2C" w:rsidP="00606D2C">
            <w:pPr>
              <w:spacing w:before="0" w:after="0"/>
              <w:jc w:val="center"/>
              <w:rPr>
                <w:rFonts w:eastAsia="Times New Roman" w:cs="Arial"/>
                <w:b/>
                <w:bCs/>
                <w:color w:val="000000"/>
                <w:sz w:val="20"/>
                <w:szCs w:val="20"/>
                <w:lang w:eastAsia="cs-CZ"/>
              </w:rPr>
            </w:pPr>
            <w:r w:rsidRPr="00606D2C">
              <w:rPr>
                <w:rFonts w:eastAsia="Times New Roman" w:cs="Arial"/>
                <w:b/>
                <w:bCs/>
                <w:color w:val="000000"/>
                <w:sz w:val="20"/>
                <w:szCs w:val="20"/>
                <w:lang w:eastAsia="cs-CZ"/>
              </w:rPr>
              <w:t>1.3a</w:t>
            </w:r>
          </w:p>
        </w:tc>
        <w:tc>
          <w:tcPr>
            <w:tcW w:w="999" w:type="dxa"/>
            <w:gridSpan w:val="2"/>
            <w:tcBorders>
              <w:top w:val="single" w:sz="12" w:space="0" w:color="auto"/>
              <w:left w:val="single" w:sz="12" w:space="0" w:color="auto"/>
              <w:bottom w:val="single" w:sz="12" w:space="0" w:color="auto"/>
            </w:tcBorders>
            <w:shd w:val="clear" w:color="auto" w:fill="auto"/>
            <w:noWrap/>
            <w:vAlign w:val="bottom"/>
            <w:hideMark/>
          </w:tcPr>
          <w:p w:rsidR="00606D2C" w:rsidRPr="00606D2C" w:rsidRDefault="00606D2C" w:rsidP="00606D2C">
            <w:pPr>
              <w:spacing w:before="0" w:after="0"/>
              <w:jc w:val="right"/>
              <w:rPr>
                <w:rFonts w:eastAsia="Times New Roman" w:cs="Arial"/>
                <w:b/>
                <w:bCs/>
                <w:color w:val="000000"/>
                <w:sz w:val="20"/>
                <w:szCs w:val="20"/>
                <w:lang w:eastAsia="cs-CZ"/>
              </w:rPr>
            </w:pPr>
            <w:r w:rsidRPr="00606D2C">
              <w:rPr>
                <w:rFonts w:eastAsia="Times New Roman" w:cs="Arial"/>
                <w:b/>
                <w:bCs/>
                <w:color w:val="000000"/>
                <w:sz w:val="20"/>
                <w:szCs w:val="20"/>
                <w:lang w:eastAsia="cs-CZ"/>
              </w:rPr>
              <w:t>T:</w:t>
            </w:r>
          </w:p>
        </w:tc>
        <w:tc>
          <w:tcPr>
            <w:tcW w:w="1882" w:type="dxa"/>
            <w:tcBorders>
              <w:top w:val="single" w:sz="12" w:space="0" w:color="auto"/>
              <w:bottom w:val="single" w:sz="12" w:space="0" w:color="auto"/>
              <w:right w:val="single" w:sz="12" w:space="0" w:color="auto"/>
            </w:tcBorders>
            <w:shd w:val="clear" w:color="auto" w:fill="auto"/>
            <w:noWrap/>
            <w:vAlign w:val="bottom"/>
            <w:hideMark/>
          </w:tcPr>
          <w:p w:rsidR="00606D2C" w:rsidRPr="00606D2C" w:rsidRDefault="00606D2C" w:rsidP="00606D2C">
            <w:pPr>
              <w:spacing w:before="0" w:after="0"/>
              <w:jc w:val="left"/>
              <w:rPr>
                <w:rFonts w:eastAsia="Times New Roman" w:cs="Arial"/>
                <w:b/>
                <w:bCs/>
                <w:color w:val="000000"/>
                <w:sz w:val="20"/>
                <w:szCs w:val="20"/>
                <w:lang w:eastAsia="cs-CZ"/>
              </w:rPr>
            </w:pPr>
            <w:r w:rsidRPr="00606D2C">
              <w:rPr>
                <w:rFonts w:eastAsia="Times New Roman" w:cs="Arial"/>
                <w:b/>
                <w:bCs/>
                <w:color w:val="000000"/>
                <w:sz w:val="20"/>
                <w:szCs w:val="20"/>
                <w:lang w:eastAsia="cs-CZ"/>
              </w:rPr>
              <w:t>průběžně</w:t>
            </w:r>
          </w:p>
        </w:tc>
        <w:tc>
          <w:tcPr>
            <w:tcW w:w="1151" w:type="dxa"/>
            <w:tcBorders>
              <w:top w:val="single" w:sz="12" w:space="0" w:color="auto"/>
              <w:left w:val="single" w:sz="12" w:space="0" w:color="auto"/>
              <w:bottom w:val="single" w:sz="12" w:space="0" w:color="auto"/>
            </w:tcBorders>
            <w:shd w:val="clear" w:color="auto" w:fill="auto"/>
            <w:noWrap/>
            <w:vAlign w:val="bottom"/>
            <w:hideMark/>
          </w:tcPr>
          <w:p w:rsidR="00606D2C" w:rsidRPr="00606D2C" w:rsidRDefault="00606D2C" w:rsidP="00606D2C">
            <w:pPr>
              <w:spacing w:before="0" w:after="0"/>
              <w:jc w:val="right"/>
              <w:rPr>
                <w:rFonts w:eastAsia="Times New Roman" w:cs="Arial"/>
                <w:b/>
                <w:bCs/>
                <w:color w:val="000000"/>
                <w:sz w:val="20"/>
                <w:szCs w:val="20"/>
                <w:lang w:eastAsia="cs-CZ"/>
              </w:rPr>
            </w:pPr>
            <w:r w:rsidRPr="00606D2C">
              <w:rPr>
                <w:rFonts w:eastAsia="Times New Roman" w:cs="Arial"/>
                <w:b/>
                <w:bCs/>
                <w:color w:val="000000"/>
                <w:sz w:val="20"/>
                <w:szCs w:val="20"/>
                <w:lang w:eastAsia="cs-CZ"/>
              </w:rPr>
              <w:t>gesce:</w:t>
            </w:r>
          </w:p>
        </w:tc>
        <w:tc>
          <w:tcPr>
            <w:tcW w:w="1033" w:type="dxa"/>
            <w:tcBorders>
              <w:top w:val="single" w:sz="12" w:space="0" w:color="auto"/>
              <w:bottom w:val="single" w:sz="12" w:space="0" w:color="auto"/>
              <w:right w:val="single" w:sz="12" w:space="0" w:color="auto"/>
            </w:tcBorders>
            <w:shd w:val="clear" w:color="auto" w:fill="auto"/>
            <w:noWrap/>
            <w:vAlign w:val="bottom"/>
            <w:hideMark/>
          </w:tcPr>
          <w:p w:rsidR="00606D2C" w:rsidRPr="00606D2C" w:rsidRDefault="00606D2C" w:rsidP="00606D2C">
            <w:pPr>
              <w:spacing w:before="0" w:after="0"/>
              <w:jc w:val="left"/>
              <w:rPr>
                <w:rFonts w:eastAsia="Times New Roman" w:cs="Arial"/>
                <w:b/>
                <w:bCs/>
                <w:color w:val="000000"/>
                <w:sz w:val="20"/>
                <w:szCs w:val="20"/>
                <w:lang w:eastAsia="cs-CZ"/>
              </w:rPr>
            </w:pPr>
            <w:r w:rsidRPr="00606D2C">
              <w:rPr>
                <w:rFonts w:eastAsia="Times New Roman" w:cs="Arial"/>
                <w:b/>
                <w:bCs/>
                <w:color w:val="000000"/>
                <w:sz w:val="20"/>
                <w:szCs w:val="20"/>
                <w:lang w:eastAsia="cs-CZ"/>
              </w:rPr>
              <w:t>MPSV</w:t>
            </w:r>
          </w:p>
        </w:tc>
        <w:tc>
          <w:tcPr>
            <w:tcW w:w="1902" w:type="dxa"/>
            <w:tcBorders>
              <w:top w:val="single" w:sz="12" w:space="0" w:color="auto"/>
              <w:left w:val="single" w:sz="12" w:space="0" w:color="auto"/>
            </w:tcBorders>
            <w:shd w:val="clear" w:color="auto" w:fill="auto"/>
            <w:noWrap/>
            <w:vAlign w:val="bottom"/>
          </w:tcPr>
          <w:p w:rsidR="00606D2C" w:rsidRPr="00606D2C" w:rsidRDefault="00606D2C" w:rsidP="00606D2C">
            <w:pPr>
              <w:spacing w:before="0" w:after="0"/>
              <w:jc w:val="right"/>
              <w:rPr>
                <w:rFonts w:eastAsia="Times New Roman" w:cs="Arial"/>
                <w:color w:val="000000"/>
                <w:sz w:val="20"/>
                <w:szCs w:val="20"/>
                <w:lang w:eastAsia="cs-CZ"/>
              </w:rPr>
            </w:pPr>
          </w:p>
        </w:tc>
        <w:tc>
          <w:tcPr>
            <w:tcW w:w="1745" w:type="dxa"/>
            <w:tcBorders>
              <w:top w:val="single" w:sz="12" w:space="0" w:color="auto"/>
              <w:right w:val="single" w:sz="12" w:space="0" w:color="auto"/>
            </w:tcBorders>
            <w:shd w:val="clear" w:color="auto" w:fill="auto"/>
            <w:noWrap/>
            <w:vAlign w:val="bottom"/>
          </w:tcPr>
          <w:p w:rsidR="00606D2C" w:rsidRPr="00606D2C" w:rsidRDefault="00606D2C" w:rsidP="00606D2C">
            <w:pPr>
              <w:spacing w:before="0" w:after="0"/>
              <w:jc w:val="right"/>
              <w:rPr>
                <w:rFonts w:eastAsia="Times New Roman" w:cs="Arial"/>
                <w:color w:val="000000"/>
                <w:sz w:val="20"/>
                <w:szCs w:val="20"/>
                <w:lang w:eastAsia="cs-CZ"/>
              </w:rPr>
            </w:pPr>
          </w:p>
        </w:tc>
        <w:tc>
          <w:tcPr>
            <w:tcW w:w="1632" w:type="dxa"/>
            <w:tcBorders>
              <w:top w:val="single" w:sz="12" w:space="0" w:color="auto"/>
              <w:left w:val="single" w:sz="12" w:space="0" w:color="auto"/>
              <w:bottom w:val="single" w:sz="12" w:space="0" w:color="auto"/>
            </w:tcBorders>
            <w:shd w:val="clear" w:color="auto" w:fill="auto"/>
            <w:noWrap/>
            <w:vAlign w:val="bottom"/>
          </w:tcPr>
          <w:p w:rsidR="00606D2C" w:rsidRPr="00606D2C" w:rsidRDefault="00606D2C" w:rsidP="00606D2C">
            <w:pPr>
              <w:spacing w:before="0" w:after="0"/>
              <w:jc w:val="right"/>
              <w:rPr>
                <w:rFonts w:eastAsia="Times New Roman" w:cs="Arial"/>
                <w:b/>
                <w:color w:val="000000"/>
                <w:sz w:val="20"/>
                <w:szCs w:val="20"/>
                <w:lang w:eastAsia="cs-CZ"/>
              </w:rPr>
            </w:pPr>
            <w:r w:rsidRPr="00606D2C">
              <w:rPr>
                <w:rFonts w:eastAsia="Times New Roman" w:cs="Arial"/>
                <w:b/>
                <w:color w:val="000000"/>
                <w:sz w:val="20"/>
                <w:szCs w:val="20"/>
                <w:lang w:eastAsia="cs-CZ"/>
              </w:rPr>
              <w:t>Povaha</w:t>
            </w:r>
          </w:p>
        </w:tc>
        <w:tc>
          <w:tcPr>
            <w:tcW w:w="3033" w:type="dxa"/>
            <w:tcBorders>
              <w:top w:val="single" w:sz="12" w:space="0" w:color="auto"/>
              <w:bottom w:val="single" w:sz="12" w:space="0" w:color="auto"/>
              <w:right w:val="single" w:sz="12" w:space="0" w:color="auto"/>
            </w:tcBorders>
            <w:shd w:val="clear" w:color="auto" w:fill="auto"/>
            <w:noWrap/>
            <w:vAlign w:val="bottom"/>
          </w:tcPr>
          <w:p w:rsidR="00606D2C" w:rsidRPr="00606D2C" w:rsidRDefault="00606D2C" w:rsidP="00606D2C">
            <w:pPr>
              <w:spacing w:before="0" w:after="0"/>
              <w:jc w:val="left"/>
              <w:rPr>
                <w:rFonts w:eastAsia="Times New Roman" w:cs="Arial"/>
                <w:b/>
                <w:bCs/>
                <w:color w:val="000000"/>
                <w:sz w:val="20"/>
                <w:szCs w:val="20"/>
                <w:lang w:eastAsia="cs-CZ"/>
              </w:rPr>
            </w:pPr>
            <w:r w:rsidRPr="00606D2C">
              <w:rPr>
                <w:rFonts w:eastAsia="Times New Roman" w:cs="Arial"/>
                <w:b/>
                <w:bCs/>
                <w:color w:val="000000"/>
                <w:sz w:val="20"/>
                <w:szCs w:val="20"/>
                <w:lang w:eastAsia="cs-CZ"/>
              </w:rPr>
              <w:t>L</w:t>
            </w:r>
          </w:p>
        </w:tc>
      </w:tr>
      <w:tr w:rsidR="00606D2C" w:rsidRPr="002C70E1" w:rsidTr="00606D2C">
        <w:trPr>
          <w:trHeight w:val="285"/>
        </w:trPr>
        <w:tc>
          <w:tcPr>
            <w:tcW w:w="720"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606D2C" w:rsidRPr="00606D2C" w:rsidRDefault="00606D2C" w:rsidP="00606D2C">
            <w:pPr>
              <w:spacing w:before="0" w:after="0"/>
              <w:jc w:val="center"/>
              <w:rPr>
                <w:rFonts w:eastAsia="Times New Roman" w:cs="Arial"/>
                <w:b/>
                <w:bCs/>
                <w:color w:val="000000"/>
                <w:sz w:val="20"/>
                <w:szCs w:val="20"/>
                <w:lang w:eastAsia="cs-CZ"/>
              </w:rPr>
            </w:pPr>
            <w:r w:rsidRPr="00606D2C">
              <w:rPr>
                <w:rFonts w:eastAsia="Times New Roman" w:cs="Arial"/>
                <w:b/>
                <w:bCs/>
                <w:color w:val="000000"/>
                <w:sz w:val="20"/>
                <w:szCs w:val="20"/>
                <w:lang w:eastAsia="cs-CZ"/>
              </w:rPr>
              <w:t>Zvýšení minimální mzdy</w:t>
            </w:r>
          </w:p>
        </w:tc>
        <w:tc>
          <w:tcPr>
            <w:tcW w:w="2881" w:type="dxa"/>
            <w:gridSpan w:val="3"/>
            <w:tcBorders>
              <w:top w:val="single" w:sz="12" w:space="0" w:color="auto"/>
              <w:left w:val="nil"/>
            </w:tcBorders>
            <w:shd w:val="clear" w:color="auto" w:fill="auto"/>
            <w:noWrap/>
            <w:vAlign w:val="bottom"/>
          </w:tcPr>
          <w:p w:rsidR="00606D2C" w:rsidRPr="00606D2C" w:rsidRDefault="00606D2C" w:rsidP="00606D2C">
            <w:pPr>
              <w:spacing w:before="0" w:after="0"/>
              <w:jc w:val="right"/>
              <w:rPr>
                <w:rFonts w:eastAsia="Times New Roman" w:cs="Arial"/>
                <w:b/>
                <w:bCs/>
                <w:color w:val="000000"/>
                <w:sz w:val="20"/>
                <w:szCs w:val="20"/>
                <w:lang w:eastAsia="cs-CZ"/>
              </w:rPr>
            </w:pPr>
          </w:p>
        </w:tc>
        <w:tc>
          <w:tcPr>
            <w:tcW w:w="1151" w:type="dxa"/>
            <w:tcBorders>
              <w:top w:val="single" w:sz="12" w:space="0" w:color="auto"/>
            </w:tcBorders>
            <w:shd w:val="clear" w:color="auto" w:fill="auto"/>
            <w:noWrap/>
            <w:vAlign w:val="bottom"/>
          </w:tcPr>
          <w:p w:rsidR="00606D2C" w:rsidRPr="00606D2C" w:rsidRDefault="00606D2C" w:rsidP="00606D2C">
            <w:pPr>
              <w:spacing w:before="0" w:after="0"/>
              <w:jc w:val="center"/>
              <w:rPr>
                <w:rFonts w:eastAsia="Times New Roman" w:cs="Arial"/>
                <w:b/>
                <w:bCs/>
                <w:color w:val="000000"/>
                <w:sz w:val="20"/>
                <w:szCs w:val="20"/>
                <w:lang w:eastAsia="cs-CZ"/>
              </w:rPr>
            </w:pPr>
          </w:p>
        </w:tc>
        <w:tc>
          <w:tcPr>
            <w:tcW w:w="4680" w:type="dxa"/>
            <w:gridSpan w:val="3"/>
            <w:shd w:val="clear" w:color="auto" w:fill="auto"/>
            <w:noWrap/>
            <w:vAlign w:val="center"/>
            <w:hideMark/>
          </w:tcPr>
          <w:p w:rsidR="00606D2C" w:rsidRPr="00606D2C" w:rsidRDefault="00606D2C" w:rsidP="00606D2C">
            <w:pPr>
              <w:spacing w:before="0" w:after="0"/>
              <w:jc w:val="center"/>
              <w:rPr>
                <w:rFonts w:eastAsia="Times New Roman" w:cs="Arial"/>
                <w:b/>
                <w:bCs/>
                <w:color w:val="000000"/>
                <w:sz w:val="20"/>
                <w:szCs w:val="20"/>
                <w:u w:val="single"/>
                <w:lang w:eastAsia="cs-CZ"/>
              </w:rPr>
            </w:pPr>
            <w:r w:rsidRPr="00606D2C">
              <w:rPr>
                <w:rFonts w:eastAsia="Times New Roman" w:cs="Arial"/>
                <w:b/>
                <w:bCs/>
                <w:color w:val="000000"/>
                <w:sz w:val="20"/>
                <w:szCs w:val="20"/>
                <w:u w:val="single"/>
                <w:lang w:eastAsia="cs-CZ"/>
              </w:rPr>
              <w:t>Popis</w:t>
            </w:r>
          </w:p>
        </w:tc>
        <w:tc>
          <w:tcPr>
            <w:tcW w:w="1632" w:type="dxa"/>
            <w:tcBorders>
              <w:top w:val="single" w:sz="12" w:space="0" w:color="auto"/>
            </w:tcBorders>
            <w:shd w:val="clear" w:color="auto" w:fill="auto"/>
            <w:noWrap/>
            <w:vAlign w:val="center"/>
          </w:tcPr>
          <w:p w:rsidR="00606D2C" w:rsidRPr="00606D2C" w:rsidRDefault="00606D2C" w:rsidP="00606D2C">
            <w:pPr>
              <w:spacing w:before="0" w:after="0"/>
              <w:jc w:val="center"/>
              <w:rPr>
                <w:rFonts w:eastAsia="Times New Roman" w:cs="Arial"/>
                <w:b/>
                <w:bCs/>
                <w:color w:val="000000"/>
                <w:sz w:val="20"/>
                <w:szCs w:val="20"/>
                <w:u w:val="single"/>
                <w:lang w:eastAsia="cs-CZ"/>
              </w:rPr>
            </w:pPr>
          </w:p>
        </w:tc>
        <w:tc>
          <w:tcPr>
            <w:tcW w:w="3033" w:type="dxa"/>
            <w:tcBorders>
              <w:top w:val="single" w:sz="12" w:space="0" w:color="auto"/>
              <w:right w:val="single" w:sz="8" w:space="0" w:color="auto"/>
            </w:tcBorders>
            <w:shd w:val="clear" w:color="auto" w:fill="auto"/>
            <w:noWrap/>
            <w:vAlign w:val="center"/>
          </w:tcPr>
          <w:p w:rsidR="00606D2C" w:rsidRPr="00606D2C" w:rsidRDefault="00606D2C" w:rsidP="00606D2C">
            <w:pPr>
              <w:spacing w:before="0" w:after="0"/>
              <w:jc w:val="center"/>
              <w:rPr>
                <w:rFonts w:eastAsia="Times New Roman" w:cs="Arial"/>
                <w:b/>
                <w:bCs/>
                <w:color w:val="000000"/>
                <w:sz w:val="20"/>
                <w:szCs w:val="20"/>
                <w:u w:val="single"/>
                <w:lang w:eastAsia="cs-CZ"/>
              </w:rPr>
            </w:pPr>
          </w:p>
        </w:tc>
      </w:tr>
      <w:tr w:rsidR="00606D2C" w:rsidRPr="002C70E1" w:rsidTr="00606D2C">
        <w:trPr>
          <w:trHeight w:val="920"/>
        </w:trPr>
        <w:tc>
          <w:tcPr>
            <w:tcW w:w="720" w:type="dxa"/>
            <w:vMerge/>
            <w:tcBorders>
              <w:top w:val="nil"/>
              <w:left w:val="single" w:sz="8" w:space="0" w:color="auto"/>
              <w:bottom w:val="single" w:sz="8" w:space="0" w:color="000000"/>
              <w:right w:val="single" w:sz="8" w:space="0" w:color="auto"/>
            </w:tcBorders>
            <w:vAlign w:val="center"/>
            <w:hideMark/>
          </w:tcPr>
          <w:p w:rsidR="00606D2C" w:rsidRPr="00606D2C" w:rsidRDefault="00606D2C" w:rsidP="00606D2C">
            <w:pPr>
              <w:spacing w:before="0" w:after="0"/>
              <w:jc w:val="left"/>
              <w:rPr>
                <w:rFonts w:eastAsia="Times New Roman" w:cs="Arial"/>
                <w:b/>
                <w:bCs/>
                <w:color w:val="000000"/>
                <w:sz w:val="20"/>
                <w:szCs w:val="20"/>
                <w:lang w:eastAsia="cs-CZ"/>
              </w:rPr>
            </w:pPr>
          </w:p>
        </w:tc>
        <w:tc>
          <w:tcPr>
            <w:tcW w:w="13377" w:type="dxa"/>
            <w:gridSpan w:val="9"/>
            <w:tcBorders>
              <w:left w:val="nil"/>
              <w:bottom w:val="double" w:sz="6" w:space="0" w:color="auto"/>
              <w:right w:val="single" w:sz="8" w:space="0" w:color="000000"/>
            </w:tcBorders>
            <w:shd w:val="clear" w:color="auto" w:fill="auto"/>
            <w:hideMark/>
          </w:tcPr>
          <w:p w:rsidR="00606D2C" w:rsidRPr="00606D2C" w:rsidRDefault="00606D2C" w:rsidP="00606D2C">
            <w:pPr>
              <w:spacing w:before="0" w:after="0"/>
              <w:rPr>
                <w:rFonts w:eastAsia="Times New Roman" w:cs="Arial"/>
                <w:color w:val="000000"/>
                <w:sz w:val="20"/>
                <w:szCs w:val="20"/>
                <w:lang w:eastAsia="cs-CZ"/>
              </w:rPr>
            </w:pPr>
            <w:r w:rsidRPr="00606D2C">
              <w:rPr>
                <w:rFonts w:eastAsia="Times New Roman" w:cs="Arial"/>
                <w:color w:val="000000"/>
                <w:sz w:val="20"/>
                <w:szCs w:val="20"/>
                <w:lang w:eastAsia="cs-CZ"/>
              </w:rPr>
              <w:t>Odměna za vykonanou práci je primárním zdrojem motivace k akceptaci zaměstnání. V souladu s programovým prohlášením vlády proto po projednání se sociálními partnery bude vláda pokračovat v přibližování úrovně minimální mzdy vytčené hranici 40 % průměrné mzdy. Zvyšování minimální mzdy bude prováděno v závislosti na udržení konkurenceschopnosti českého hospodářství. Opatření je úzce provázáno s opatřením 1.3b</w:t>
            </w:r>
            <w:r w:rsidR="00820FB7">
              <w:rPr>
                <w:rFonts w:eastAsia="Times New Roman" w:cs="Arial"/>
                <w:color w:val="000000"/>
                <w:sz w:val="20"/>
                <w:szCs w:val="20"/>
                <w:lang w:eastAsia="cs-CZ"/>
              </w:rPr>
              <w:t>.</w:t>
            </w:r>
          </w:p>
        </w:tc>
      </w:tr>
      <w:tr w:rsidR="00606D2C" w:rsidRPr="002C70E1" w:rsidTr="00820FB7">
        <w:trPr>
          <w:trHeight w:val="285"/>
        </w:trPr>
        <w:tc>
          <w:tcPr>
            <w:tcW w:w="720" w:type="dxa"/>
            <w:vMerge/>
            <w:tcBorders>
              <w:top w:val="nil"/>
              <w:left w:val="single" w:sz="8" w:space="0" w:color="auto"/>
              <w:bottom w:val="single" w:sz="8" w:space="0" w:color="000000"/>
              <w:right w:val="single" w:sz="8" w:space="0" w:color="auto"/>
            </w:tcBorders>
            <w:vAlign w:val="center"/>
            <w:hideMark/>
          </w:tcPr>
          <w:p w:rsidR="00606D2C" w:rsidRPr="00606D2C" w:rsidRDefault="00606D2C" w:rsidP="00606D2C">
            <w:pPr>
              <w:spacing w:before="0" w:after="0"/>
              <w:jc w:val="left"/>
              <w:rPr>
                <w:rFonts w:eastAsia="Times New Roman" w:cs="Arial"/>
                <w:b/>
                <w:bCs/>
                <w:color w:val="000000"/>
                <w:sz w:val="20"/>
                <w:szCs w:val="20"/>
                <w:lang w:eastAsia="cs-CZ"/>
              </w:rPr>
            </w:pPr>
          </w:p>
        </w:tc>
        <w:tc>
          <w:tcPr>
            <w:tcW w:w="579" w:type="dxa"/>
            <w:tcBorders>
              <w:top w:val="double" w:sz="6" w:space="0" w:color="auto"/>
              <w:left w:val="single" w:sz="12" w:space="0" w:color="auto"/>
              <w:bottom w:val="double" w:sz="6" w:space="0" w:color="auto"/>
              <w:right w:val="nil"/>
            </w:tcBorders>
            <w:shd w:val="clear" w:color="000000" w:fill="D8E4BC"/>
            <w:noWrap/>
            <w:vAlign w:val="bottom"/>
            <w:hideMark/>
          </w:tcPr>
          <w:p w:rsidR="00606D2C" w:rsidRPr="00606D2C" w:rsidRDefault="00606D2C" w:rsidP="00606D2C">
            <w:pPr>
              <w:spacing w:before="0" w:after="0"/>
              <w:jc w:val="center"/>
              <w:rPr>
                <w:rFonts w:eastAsia="Times New Roman" w:cs="Arial"/>
                <w:color w:val="000000"/>
                <w:sz w:val="20"/>
                <w:szCs w:val="20"/>
                <w:lang w:eastAsia="cs-CZ"/>
              </w:rPr>
            </w:pPr>
            <w:r w:rsidRPr="00606D2C">
              <w:rPr>
                <w:rFonts w:eastAsia="Times New Roman" w:cs="Arial"/>
                <w:color w:val="000000"/>
                <w:sz w:val="20"/>
                <w:szCs w:val="20"/>
                <w:lang w:eastAsia="cs-CZ"/>
              </w:rPr>
              <w:t>stav:</w:t>
            </w:r>
          </w:p>
        </w:tc>
        <w:tc>
          <w:tcPr>
            <w:tcW w:w="3453" w:type="dxa"/>
            <w:gridSpan w:val="3"/>
            <w:tcBorders>
              <w:top w:val="double" w:sz="6" w:space="0" w:color="auto"/>
              <w:left w:val="nil"/>
              <w:bottom w:val="double" w:sz="6" w:space="0" w:color="auto"/>
              <w:right w:val="double" w:sz="6" w:space="0" w:color="auto"/>
            </w:tcBorders>
            <w:shd w:val="clear" w:color="000000" w:fill="D8E4BC"/>
            <w:vAlign w:val="bottom"/>
            <w:hideMark/>
          </w:tcPr>
          <w:p w:rsidR="00606D2C" w:rsidRPr="00606D2C" w:rsidRDefault="00606D2C" w:rsidP="00606D2C">
            <w:pPr>
              <w:spacing w:before="0" w:after="0"/>
              <w:jc w:val="left"/>
              <w:rPr>
                <w:rFonts w:eastAsia="Times New Roman" w:cs="Arial"/>
                <w:b/>
                <w:bCs/>
                <w:color w:val="000000"/>
                <w:sz w:val="20"/>
                <w:szCs w:val="20"/>
                <w:lang w:eastAsia="cs-CZ"/>
              </w:rPr>
            </w:pPr>
            <w:r w:rsidRPr="00606D2C">
              <w:rPr>
                <w:rFonts w:eastAsia="Times New Roman" w:cs="Arial"/>
                <w:b/>
                <w:bCs/>
                <w:color w:val="000000"/>
                <w:sz w:val="20"/>
                <w:szCs w:val="20"/>
                <w:lang w:eastAsia="cs-CZ"/>
              </w:rPr>
              <w:t>Průběžně plněno</w:t>
            </w:r>
          </w:p>
        </w:tc>
        <w:tc>
          <w:tcPr>
            <w:tcW w:w="4680" w:type="dxa"/>
            <w:gridSpan w:val="3"/>
            <w:tcBorders>
              <w:top w:val="double" w:sz="6" w:space="0" w:color="auto"/>
              <w:left w:val="double" w:sz="6" w:space="0" w:color="auto"/>
            </w:tcBorders>
            <w:shd w:val="clear" w:color="auto" w:fill="auto"/>
            <w:vAlign w:val="center"/>
            <w:hideMark/>
          </w:tcPr>
          <w:p w:rsidR="00606D2C" w:rsidRPr="00606D2C" w:rsidRDefault="00606D2C" w:rsidP="00606D2C">
            <w:pPr>
              <w:spacing w:before="0" w:after="0"/>
              <w:jc w:val="center"/>
              <w:rPr>
                <w:rFonts w:eastAsia="Times New Roman" w:cs="Arial"/>
                <w:b/>
                <w:bCs/>
                <w:color w:val="000000"/>
                <w:sz w:val="20"/>
                <w:szCs w:val="20"/>
                <w:u w:val="single"/>
                <w:lang w:eastAsia="cs-CZ"/>
              </w:rPr>
            </w:pPr>
            <w:r w:rsidRPr="00606D2C">
              <w:rPr>
                <w:rFonts w:eastAsia="Times New Roman" w:cs="Arial"/>
                <w:b/>
                <w:bCs/>
                <w:color w:val="000000"/>
                <w:sz w:val="20"/>
                <w:szCs w:val="20"/>
                <w:u w:val="single"/>
                <w:lang w:eastAsia="cs-CZ"/>
              </w:rPr>
              <w:t>Plnění</w:t>
            </w:r>
          </w:p>
        </w:tc>
        <w:tc>
          <w:tcPr>
            <w:tcW w:w="1632" w:type="dxa"/>
            <w:tcBorders>
              <w:top w:val="nil"/>
            </w:tcBorders>
            <w:shd w:val="clear" w:color="auto" w:fill="auto"/>
            <w:vAlign w:val="center"/>
          </w:tcPr>
          <w:p w:rsidR="00606D2C" w:rsidRPr="00606D2C" w:rsidRDefault="00606D2C" w:rsidP="00606D2C">
            <w:pPr>
              <w:spacing w:before="0" w:after="0"/>
              <w:jc w:val="right"/>
              <w:rPr>
                <w:rFonts w:eastAsia="Times New Roman" w:cs="Arial"/>
                <w:color w:val="000000"/>
                <w:sz w:val="20"/>
                <w:szCs w:val="20"/>
                <w:lang w:eastAsia="cs-CZ"/>
              </w:rPr>
            </w:pPr>
          </w:p>
        </w:tc>
        <w:tc>
          <w:tcPr>
            <w:tcW w:w="3033" w:type="dxa"/>
            <w:tcBorders>
              <w:top w:val="nil"/>
              <w:right w:val="single" w:sz="8" w:space="0" w:color="auto"/>
            </w:tcBorders>
            <w:shd w:val="clear" w:color="auto" w:fill="auto"/>
            <w:vAlign w:val="center"/>
          </w:tcPr>
          <w:p w:rsidR="00606D2C" w:rsidRPr="00606D2C" w:rsidRDefault="00606D2C" w:rsidP="00606D2C">
            <w:pPr>
              <w:spacing w:before="0" w:after="0"/>
              <w:jc w:val="center"/>
              <w:rPr>
                <w:rFonts w:eastAsia="Times New Roman" w:cs="Arial"/>
                <w:b/>
                <w:bCs/>
                <w:color w:val="000000"/>
                <w:sz w:val="20"/>
                <w:szCs w:val="20"/>
                <w:u w:val="single"/>
                <w:lang w:eastAsia="cs-CZ"/>
              </w:rPr>
            </w:pPr>
          </w:p>
        </w:tc>
      </w:tr>
      <w:tr w:rsidR="00606D2C" w:rsidRPr="002C70E1" w:rsidTr="00820FB7">
        <w:trPr>
          <w:trHeight w:val="1039"/>
        </w:trPr>
        <w:tc>
          <w:tcPr>
            <w:tcW w:w="720" w:type="dxa"/>
            <w:vMerge/>
            <w:tcBorders>
              <w:top w:val="nil"/>
              <w:left w:val="single" w:sz="8" w:space="0" w:color="auto"/>
              <w:bottom w:val="single" w:sz="8" w:space="0" w:color="000000"/>
              <w:right w:val="single" w:sz="8" w:space="0" w:color="auto"/>
            </w:tcBorders>
            <w:vAlign w:val="center"/>
            <w:hideMark/>
          </w:tcPr>
          <w:p w:rsidR="00606D2C" w:rsidRPr="00606D2C" w:rsidRDefault="00606D2C" w:rsidP="00606D2C">
            <w:pPr>
              <w:spacing w:before="0" w:after="0"/>
              <w:jc w:val="left"/>
              <w:rPr>
                <w:rFonts w:eastAsia="Times New Roman" w:cs="Arial"/>
                <w:b/>
                <w:bCs/>
                <w:color w:val="000000"/>
                <w:sz w:val="20"/>
                <w:szCs w:val="20"/>
                <w:lang w:eastAsia="cs-CZ"/>
              </w:rPr>
            </w:pPr>
          </w:p>
        </w:tc>
        <w:tc>
          <w:tcPr>
            <w:tcW w:w="579" w:type="dxa"/>
            <w:tcBorders>
              <w:top w:val="nil"/>
              <w:left w:val="nil"/>
              <w:bottom w:val="nil"/>
              <w:right w:val="single" w:sz="4" w:space="0" w:color="auto"/>
            </w:tcBorders>
            <w:shd w:val="clear" w:color="auto" w:fill="auto"/>
            <w:textDirection w:val="btLr"/>
            <w:vAlign w:val="center"/>
            <w:hideMark/>
          </w:tcPr>
          <w:p w:rsidR="00606D2C" w:rsidRPr="00606D2C" w:rsidRDefault="00606D2C" w:rsidP="00606D2C">
            <w:pPr>
              <w:spacing w:before="0" w:after="0"/>
              <w:jc w:val="center"/>
              <w:rPr>
                <w:rFonts w:eastAsia="Times New Roman" w:cs="Arial"/>
                <w:color w:val="000000"/>
                <w:sz w:val="20"/>
                <w:szCs w:val="20"/>
                <w:lang w:eastAsia="cs-CZ"/>
              </w:rPr>
            </w:pPr>
            <w:r w:rsidRPr="00606D2C">
              <w:rPr>
                <w:rFonts w:eastAsia="Times New Roman" w:cs="Arial"/>
                <w:color w:val="000000"/>
                <w:sz w:val="20"/>
                <w:szCs w:val="20"/>
                <w:lang w:eastAsia="cs-CZ"/>
              </w:rPr>
              <w:t>minulé</w:t>
            </w:r>
          </w:p>
        </w:tc>
        <w:tc>
          <w:tcPr>
            <w:tcW w:w="12798" w:type="dxa"/>
            <w:gridSpan w:val="8"/>
            <w:tcBorders>
              <w:top w:val="nil"/>
              <w:left w:val="nil"/>
              <w:bottom w:val="nil"/>
              <w:right w:val="single" w:sz="8" w:space="0" w:color="000000"/>
            </w:tcBorders>
            <w:shd w:val="clear" w:color="auto" w:fill="auto"/>
            <w:hideMark/>
          </w:tcPr>
          <w:p w:rsidR="00606D2C" w:rsidRPr="00606D2C" w:rsidRDefault="00606D2C" w:rsidP="00606D2C">
            <w:pPr>
              <w:spacing w:before="0" w:after="0"/>
              <w:rPr>
                <w:rFonts w:eastAsia="Times New Roman" w:cs="Arial"/>
                <w:sz w:val="20"/>
                <w:szCs w:val="20"/>
                <w:lang w:eastAsia="cs-CZ"/>
              </w:rPr>
            </w:pPr>
            <w:r w:rsidRPr="00606D2C">
              <w:rPr>
                <w:rFonts w:eastAsia="Times New Roman" w:cs="Arial"/>
                <w:sz w:val="20"/>
                <w:szCs w:val="20"/>
                <w:lang w:eastAsia="cs-CZ"/>
              </w:rPr>
              <w:t xml:space="preserve">1. 1. 2017 nabylo účinnosti nařízení vlády č. 336/2016 Sb. ke změně nařízení 567/2006 Sb., o minimální mzdě, o nejnižších úrovních zaručené mzdy, o vymezení ztíženého pracovního prostředí a o výši příplatku ke mzdě za práci ve ztíženém pracovním prostředí. Došlo ke zvýšení minimální mzdy na 11 000 Kč/měsíc (66 Kč/hod), valorizaci sazby nejnižších úrovní zaručené mzdy a zrušení nižší sazby minimální mzdy, resp. nejnižších úrovní zaručené mzdy, u poživatelů invalidních důchodů. </w:t>
            </w:r>
          </w:p>
        </w:tc>
      </w:tr>
      <w:tr w:rsidR="00606D2C" w:rsidRPr="002C70E1" w:rsidTr="00820FB7">
        <w:trPr>
          <w:trHeight w:val="709"/>
        </w:trPr>
        <w:tc>
          <w:tcPr>
            <w:tcW w:w="720" w:type="dxa"/>
            <w:vMerge/>
            <w:tcBorders>
              <w:top w:val="nil"/>
              <w:left w:val="single" w:sz="8" w:space="0" w:color="auto"/>
              <w:bottom w:val="single" w:sz="8" w:space="0" w:color="000000"/>
              <w:right w:val="single" w:sz="8" w:space="0" w:color="auto"/>
            </w:tcBorders>
            <w:vAlign w:val="center"/>
            <w:hideMark/>
          </w:tcPr>
          <w:p w:rsidR="00606D2C" w:rsidRPr="00606D2C" w:rsidRDefault="00606D2C" w:rsidP="00606D2C">
            <w:pPr>
              <w:spacing w:before="0" w:after="0"/>
              <w:jc w:val="left"/>
              <w:rPr>
                <w:rFonts w:eastAsia="Times New Roman" w:cs="Arial"/>
                <w:b/>
                <w:bCs/>
                <w:color w:val="000000"/>
                <w:sz w:val="20"/>
                <w:szCs w:val="20"/>
                <w:lang w:eastAsia="cs-CZ"/>
              </w:rPr>
            </w:pPr>
          </w:p>
        </w:tc>
        <w:tc>
          <w:tcPr>
            <w:tcW w:w="579" w:type="dxa"/>
            <w:tcBorders>
              <w:top w:val="single" w:sz="4" w:space="0" w:color="auto"/>
              <w:left w:val="nil"/>
              <w:bottom w:val="single" w:sz="8" w:space="0" w:color="auto"/>
              <w:right w:val="single" w:sz="4" w:space="0" w:color="auto"/>
            </w:tcBorders>
            <w:shd w:val="clear" w:color="auto" w:fill="auto"/>
            <w:textDirection w:val="btLr"/>
            <w:vAlign w:val="center"/>
            <w:hideMark/>
          </w:tcPr>
          <w:p w:rsidR="00606D2C" w:rsidRPr="00606D2C" w:rsidRDefault="00606D2C" w:rsidP="00606D2C">
            <w:pPr>
              <w:spacing w:before="0" w:after="0"/>
              <w:jc w:val="center"/>
              <w:rPr>
                <w:rFonts w:eastAsia="Times New Roman" w:cs="Arial"/>
                <w:color w:val="000000"/>
                <w:sz w:val="20"/>
                <w:szCs w:val="20"/>
                <w:lang w:eastAsia="cs-CZ"/>
              </w:rPr>
            </w:pPr>
            <w:r w:rsidRPr="00606D2C">
              <w:rPr>
                <w:rFonts w:eastAsia="Times New Roman" w:cs="Arial"/>
                <w:color w:val="000000"/>
                <w:sz w:val="20"/>
                <w:szCs w:val="20"/>
                <w:lang w:eastAsia="cs-CZ"/>
              </w:rPr>
              <w:t>sled.</w:t>
            </w:r>
          </w:p>
        </w:tc>
        <w:tc>
          <w:tcPr>
            <w:tcW w:w="12798" w:type="dxa"/>
            <w:gridSpan w:val="8"/>
            <w:tcBorders>
              <w:top w:val="single" w:sz="4" w:space="0" w:color="auto"/>
              <w:left w:val="nil"/>
              <w:bottom w:val="single" w:sz="8" w:space="0" w:color="auto"/>
              <w:right w:val="single" w:sz="8" w:space="0" w:color="000000"/>
            </w:tcBorders>
            <w:shd w:val="clear" w:color="auto" w:fill="auto"/>
            <w:hideMark/>
          </w:tcPr>
          <w:p w:rsidR="00606D2C" w:rsidRPr="00606D2C" w:rsidRDefault="00606D2C" w:rsidP="00606D2C">
            <w:pPr>
              <w:spacing w:before="0" w:after="0"/>
              <w:rPr>
                <w:rFonts w:eastAsia="Times New Roman" w:cs="Arial"/>
                <w:color w:val="FF0000"/>
                <w:sz w:val="20"/>
                <w:szCs w:val="20"/>
                <w:lang w:eastAsia="cs-CZ"/>
              </w:rPr>
            </w:pPr>
            <w:r w:rsidRPr="00606D2C">
              <w:rPr>
                <w:rFonts w:eastAsia="Times New Roman" w:cs="Arial"/>
                <w:sz w:val="20"/>
                <w:szCs w:val="20"/>
                <w:lang w:eastAsia="cs-CZ"/>
              </w:rPr>
              <w:t>Nařízením vlády č. 286/2017 Sb., kterým se mění nařízení vlády č. 567/2006 Sb., o minimální mzdě, o nejni</w:t>
            </w:r>
            <w:r w:rsidR="00820FB7">
              <w:rPr>
                <w:rFonts w:eastAsia="Times New Roman" w:cs="Arial"/>
                <w:sz w:val="20"/>
                <w:szCs w:val="20"/>
                <w:lang w:eastAsia="cs-CZ"/>
              </w:rPr>
              <w:t>žších úrovních zaručené mzdy, o </w:t>
            </w:r>
            <w:r w:rsidRPr="00606D2C">
              <w:rPr>
                <w:rFonts w:eastAsia="Times New Roman" w:cs="Arial"/>
                <w:sz w:val="20"/>
                <w:szCs w:val="20"/>
                <w:lang w:eastAsia="cs-CZ"/>
              </w:rPr>
              <w:t>vymezení ztíženého pracovního prostředí a o výši příplatku ke mzdě za práci ve ztíženém pracovním prostř</w:t>
            </w:r>
            <w:r w:rsidR="00820FB7">
              <w:rPr>
                <w:rFonts w:eastAsia="Times New Roman" w:cs="Arial"/>
                <w:sz w:val="20"/>
                <w:szCs w:val="20"/>
                <w:lang w:eastAsia="cs-CZ"/>
              </w:rPr>
              <w:t>edí, ze dne 21. 8. 2017, byla s </w:t>
            </w:r>
            <w:r w:rsidRPr="00606D2C">
              <w:rPr>
                <w:rFonts w:eastAsia="Times New Roman" w:cs="Arial"/>
                <w:sz w:val="20"/>
                <w:szCs w:val="20"/>
                <w:lang w:eastAsia="cs-CZ"/>
              </w:rPr>
              <w:t>účinností od 1. 1. 2018 zvýšena minimální mzda na 12 200 Kč/měsíc (73,20 Kč/hod) a současně valorizovány i sazby nejnižších úrovní zaručené mzdy.</w:t>
            </w:r>
          </w:p>
        </w:tc>
      </w:tr>
      <w:tr w:rsidR="00606D2C" w:rsidRPr="002C70E1" w:rsidTr="00820FB7">
        <w:trPr>
          <w:trHeight w:val="121"/>
        </w:trPr>
        <w:tc>
          <w:tcPr>
            <w:tcW w:w="720" w:type="dxa"/>
            <w:tcBorders>
              <w:top w:val="nil"/>
              <w:left w:val="nil"/>
              <w:bottom w:val="nil"/>
              <w:right w:val="nil"/>
            </w:tcBorders>
            <w:shd w:val="clear" w:color="auto" w:fill="auto"/>
            <w:noWrap/>
            <w:vAlign w:val="bottom"/>
            <w:hideMark/>
          </w:tcPr>
          <w:p w:rsidR="00606D2C" w:rsidRPr="00606D2C" w:rsidRDefault="00606D2C" w:rsidP="00606D2C">
            <w:pPr>
              <w:spacing w:before="0" w:after="0"/>
              <w:jc w:val="left"/>
              <w:rPr>
                <w:rFonts w:eastAsia="Times New Roman" w:cs="Arial"/>
                <w:color w:val="000000"/>
                <w:sz w:val="20"/>
                <w:szCs w:val="20"/>
                <w:lang w:eastAsia="cs-CZ"/>
              </w:rPr>
            </w:pPr>
          </w:p>
        </w:tc>
        <w:tc>
          <w:tcPr>
            <w:tcW w:w="579" w:type="dxa"/>
            <w:tcBorders>
              <w:top w:val="nil"/>
              <w:left w:val="nil"/>
              <w:bottom w:val="single" w:sz="12" w:space="0" w:color="auto"/>
              <w:right w:val="nil"/>
            </w:tcBorders>
            <w:shd w:val="clear" w:color="auto" w:fill="auto"/>
            <w:noWrap/>
            <w:vAlign w:val="bottom"/>
            <w:hideMark/>
          </w:tcPr>
          <w:p w:rsidR="00606D2C" w:rsidRPr="00606D2C" w:rsidRDefault="00606D2C" w:rsidP="00606D2C">
            <w:pPr>
              <w:spacing w:before="0" w:after="0"/>
              <w:jc w:val="left"/>
              <w:rPr>
                <w:rFonts w:eastAsia="Times New Roman" w:cs="Arial"/>
                <w:color w:val="000000"/>
                <w:sz w:val="20"/>
                <w:szCs w:val="20"/>
                <w:lang w:eastAsia="cs-CZ"/>
              </w:rPr>
            </w:pPr>
          </w:p>
        </w:tc>
        <w:tc>
          <w:tcPr>
            <w:tcW w:w="2302" w:type="dxa"/>
            <w:gridSpan w:val="2"/>
            <w:tcBorders>
              <w:top w:val="nil"/>
              <w:left w:val="nil"/>
              <w:bottom w:val="single" w:sz="12" w:space="0" w:color="auto"/>
              <w:right w:val="nil"/>
            </w:tcBorders>
            <w:shd w:val="clear" w:color="auto" w:fill="auto"/>
            <w:noWrap/>
            <w:vAlign w:val="bottom"/>
            <w:hideMark/>
          </w:tcPr>
          <w:p w:rsidR="00606D2C" w:rsidRPr="00606D2C" w:rsidRDefault="00606D2C" w:rsidP="00606D2C">
            <w:pPr>
              <w:spacing w:before="0" w:after="0"/>
              <w:jc w:val="left"/>
              <w:rPr>
                <w:rFonts w:eastAsia="Times New Roman" w:cs="Arial"/>
                <w:color w:val="000000"/>
                <w:sz w:val="20"/>
                <w:szCs w:val="20"/>
                <w:lang w:eastAsia="cs-CZ"/>
              </w:rPr>
            </w:pPr>
          </w:p>
        </w:tc>
        <w:tc>
          <w:tcPr>
            <w:tcW w:w="1151" w:type="dxa"/>
            <w:tcBorders>
              <w:top w:val="nil"/>
              <w:left w:val="nil"/>
              <w:bottom w:val="single" w:sz="12" w:space="0" w:color="auto"/>
              <w:right w:val="nil"/>
            </w:tcBorders>
            <w:shd w:val="clear" w:color="auto" w:fill="auto"/>
            <w:noWrap/>
            <w:vAlign w:val="bottom"/>
            <w:hideMark/>
          </w:tcPr>
          <w:p w:rsidR="00606D2C" w:rsidRPr="00606D2C" w:rsidRDefault="00606D2C" w:rsidP="00606D2C">
            <w:pPr>
              <w:spacing w:before="0" w:after="0"/>
              <w:jc w:val="left"/>
              <w:rPr>
                <w:rFonts w:eastAsia="Times New Roman" w:cs="Arial"/>
                <w:color w:val="000000"/>
                <w:sz w:val="20"/>
                <w:szCs w:val="20"/>
                <w:lang w:eastAsia="cs-CZ"/>
              </w:rPr>
            </w:pPr>
          </w:p>
        </w:tc>
        <w:tc>
          <w:tcPr>
            <w:tcW w:w="1033" w:type="dxa"/>
            <w:tcBorders>
              <w:top w:val="nil"/>
              <w:left w:val="nil"/>
              <w:bottom w:val="single" w:sz="12" w:space="0" w:color="auto"/>
              <w:right w:val="nil"/>
            </w:tcBorders>
            <w:shd w:val="clear" w:color="auto" w:fill="auto"/>
            <w:noWrap/>
            <w:vAlign w:val="bottom"/>
            <w:hideMark/>
          </w:tcPr>
          <w:p w:rsidR="00606D2C" w:rsidRPr="00606D2C" w:rsidRDefault="00606D2C" w:rsidP="00606D2C">
            <w:pPr>
              <w:spacing w:before="0" w:after="0"/>
              <w:jc w:val="left"/>
              <w:rPr>
                <w:rFonts w:eastAsia="Times New Roman" w:cs="Arial"/>
                <w:color w:val="000000"/>
                <w:sz w:val="20"/>
                <w:szCs w:val="20"/>
                <w:lang w:eastAsia="cs-CZ"/>
              </w:rPr>
            </w:pPr>
          </w:p>
        </w:tc>
        <w:tc>
          <w:tcPr>
            <w:tcW w:w="1902" w:type="dxa"/>
            <w:tcBorders>
              <w:top w:val="nil"/>
              <w:left w:val="nil"/>
              <w:bottom w:val="single" w:sz="12" w:space="0" w:color="auto"/>
              <w:right w:val="nil"/>
            </w:tcBorders>
            <w:shd w:val="clear" w:color="auto" w:fill="auto"/>
            <w:noWrap/>
            <w:vAlign w:val="bottom"/>
            <w:hideMark/>
          </w:tcPr>
          <w:p w:rsidR="00606D2C" w:rsidRPr="00606D2C" w:rsidRDefault="00606D2C" w:rsidP="00606D2C">
            <w:pPr>
              <w:spacing w:before="0" w:after="0"/>
              <w:jc w:val="left"/>
              <w:rPr>
                <w:rFonts w:eastAsia="Times New Roman" w:cs="Arial"/>
                <w:color w:val="000000"/>
                <w:sz w:val="20"/>
                <w:szCs w:val="20"/>
                <w:lang w:eastAsia="cs-CZ"/>
              </w:rPr>
            </w:pPr>
          </w:p>
        </w:tc>
        <w:tc>
          <w:tcPr>
            <w:tcW w:w="1745" w:type="dxa"/>
            <w:tcBorders>
              <w:top w:val="nil"/>
              <w:left w:val="nil"/>
              <w:bottom w:val="single" w:sz="12" w:space="0" w:color="auto"/>
              <w:right w:val="nil"/>
            </w:tcBorders>
            <w:shd w:val="clear" w:color="auto" w:fill="auto"/>
            <w:noWrap/>
            <w:vAlign w:val="bottom"/>
            <w:hideMark/>
          </w:tcPr>
          <w:p w:rsidR="00606D2C" w:rsidRPr="00606D2C" w:rsidRDefault="00606D2C" w:rsidP="00606D2C">
            <w:pPr>
              <w:spacing w:before="0" w:after="0"/>
              <w:jc w:val="left"/>
              <w:rPr>
                <w:rFonts w:eastAsia="Times New Roman" w:cs="Arial"/>
                <w:color w:val="000000"/>
                <w:sz w:val="20"/>
                <w:szCs w:val="20"/>
                <w:lang w:eastAsia="cs-CZ"/>
              </w:rPr>
            </w:pPr>
          </w:p>
        </w:tc>
        <w:tc>
          <w:tcPr>
            <w:tcW w:w="1632" w:type="dxa"/>
            <w:tcBorders>
              <w:top w:val="nil"/>
              <w:left w:val="nil"/>
              <w:bottom w:val="single" w:sz="12" w:space="0" w:color="auto"/>
              <w:right w:val="nil"/>
            </w:tcBorders>
            <w:shd w:val="clear" w:color="auto" w:fill="auto"/>
            <w:noWrap/>
            <w:vAlign w:val="bottom"/>
            <w:hideMark/>
          </w:tcPr>
          <w:p w:rsidR="00606D2C" w:rsidRPr="00606D2C" w:rsidRDefault="00606D2C" w:rsidP="00606D2C">
            <w:pPr>
              <w:spacing w:before="0" w:after="0"/>
              <w:jc w:val="left"/>
              <w:rPr>
                <w:rFonts w:eastAsia="Times New Roman" w:cs="Arial"/>
                <w:color w:val="000000"/>
                <w:sz w:val="20"/>
                <w:szCs w:val="20"/>
                <w:lang w:eastAsia="cs-CZ"/>
              </w:rPr>
            </w:pPr>
          </w:p>
        </w:tc>
        <w:tc>
          <w:tcPr>
            <w:tcW w:w="3033" w:type="dxa"/>
            <w:tcBorders>
              <w:top w:val="nil"/>
              <w:left w:val="nil"/>
              <w:bottom w:val="single" w:sz="12" w:space="0" w:color="auto"/>
              <w:right w:val="nil"/>
            </w:tcBorders>
            <w:shd w:val="clear" w:color="auto" w:fill="auto"/>
            <w:noWrap/>
            <w:vAlign w:val="bottom"/>
            <w:hideMark/>
          </w:tcPr>
          <w:p w:rsidR="00606D2C" w:rsidRPr="00606D2C" w:rsidRDefault="00606D2C" w:rsidP="00606D2C">
            <w:pPr>
              <w:spacing w:before="0" w:after="0"/>
              <w:jc w:val="left"/>
              <w:rPr>
                <w:rFonts w:eastAsia="Times New Roman" w:cs="Arial"/>
                <w:color w:val="000000"/>
                <w:sz w:val="20"/>
                <w:szCs w:val="20"/>
                <w:lang w:eastAsia="cs-CZ"/>
              </w:rPr>
            </w:pPr>
          </w:p>
        </w:tc>
      </w:tr>
      <w:tr w:rsidR="00606D2C" w:rsidRPr="002C70E1" w:rsidTr="00820FB7">
        <w:trPr>
          <w:trHeight w:val="285"/>
        </w:trPr>
        <w:tc>
          <w:tcPr>
            <w:tcW w:w="720" w:type="dxa"/>
            <w:tcBorders>
              <w:top w:val="single" w:sz="8" w:space="0" w:color="auto"/>
              <w:left w:val="single" w:sz="8" w:space="0" w:color="auto"/>
              <w:bottom w:val="single" w:sz="4" w:space="0" w:color="auto"/>
              <w:right w:val="single" w:sz="12" w:space="0" w:color="auto"/>
            </w:tcBorders>
            <w:shd w:val="clear" w:color="000000" w:fill="DCE6F1"/>
            <w:noWrap/>
            <w:vAlign w:val="bottom"/>
            <w:hideMark/>
          </w:tcPr>
          <w:p w:rsidR="00606D2C" w:rsidRPr="00606D2C" w:rsidRDefault="00606D2C" w:rsidP="00606D2C">
            <w:pPr>
              <w:spacing w:before="0" w:after="0"/>
              <w:jc w:val="center"/>
              <w:rPr>
                <w:rFonts w:eastAsia="Times New Roman" w:cs="Arial"/>
                <w:b/>
                <w:bCs/>
                <w:color w:val="000000"/>
                <w:sz w:val="20"/>
                <w:szCs w:val="20"/>
                <w:lang w:eastAsia="cs-CZ"/>
              </w:rPr>
            </w:pPr>
            <w:r w:rsidRPr="00606D2C">
              <w:rPr>
                <w:rFonts w:eastAsia="Times New Roman" w:cs="Arial"/>
                <w:b/>
                <w:bCs/>
                <w:color w:val="000000"/>
                <w:sz w:val="20"/>
                <w:szCs w:val="20"/>
                <w:lang w:eastAsia="cs-CZ"/>
              </w:rPr>
              <w:t>1.3b</w:t>
            </w:r>
          </w:p>
        </w:tc>
        <w:tc>
          <w:tcPr>
            <w:tcW w:w="579" w:type="dxa"/>
            <w:tcBorders>
              <w:top w:val="single" w:sz="12" w:space="0" w:color="auto"/>
              <w:left w:val="single" w:sz="12" w:space="0" w:color="auto"/>
              <w:bottom w:val="single" w:sz="12" w:space="0" w:color="auto"/>
            </w:tcBorders>
            <w:shd w:val="clear" w:color="auto" w:fill="auto"/>
            <w:noWrap/>
            <w:vAlign w:val="bottom"/>
            <w:hideMark/>
          </w:tcPr>
          <w:p w:rsidR="00606D2C" w:rsidRPr="00606D2C" w:rsidRDefault="00606D2C" w:rsidP="00606D2C">
            <w:pPr>
              <w:spacing w:before="0" w:after="0"/>
              <w:jc w:val="right"/>
              <w:rPr>
                <w:rFonts w:eastAsia="Times New Roman" w:cs="Arial"/>
                <w:b/>
                <w:bCs/>
                <w:color w:val="000000"/>
                <w:sz w:val="20"/>
                <w:szCs w:val="20"/>
                <w:lang w:eastAsia="cs-CZ"/>
              </w:rPr>
            </w:pPr>
            <w:r w:rsidRPr="00606D2C">
              <w:rPr>
                <w:rFonts w:eastAsia="Times New Roman" w:cs="Arial"/>
                <w:b/>
                <w:bCs/>
                <w:color w:val="000000"/>
                <w:sz w:val="20"/>
                <w:szCs w:val="20"/>
                <w:lang w:eastAsia="cs-CZ"/>
              </w:rPr>
              <w:t>T:</w:t>
            </w:r>
          </w:p>
        </w:tc>
        <w:tc>
          <w:tcPr>
            <w:tcW w:w="2302" w:type="dxa"/>
            <w:gridSpan w:val="2"/>
            <w:tcBorders>
              <w:top w:val="single" w:sz="12" w:space="0" w:color="auto"/>
              <w:bottom w:val="single" w:sz="12" w:space="0" w:color="auto"/>
              <w:right w:val="single" w:sz="12" w:space="0" w:color="auto"/>
            </w:tcBorders>
            <w:shd w:val="clear" w:color="auto" w:fill="auto"/>
            <w:noWrap/>
            <w:vAlign w:val="bottom"/>
            <w:hideMark/>
          </w:tcPr>
          <w:p w:rsidR="00606D2C" w:rsidRPr="00606D2C" w:rsidRDefault="00606D2C" w:rsidP="00606D2C">
            <w:pPr>
              <w:spacing w:before="0" w:after="0"/>
              <w:jc w:val="left"/>
              <w:rPr>
                <w:rFonts w:eastAsia="Times New Roman" w:cs="Arial"/>
                <w:b/>
                <w:bCs/>
                <w:color w:val="000000"/>
                <w:sz w:val="20"/>
                <w:szCs w:val="20"/>
                <w:lang w:eastAsia="cs-CZ"/>
              </w:rPr>
            </w:pPr>
            <w:r w:rsidRPr="00606D2C">
              <w:rPr>
                <w:rFonts w:eastAsia="Times New Roman" w:cs="Arial"/>
                <w:b/>
                <w:bCs/>
                <w:color w:val="000000"/>
                <w:sz w:val="20"/>
                <w:szCs w:val="20"/>
                <w:lang w:eastAsia="cs-CZ"/>
              </w:rPr>
              <w:t>2017</w:t>
            </w:r>
          </w:p>
        </w:tc>
        <w:tc>
          <w:tcPr>
            <w:tcW w:w="1151" w:type="dxa"/>
            <w:tcBorders>
              <w:top w:val="single" w:sz="12" w:space="0" w:color="auto"/>
              <w:left w:val="single" w:sz="12" w:space="0" w:color="auto"/>
              <w:bottom w:val="single" w:sz="12" w:space="0" w:color="auto"/>
            </w:tcBorders>
            <w:shd w:val="clear" w:color="auto" w:fill="auto"/>
            <w:noWrap/>
            <w:vAlign w:val="bottom"/>
            <w:hideMark/>
          </w:tcPr>
          <w:p w:rsidR="00606D2C" w:rsidRPr="00606D2C" w:rsidRDefault="00606D2C" w:rsidP="00606D2C">
            <w:pPr>
              <w:spacing w:before="0" w:after="0"/>
              <w:jc w:val="right"/>
              <w:rPr>
                <w:rFonts w:eastAsia="Times New Roman" w:cs="Arial"/>
                <w:b/>
                <w:bCs/>
                <w:color w:val="000000"/>
                <w:sz w:val="20"/>
                <w:szCs w:val="20"/>
                <w:lang w:eastAsia="cs-CZ"/>
              </w:rPr>
            </w:pPr>
            <w:r w:rsidRPr="00606D2C">
              <w:rPr>
                <w:rFonts w:eastAsia="Times New Roman" w:cs="Arial"/>
                <w:b/>
                <w:bCs/>
                <w:color w:val="000000"/>
                <w:sz w:val="20"/>
                <w:szCs w:val="20"/>
                <w:lang w:eastAsia="cs-CZ"/>
              </w:rPr>
              <w:t>gesce:</w:t>
            </w:r>
          </w:p>
        </w:tc>
        <w:tc>
          <w:tcPr>
            <w:tcW w:w="1033" w:type="dxa"/>
            <w:tcBorders>
              <w:top w:val="single" w:sz="12" w:space="0" w:color="auto"/>
              <w:bottom w:val="single" w:sz="12" w:space="0" w:color="auto"/>
              <w:right w:val="single" w:sz="12" w:space="0" w:color="auto"/>
            </w:tcBorders>
            <w:shd w:val="clear" w:color="auto" w:fill="auto"/>
            <w:noWrap/>
            <w:vAlign w:val="bottom"/>
            <w:hideMark/>
          </w:tcPr>
          <w:p w:rsidR="00606D2C" w:rsidRPr="00606D2C" w:rsidRDefault="00606D2C" w:rsidP="00606D2C">
            <w:pPr>
              <w:spacing w:before="0" w:after="0"/>
              <w:jc w:val="left"/>
              <w:rPr>
                <w:rFonts w:eastAsia="Times New Roman" w:cs="Arial"/>
                <w:b/>
                <w:bCs/>
                <w:color w:val="000000"/>
                <w:sz w:val="20"/>
                <w:szCs w:val="20"/>
                <w:lang w:eastAsia="cs-CZ"/>
              </w:rPr>
            </w:pPr>
            <w:r w:rsidRPr="00606D2C">
              <w:rPr>
                <w:rFonts w:eastAsia="Times New Roman" w:cs="Arial"/>
                <w:b/>
                <w:bCs/>
                <w:color w:val="000000"/>
                <w:sz w:val="20"/>
                <w:szCs w:val="20"/>
                <w:lang w:eastAsia="cs-CZ"/>
              </w:rPr>
              <w:t>MPSV</w:t>
            </w:r>
          </w:p>
        </w:tc>
        <w:tc>
          <w:tcPr>
            <w:tcW w:w="1902" w:type="dxa"/>
            <w:tcBorders>
              <w:top w:val="single" w:sz="12" w:space="0" w:color="auto"/>
              <w:left w:val="nil"/>
            </w:tcBorders>
            <w:shd w:val="clear" w:color="auto" w:fill="auto"/>
            <w:noWrap/>
            <w:vAlign w:val="bottom"/>
          </w:tcPr>
          <w:p w:rsidR="00606D2C" w:rsidRPr="00606D2C" w:rsidRDefault="00606D2C" w:rsidP="00606D2C">
            <w:pPr>
              <w:spacing w:before="0" w:after="0"/>
              <w:jc w:val="right"/>
              <w:rPr>
                <w:rFonts w:eastAsia="Times New Roman" w:cs="Arial"/>
                <w:color w:val="000000"/>
                <w:sz w:val="20"/>
                <w:szCs w:val="20"/>
                <w:lang w:eastAsia="cs-CZ"/>
              </w:rPr>
            </w:pPr>
          </w:p>
        </w:tc>
        <w:tc>
          <w:tcPr>
            <w:tcW w:w="1745" w:type="dxa"/>
            <w:tcBorders>
              <w:top w:val="single" w:sz="12" w:space="0" w:color="auto"/>
              <w:right w:val="single" w:sz="12" w:space="0" w:color="auto"/>
            </w:tcBorders>
            <w:shd w:val="clear" w:color="auto" w:fill="auto"/>
            <w:noWrap/>
            <w:vAlign w:val="bottom"/>
          </w:tcPr>
          <w:p w:rsidR="00606D2C" w:rsidRPr="00606D2C" w:rsidRDefault="00606D2C" w:rsidP="00606D2C">
            <w:pPr>
              <w:spacing w:before="0" w:after="0"/>
              <w:jc w:val="right"/>
              <w:rPr>
                <w:rFonts w:eastAsia="Times New Roman" w:cs="Arial"/>
                <w:color w:val="000000"/>
                <w:sz w:val="20"/>
                <w:szCs w:val="20"/>
                <w:lang w:eastAsia="cs-CZ"/>
              </w:rPr>
            </w:pPr>
          </w:p>
        </w:tc>
        <w:tc>
          <w:tcPr>
            <w:tcW w:w="1632" w:type="dxa"/>
            <w:tcBorders>
              <w:top w:val="single" w:sz="12" w:space="0" w:color="auto"/>
              <w:left w:val="single" w:sz="12" w:space="0" w:color="auto"/>
              <w:bottom w:val="single" w:sz="12" w:space="0" w:color="auto"/>
            </w:tcBorders>
            <w:shd w:val="clear" w:color="auto" w:fill="auto"/>
            <w:noWrap/>
            <w:vAlign w:val="bottom"/>
          </w:tcPr>
          <w:p w:rsidR="00606D2C" w:rsidRPr="00606D2C" w:rsidRDefault="00606D2C" w:rsidP="00606D2C">
            <w:pPr>
              <w:spacing w:before="0" w:after="0"/>
              <w:jc w:val="right"/>
              <w:rPr>
                <w:rFonts w:eastAsia="Times New Roman" w:cs="Arial"/>
                <w:b/>
                <w:color w:val="000000"/>
                <w:sz w:val="20"/>
                <w:szCs w:val="20"/>
                <w:lang w:eastAsia="cs-CZ"/>
              </w:rPr>
            </w:pPr>
            <w:r w:rsidRPr="00606D2C">
              <w:rPr>
                <w:rFonts w:eastAsia="Times New Roman" w:cs="Arial"/>
                <w:b/>
                <w:color w:val="000000"/>
                <w:sz w:val="20"/>
                <w:szCs w:val="20"/>
                <w:lang w:eastAsia="cs-CZ"/>
              </w:rPr>
              <w:t>Povaha</w:t>
            </w:r>
          </w:p>
        </w:tc>
        <w:tc>
          <w:tcPr>
            <w:tcW w:w="3033" w:type="dxa"/>
            <w:tcBorders>
              <w:top w:val="single" w:sz="12" w:space="0" w:color="auto"/>
              <w:bottom w:val="single" w:sz="12" w:space="0" w:color="auto"/>
              <w:right w:val="single" w:sz="12" w:space="0" w:color="auto"/>
            </w:tcBorders>
            <w:shd w:val="clear" w:color="auto" w:fill="auto"/>
            <w:noWrap/>
            <w:vAlign w:val="bottom"/>
          </w:tcPr>
          <w:p w:rsidR="00606D2C" w:rsidRPr="00606D2C" w:rsidRDefault="00606D2C" w:rsidP="00606D2C">
            <w:pPr>
              <w:spacing w:before="0" w:after="0"/>
              <w:jc w:val="left"/>
              <w:rPr>
                <w:rFonts w:eastAsia="Times New Roman" w:cs="Arial"/>
                <w:b/>
                <w:bCs/>
                <w:color w:val="000000"/>
                <w:sz w:val="20"/>
                <w:szCs w:val="20"/>
                <w:lang w:eastAsia="cs-CZ"/>
              </w:rPr>
            </w:pPr>
            <w:r w:rsidRPr="00606D2C">
              <w:rPr>
                <w:rFonts w:eastAsia="Times New Roman" w:cs="Arial"/>
                <w:b/>
                <w:bCs/>
                <w:color w:val="000000"/>
                <w:sz w:val="20"/>
                <w:szCs w:val="20"/>
                <w:lang w:eastAsia="cs-CZ"/>
              </w:rPr>
              <w:t>L</w:t>
            </w:r>
          </w:p>
        </w:tc>
      </w:tr>
      <w:tr w:rsidR="00606D2C" w:rsidRPr="002C70E1" w:rsidTr="00606D2C">
        <w:trPr>
          <w:trHeight w:val="285"/>
        </w:trPr>
        <w:tc>
          <w:tcPr>
            <w:tcW w:w="720"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606D2C" w:rsidRPr="00606D2C" w:rsidRDefault="00606D2C" w:rsidP="00606D2C">
            <w:pPr>
              <w:spacing w:before="0" w:after="0"/>
              <w:jc w:val="center"/>
              <w:rPr>
                <w:rFonts w:eastAsia="Times New Roman" w:cs="Arial"/>
                <w:b/>
                <w:bCs/>
                <w:color w:val="000000"/>
                <w:sz w:val="20"/>
                <w:szCs w:val="20"/>
                <w:lang w:eastAsia="cs-CZ"/>
              </w:rPr>
            </w:pPr>
            <w:r w:rsidRPr="00606D2C">
              <w:rPr>
                <w:rFonts w:eastAsia="Times New Roman" w:cs="Arial"/>
                <w:b/>
                <w:bCs/>
                <w:color w:val="000000"/>
                <w:sz w:val="20"/>
                <w:szCs w:val="20"/>
                <w:lang w:eastAsia="cs-CZ"/>
              </w:rPr>
              <w:t>Revize dávkového systému</w:t>
            </w:r>
          </w:p>
        </w:tc>
        <w:tc>
          <w:tcPr>
            <w:tcW w:w="2881" w:type="dxa"/>
            <w:gridSpan w:val="3"/>
            <w:tcBorders>
              <w:top w:val="single" w:sz="4" w:space="0" w:color="auto"/>
              <w:left w:val="nil"/>
            </w:tcBorders>
            <w:shd w:val="clear" w:color="auto" w:fill="auto"/>
            <w:noWrap/>
            <w:vAlign w:val="bottom"/>
          </w:tcPr>
          <w:p w:rsidR="00606D2C" w:rsidRPr="00606D2C" w:rsidRDefault="00606D2C" w:rsidP="00606D2C">
            <w:pPr>
              <w:spacing w:before="0" w:after="0"/>
              <w:jc w:val="right"/>
              <w:rPr>
                <w:rFonts w:eastAsia="Times New Roman" w:cs="Arial"/>
                <w:b/>
                <w:bCs/>
                <w:color w:val="000000"/>
                <w:sz w:val="20"/>
                <w:szCs w:val="20"/>
                <w:lang w:eastAsia="cs-CZ"/>
              </w:rPr>
            </w:pPr>
          </w:p>
        </w:tc>
        <w:tc>
          <w:tcPr>
            <w:tcW w:w="1151" w:type="dxa"/>
            <w:shd w:val="clear" w:color="auto" w:fill="auto"/>
            <w:noWrap/>
            <w:vAlign w:val="bottom"/>
          </w:tcPr>
          <w:p w:rsidR="00606D2C" w:rsidRPr="00606D2C" w:rsidRDefault="00606D2C" w:rsidP="00606D2C">
            <w:pPr>
              <w:spacing w:before="0" w:after="0"/>
              <w:jc w:val="center"/>
              <w:rPr>
                <w:rFonts w:eastAsia="Times New Roman" w:cs="Arial"/>
                <w:b/>
                <w:bCs/>
                <w:color w:val="000000"/>
                <w:sz w:val="20"/>
                <w:szCs w:val="20"/>
                <w:lang w:eastAsia="cs-CZ"/>
              </w:rPr>
            </w:pPr>
          </w:p>
        </w:tc>
        <w:tc>
          <w:tcPr>
            <w:tcW w:w="4680" w:type="dxa"/>
            <w:gridSpan w:val="3"/>
            <w:tcBorders>
              <w:top w:val="nil"/>
            </w:tcBorders>
            <w:shd w:val="clear" w:color="auto" w:fill="auto"/>
            <w:noWrap/>
            <w:vAlign w:val="center"/>
            <w:hideMark/>
          </w:tcPr>
          <w:p w:rsidR="00606D2C" w:rsidRPr="00606D2C" w:rsidRDefault="00606D2C" w:rsidP="00606D2C">
            <w:pPr>
              <w:spacing w:before="0" w:after="0"/>
              <w:jc w:val="center"/>
              <w:rPr>
                <w:rFonts w:eastAsia="Times New Roman" w:cs="Arial"/>
                <w:b/>
                <w:bCs/>
                <w:color w:val="000000"/>
                <w:sz w:val="20"/>
                <w:szCs w:val="20"/>
                <w:u w:val="single"/>
                <w:lang w:eastAsia="cs-CZ"/>
              </w:rPr>
            </w:pPr>
            <w:r w:rsidRPr="00606D2C">
              <w:rPr>
                <w:rFonts w:eastAsia="Times New Roman" w:cs="Arial"/>
                <w:b/>
                <w:bCs/>
                <w:color w:val="000000"/>
                <w:sz w:val="20"/>
                <w:szCs w:val="20"/>
                <w:u w:val="single"/>
                <w:lang w:eastAsia="cs-CZ"/>
              </w:rPr>
              <w:t>Popis</w:t>
            </w:r>
          </w:p>
        </w:tc>
        <w:tc>
          <w:tcPr>
            <w:tcW w:w="1632" w:type="dxa"/>
            <w:tcBorders>
              <w:top w:val="single" w:sz="12" w:space="0" w:color="auto"/>
            </w:tcBorders>
            <w:shd w:val="clear" w:color="auto" w:fill="auto"/>
            <w:noWrap/>
            <w:vAlign w:val="center"/>
            <w:hideMark/>
          </w:tcPr>
          <w:p w:rsidR="00606D2C" w:rsidRPr="00606D2C" w:rsidRDefault="00606D2C" w:rsidP="00606D2C">
            <w:pPr>
              <w:spacing w:before="0" w:after="0"/>
              <w:jc w:val="center"/>
              <w:rPr>
                <w:rFonts w:eastAsia="Times New Roman" w:cs="Arial"/>
                <w:b/>
                <w:bCs/>
                <w:color w:val="000000"/>
                <w:sz w:val="20"/>
                <w:szCs w:val="20"/>
                <w:u w:val="single"/>
                <w:lang w:eastAsia="cs-CZ"/>
              </w:rPr>
            </w:pPr>
          </w:p>
        </w:tc>
        <w:tc>
          <w:tcPr>
            <w:tcW w:w="3033" w:type="dxa"/>
            <w:tcBorders>
              <w:top w:val="single" w:sz="12" w:space="0" w:color="auto"/>
              <w:right w:val="single" w:sz="8" w:space="0" w:color="auto"/>
            </w:tcBorders>
            <w:shd w:val="clear" w:color="auto" w:fill="auto"/>
            <w:noWrap/>
            <w:vAlign w:val="center"/>
            <w:hideMark/>
          </w:tcPr>
          <w:p w:rsidR="00606D2C" w:rsidRPr="00606D2C" w:rsidRDefault="00606D2C" w:rsidP="00606D2C">
            <w:pPr>
              <w:spacing w:before="0" w:after="0"/>
              <w:jc w:val="center"/>
              <w:rPr>
                <w:rFonts w:eastAsia="Times New Roman" w:cs="Arial"/>
                <w:b/>
                <w:bCs/>
                <w:color w:val="000000"/>
                <w:sz w:val="20"/>
                <w:szCs w:val="20"/>
                <w:u w:val="single"/>
                <w:lang w:eastAsia="cs-CZ"/>
              </w:rPr>
            </w:pPr>
          </w:p>
        </w:tc>
      </w:tr>
      <w:tr w:rsidR="00606D2C" w:rsidRPr="002C70E1" w:rsidTr="00606D2C">
        <w:trPr>
          <w:trHeight w:val="615"/>
        </w:trPr>
        <w:tc>
          <w:tcPr>
            <w:tcW w:w="720" w:type="dxa"/>
            <w:vMerge/>
            <w:tcBorders>
              <w:top w:val="nil"/>
              <w:left w:val="single" w:sz="8" w:space="0" w:color="auto"/>
              <w:bottom w:val="single" w:sz="8" w:space="0" w:color="000000"/>
              <w:right w:val="single" w:sz="8" w:space="0" w:color="auto"/>
            </w:tcBorders>
            <w:vAlign w:val="center"/>
            <w:hideMark/>
          </w:tcPr>
          <w:p w:rsidR="00606D2C" w:rsidRPr="00606D2C" w:rsidRDefault="00606D2C" w:rsidP="00606D2C">
            <w:pPr>
              <w:spacing w:before="0" w:after="0"/>
              <w:jc w:val="left"/>
              <w:rPr>
                <w:rFonts w:eastAsia="Times New Roman" w:cs="Arial"/>
                <w:b/>
                <w:bCs/>
                <w:color w:val="000000"/>
                <w:sz w:val="20"/>
                <w:szCs w:val="20"/>
                <w:lang w:eastAsia="cs-CZ"/>
              </w:rPr>
            </w:pPr>
          </w:p>
        </w:tc>
        <w:tc>
          <w:tcPr>
            <w:tcW w:w="13377" w:type="dxa"/>
            <w:gridSpan w:val="9"/>
            <w:tcBorders>
              <w:left w:val="nil"/>
              <w:bottom w:val="double" w:sz="6" w:space="0" w:color="auto"/>
              <w:right w:val="single" w:sz="8" w:space="0" w:color="000000"/>
            </w:tcBorders>
            <w:shd w:val="clear" w:color="auto" w:fill="auto"/>
            <w:hideMark/>
          </w:tcPr>
          <w:p w:rsidR="00606D2C" w:rsidRPr="00606D2C" w:rsidRDefault="00606D2C" w:rsidP="00606D2C">
            <w:pPr>
              <w:spacing w:before="0" w:after="0"/>
              <w:rPr>
                <w:rFonts w:eastAsia="Times New Roman" w:cs="Arial"/>
                <w:color w:val="000000"/>
                <w:sz w:val="20"/>
                <w:szCs w:val="20"/>
                <w:lang w:eastAsia="cs-CZ"/>
              </w:rPr>
            </w:pPr>
            <w:r w:rsidRPr="00606D2C">
              <w:rPr>
                <w:rFonts w:eastAsia="Times New Roman" w:cs="Arial"/>
                <w:color w:val="000000"/>
                <w:sz w:val="20"/>
                <w:szCs w:val="20"/>
                <w:lang w:eastAsia="cs-CZ"/>
              </w:rPr>
              <w:t>MPSV provede revizi právní úpravy dávek s ohledem na jejich možné dopady na motivaci pracovní síly akceptovat zaměstnání jako základní zdroj příjmu namísto závislosti na příjmu sociálním a to při souběžném ohledu na příjmovou stabilitu příjemců dávkové podpory</w:t>
            </w:r>
          </w:p>
        </w:tc>
      </w:tr>
      <w:tr w:rsidR="00606D2C" w:rsidRPr="002C70E1" w:rsidTr="00820FB7">
        <w:trPr>
          <w:trHeight w:val="285"/>
        </w:trPr>
        <w:tc>
          <w:tcPr>
            <w:tcW w:w="720" w:type="dxa"/>
            <w:vMerge/>
            <w:tcBorders>
              <w:top w:val="nil"/>
              <w:left w:val="single" w:sz="8" w:space="0" w:color="auto"/>
              <w:bottom w:val="single" w:sz="8" w:space="0" w:color="000000"/>
              <w:right w:val="single" w:sz="8" w:space="0" w:color="auto"/>
            </w:tcBorders>
            <w:vAlign w:val="center"/>
            <w:hideMark/>
          </w:tcPr>
          <w:p w:rsidR="00606D2C" w:rsidRPr="00606D2C" w:rsidRDefault="00606D2C" w:rsidP="00606D2C">
            <w:pPr>
              <w:spacing w:before="0" w:after="0"/>
              <w:jc w:val="left"/>
              <w:rPr>
                <w:rFonts w:eastAsia="Times New Roman" w:cs="Arial"/>
                <w:b/>
                <w:bCs/>
                <w:color w:val="000000"/>
                <w:sz w:val="20"/>
                <w:szCs w:val="20"/>
                <w:lang w:eastAsia="cs-CZ"/>
              </w:rPr>
            </w:pPr>
          </w:p>
        </w:tc>
        <w:tc>
          <w:tcPr>
            <w:tcW w:w="579" w:type="dxa"/>
            <w:tcBorders>
              <w:top w:val="double" w:sz="6" w:space="0" w:color="auto"/>
              <w:left w:val="single" w:sz="12" w:space="0" w:color="auto"/>
              <w:bottom w:val="single" w:sz="12" w:space="0" w:color="auto"/>
              <w:right w:val="nil"/>
            </w:tcBorders>
            <w:shd w:val="clear" w:color="000000" w:fill="00B050"/>
            <w:noWrap/>
            <w:vAlign w:val="bottom"/>
            <w:hideMark/>
          </w:tcPr>
          <w:p w:rsidR="00606D2C" w:rsidRPr="00606D2C" w:rsidRDefault="00606D2C" w:rsidP="00606D2C">
            <w:pPr>
              <w:spacing w:before="0" w:after="0"/>
              <w:jc w:val="center"/>
              <w:rPr>
                <w:rFonts w:eastAsia="Times New Roman" w:cs="Arial"/>
                <w:color w:val="000000"/>
                <w:sz w:val="20"/>
                <w:szCs w:val="20"/>
                <w:lang w:eastAsia="cs-CZ"/>
              </w:rPr>
            </w:pPr>
            <w:r w:rsidRPr="00606D2C">
              <w:rPr>
                <w:rFonts w:eastAsia="Times New Roman" w:cs="Arial"/>
                <w:color w:val="000000"/>
                <w:sz w:val="20"/>
                <w:szCs w:val="20"/>
                <w:lang w:eastAsia="cs-CZ"/>
              </w:rPr>
              <w:t>stav</w:t>
            </w:r>
          </w:p>
        </w:tc>
        <w:tc>
          <w:tcPr>
            <w:tcW w:w="3453" w:type="dxa"/>
            <w:gridSpan w:val="3"/>
            <w:tcBorders>
              <w:top w:val="double" w:sz="6" w:space="0" w:color="auto"/>
              <w:left w:val="nil"/>
              <w:bottom w:val="single" w:sz="12" w:space="0" w:color="auto"/>
              <w:right w:val="double" w:sz="6" w:space="0" w:color="auto"/>
            </w:tcBorders>
            <w:shd w:val="clear" w:color="000000" w:fill="00B050"/>
            <w:vAlign w:val="bottom"/>
            <w:hideMark/>
          </w:tcPr>
          <w:p w:rsidR="00606D2C" w:rsidRPr="00606D2C" w:rsidRDefault="00606D2C" w:rsidP="00606D2C">
            <w:pPr>
              <w:spacing w:before="0" w:after="0"/>
              <w:jc w:val="left"/>
              <w:rPr>
                <w:rFonts w:eastAsia="Times New Roman" w:cs="Arial"/>
                <w:b/>
                <w:bCs/>
                <w:color w:val="000000"/>
                <w:sz w:val="20"/>
                <w:szCs w:val="20"/>
                <w:lang w:eastAsia="cs-CZ"/>
              </w:rPr>
            </w:pPr>
            <w:r w:rsidRPr="00606D2C">
              <w:rPr>
                <w:rFonts w:eastAsia="Times New Roman" w:cs="Arial"/>
                <w:b/>
                <w:bCs/>
                <w:color w:val="000000"/>
                <w:sz w:val="20"/>
                <w:szCs w:val="20"/>
                <w:lang w:eastAsia="cs-CZ"/>
              </w:rPr>
              <w:t>Splněno</w:t>
            </w:r>
          </w:p>
        </w:tc>
        <w:tc>
          <w:tcPr>
            <w:tcW w:w="4680" w:type="dxa"/>
            <w:gridSpan w:val="3"/>
            <w:tcBorders>
              <w:top w:val="double" w:sz="6" w:space="0" w:color="auto"/>
              <w:left w:val="double" w:sz="6" w:space="0" w:color="auto"/>
            </w:tcBorders>
            <w:shd w:val="clear" w:color="auto" w:fill="auto"/>
            <w:vAlign w:val="center"/>
            <w:hideMark/>
          </w:tcPr>
          <w:p w:rsidR="00606D2C" w:rsidRPr="00606D2C" w:rsidRDefault="00606D2C" w:rsidP="00606D2C">
            <w:pPr>
              <w:spacing w:before="0" w:after="0"/>
              <w:jc w:val="center"/>
              <w:rPr>
                <w:rFonts w:eastAsia="Times New Roman" w:cs="Arial"/>
                <w:b/>
                <w:bCs/>
                <w:color w:val="000000"/>
                <w:sz w:val="20"/>
                <w:szCs w:val="20"/>
                <w:u w:val="single"/>
                <w:lang w:eastAsia="cs-CZ"/>
              </w:rPr>
            </w:pPr>
            <w:r w:rsidRPr="00606D2C">
              <w:rPr>
                <w:rFonts w:eastAsia="Times New Roman" w:cs="Arial"/>
                <w:b/>
                <w:bCs/>
                <w:color w:val="000000"/>
                <w:sz w:val="20"/>
                <w:szCs w:val="20"/>
                <w:u w:val="single"/>
                <w:lang w:eastAsia="cs-CZ"/>
              </w:rPr>
              <w:t>Plnění</w:t>
            </w:r>
          </w:p>
        </w:tc>
        <w:tc>
          <w:tcPr>
            <w:tcW w:w="1632" w:type="dxa"/>
            <w:tcBorders>
              <w:top w:val="nil"/>
            </w:tcBorders>
            <w:shd w:val="clear" w:color="auto" w:fill="auto"/>
            <w:vAlign w:val="center"/>
          </w:tcPr>
          <w:p w:rsidR="00606D2C" w:rsidRPr="00606D2C" w:rsidRDefault="00606D2C" w:rsidP="00606D2C">
            <w:pPr>
              <w:spacing w:before="0" w:after="0"/>
              <w:jc w:val="right"/>
              <w:rPr>
                <w:rFonts w:eastAsia="Times New Roman" w:cs="Arial"/>
                <w:color w:val="000000"/>
                <w:sz w:val="20"/>
                <w:szCs w:val="20"/>
                <w:lang w:eastAsia="cs-CZ"/>
              </w:rPr>
            </w:pPr>
          </w:p>
        </w:tc>
        <w:tc>
          <w:tcPr>
            <w:tcW w:w="3033" w:type="dxa"/>
            <w:tcBorders>
              <w:top w:val="nil"/>
              <w:right w:val="single" w:sz="8" w:space="0" w:color="auto"/>
            </w:tcBorders>
            <w:shd w:val="clear" w:color="auto" w:fill="auto"/>
            <w:vAlign w:val="center"/>
          </w:tcPr>
          <w:p w:rsidR="00606D2C" w:rsidRPr="00606D2C" w:rsidRDefault="00606D2C" w:rsidP="00606D2C">
            <w:pPr>
              <w:spacing w:before="0" w:after="0"/>
              <w:jc w:val="center"/>
              <w:rPr>
                <w:rFonts w:eastAsia="Times New Roman" w:cs="Arial"/>
                <w:b/>
                <w:bCs/>
                <w:color w:val="000000"/>
                <w:sz w:val="20"/>
                <w:szCs w:val="20"/>
                <w:u w:val="single"/>
                <w:lang w:eastAsia="cs-CZ"/>
              </w:rPr>
            </w:pPr>
          </w:p>
        </w:tc>
      </w:tr>
      <w:tr w:rsidR="00606D2C" w:rsidRPr="002C70E1" w:rsidTr="00820FB7">
        <w:trPr>
          <w:trHeight w:val="1395"/>
        </w:trPr>
        <w:tc>
          <w:tcPr>
            <w:tcW w:w="720" w:type="dxa"/>
            <w:vMerge/>
            <w:tcBorders>
              <w:top w:val="nil"/>
              <w:left w:val="single" w:sz="8" w:space="0" w:color="auto"/>
              <w:bottom w:val="single" w:sz="8" w:space="0" w:color="000000"/>
              <w:right w:val="single" w:sz="8" w:space="0" w:color="auto"/>
            </w:tcBorders>
            <w:vAlign w:val="center"/>
            <w:hideMark/>
          </w:tcPr>
          <w:p w:rsidR="00606D2C" w:rsidRPr="00606D2C" w:rsidRDefault="00606D2C" w:rsidP="00606D2C">
            <w:pPr>
              <w:spacing w:before="0" w:after="0"/>
              <w:jc w:val="left"/>
              <w:rPr>
                <w:rFonts w:eastAsia="Times New Roman" w:cs="Arial"/>
                <w:b/>
                <w:bCs/>
                <w:color w:val="000000"/>
                <w:sz w:val="20"/>
                <w:szCs w:val="20"/>
                <w:lang w:eastAsia="cs-CZ"/>
              </w:rPr>
            </w:pPr>
          </w:p>
        </w:tc>
        <w:tc>
          <w:tcPr>
            <w:tcW w:w="579" w:type="dxa"/>
            <w:tcBorders>
              <w:top w:val="nil"/>
              <w:left w:val="nil"/>
              <w:bottom w:val="nil"/>
              <w:right w:val="single" w:sz="4" w:space="0" w:color="auto"/>
            </w:tcBorders>
            <w:shd w:val="clear" w:color="auto" w:fill="auto"/>
            <w:textDirection w:val="btLr"/>
            <w:vAlign w:val="center"/>
            <w:hideMark/>
          </w:tcPr>
          <w:p w:rsidR="00606D2C" w:rsidRPr="00606D2C" w:rsidRDefault="00606D2C" w:rsidP="00606D2C">
            <w:pPr>
              <w:spacing w:before="0" w:after="0"/>
              <w:jc w:val="center"/>
              <w:rPr>
                <w:rFonts w:eastAsia="Times New Roman" w:cs="Arial"/>
                <w:color w:val="000000"/>
                <w:sz w:val="20"/>
                <w:szCs w:val="20"/>
                <w:lang w:eastAsia="cs-CZ"/>
              </w:rPr>
            </w:pPr>
            <w:r w:rsidRPr="00606D2C">
              <w:rPr>
                <w:rFonts w:eastAsia="Times New Roman" w:cs="Arial"/>
                <w:color w:val="000000"/>
                <w:sz w:val="20"/>
                <w:szCs w:val="20"/>
                <w:lang w:eastAsia="cs-CZ"/>
              </w:rPr>
              <w:t>minulé</w:t>
            </w:r>
          </w:p>
        </w:tc>
        <w:tc>
          <w:tcPr>
            <w:tcW w:w="12798" w:type="dxa"/>
            <w:gridSpan w:val="8"/>
            <w:tcBorders>
              <w:top w:val="nil"/>
              <w:left w:val="nil"/>
              <w:bottom w:val="nil"/>
              <w:right w:val="single" w:sz="8" w:space="0" w:color="000000"/>
            </w:tcBorders>
            <w:shd w:val="clear" w:color="auto" w:fill="auto"/>
            <w:hideMark/>
          </w:tcPr>
          <w:p w:rsidR="00606D2C" w:rsidRPr="00606D2C" w:rsidRDefault="00606D2C" w:rsidP="00606D2C">
            <w:pPr>
              <w:spacing w:before="0" w:after="0"/>
              <w:rPr>
                <w:rFonts w:eastAsia="Times New Roman" w:cs="Arial"/>
                <w:sz w:val="20"/>
                <w:szCs w:val="20"/>
                <w:lang w:eastAsia="cs-CZ"/>
              </w:rPr>
            </w:pPr>
            <w:r w:rsidRPr="00606D2C">
              <w:rPr>
                <w:rFonts w:eastAsia="Times New Roman" w:cs="Arial"/>
                <w:sz w:val="20"/>
                <w:szCs w:val="20"/>
                <w:lang w:eastAsia="cs-CZ"/>
              </w:rPr>
              <w:t>Byla přijata opatření více podporující tzv. pracující rodiny s dětmi. Vedle přijaté úpravy v rámci dávkového systému pomoci v hmotné nouzi (zákonem č. 367/2016 Sb.) byla přijata i novela zákona č.117/1995 Sb. (zákonem č. 200/2017 Sb.), kterou se mimo jiné zvýšila částka přídavku na dítě (o 300 Kč/měsíc) žijícího v rodině, kde alespoň jedna ze společně posuzovaných osob má příjem z výdělečné činnosti nebo určitých sociálních dávek. Flexibilnější možnost čerpání rodičovského příspěvku a zvýšení maximální měsíční hranice dávky je také zaměřena na rodiče, kteří pracují. Instrukce č. 19/2016 "Minimální standard rozsahu sociální práce na ÚP ČR v kontextu zákona č. 111/2006 Sb., účinná od 1. 1. 2017 obsahuje základní činnosti sociální práce vykonávané pracovníky ÚP ČR pro řešení situace osob v hmotné nouzi</w:t>
            </w:r>
            <w:r w:rsidR="00820FB7">
              <w:rPr>
                <w:rFonts w:eastAsia="Times New Roman" w:cs="Arial"/>
                <w:sz w:val="20"/>
                <w:szCs w:val="20"/>
                <w:lang w:eastAsia="cs-CZ"/>
              </w:rPr>
              <w:t>.</w:t>
            </w:r>
          </w:p>
        </w:tc>
      </w:tr>
      <w:tr w:rsidR="00606D2C" w:rsidRPr="002C70E1" w:rsidTr="00820FB7">
        <w:trPr>
          <w:trHeight w:val="1080"/>
        </w:trPr>
        <w:tc>
          <w:tcPr>
            <w:tcW w:w="720" w:type="dxa"/>
            <w:vMerge/>
            <w:tcBorders>
              <w:top w:val="nil"/>
              <w:left w:val="single" w:sz="8" w:space="0" w:color="auto"/>
              <w:bottom w:val="single" w:sz="8" w:space="0" w:color="000000"/>
              <w:right w:val="single" w:sz="8" w:space="0" w:color="auto"/>
            </w:tcBorders>
            <w:vAlign w:val="center"/>
            <w:hideMark/>
          </w:tcPr>
          <w:p w:rsidR="00606D2C" w:rsidRPr="00606D2C" w:rsidRDefault="00606D2C" w:rsidP="00606D2C">
            <w:pPr>
              <w:spacing w:before="0" w:after="0"/>
              <w:jc w:val="left"/>
              <w:rPr>
                <w:rFonts w:eastAsia="Times New Roman" w:cs="Arial"/>
                <w:b/>
                <w:bCs/>
                <w:color w:val="000000"/>
                <w:sz w:val="20"/>
                <w:szCs w:val="20"/>
                <w:lang w:eastAsia="cs-CZ"/>
              </w:rPr>
            </w:pPr>
          </w:p>
        </w:tc>
        <w:tc>
          <w:tcPr>
            <w:tcW w:w="579" w:type="dxa"/>
            <w:tcBorders>
              <w:top w:val="single" w:sz="4" w:space="0" w:color="auto"/>
              <w:left w:val="nil"/>
              <w:bottom w:val="single" w:sz="8" w:space="0" w:color="auto"/>
              <w:right w:val="single" w:sz="4" w:space="0" w:color="auto"/>
            </w:tcBorders>
            <w:shd w:val="clear" w:color="auto" w:fill="auto"/>
            <w:textDirection w:val="btLr"/>
            <w:vAlign w:val="center"/>
            <w:hideMark/>
          </w:tcPr>
          <w:p w:rsidR="00606D2C" w:rsidRPr="00606D2C" w:rsidRDefault="00606D2C" w:rsidP="00606D2C">
            <w:pPr>
              <w:spacing w:before="0" w:after="0"/>
              <w:jc w:val="center"/>
              <w:rPr>
                <w:rFonts w:eastAsia="Times New Roman" w:cs="Arial"/>
                <w:color w:val="000000"/>
                <w:sz w:val="20"/>
                <w:szCs w:val="20"/>
                <w:lang w:eastAsia="cs-CZ"/>
              </w:rPr>
            </w:pPr>
            <w:r w:rsidRPr="00606D2C">
              <w:rPr>
                <w:rFonts w:eastAsia="Times New Roman" w:cs="Arial"/>
                <w:color w:val="000000"/>
                <w:sz w:val="20"/>
                <w:szCs w:val="20"/>
                <w:lang w:eastAsia="cs-CZ"/>
              </w:rPr>
              <w:t xml:space="preserve">sledované </w:t>
            </w:r>
          </w:p>
        </w:tc>
        <w:tc>
          <w:tcPr>
            <w:tcW w:w="12798" w:type="dxa"/>
            <w:gridSpan w:val="8"/>
            <w:tcBorders>
              <w:top w:val="single" w:sz="4" w:space="0" w:color="auto"/>
              <w:left w:val="nil"/>
              <w:bottom w:val="single" w:sz="8" w:space="0" w:color="auto"/>
              <w:right w:val="single" w:sz="8" w:space="0" w:color="000000"/>
            </w:tcBorders>
            <w:shd w:val="clear" w:color="auto" w:fill="auto"/>
            <w:hideMark/>
          </w:tcPr>
          <w:p w:rsidR="00606D2C" w:rsidRPr="00606D2C" w:rsidRDefault="00606D2C" w:rsidP="00606D2C">
            <w:pPr>
              <w:spacing w:before="0" w:after="0"/>
              <w:rPr>
                <w:rFonts w:eastAsia="Times New Roman" w:cs="Arial"/>
                <w:color w:val="000000"/>
                <w:sz w:val="20"/>
                <w:szCs w:val="20"/>
                <w:lang w:eastAsia="cs-CZ"/>
              </w:rPr>
            </w:pPr>
            <w:r w:rsidRPr="00606D2C">
              <w:rPr>
                <w:rFonts w:eastAsia="Times New Roman" w:cs="Arial"/>
                <w:color w:val="000000"/>
                <w:sz w:val="20"/>
                <w:szCs w:val="20"/>
                <w:lang w:eastAsia="cs-CZ"/>
              </w:rPr>
              <w:t>Změny ve státní sociální podpoře, které nabývají účinnosti 1. ledna 2018, upravuje Instrukce náměstka pro řízení sekce 4 č. 20/2017 ze dne 20. 11. 2017.</w:t>
            </w:r>
          </w:p>
        </w:tc>
      </w:tr>
    </w:tbl>
    <w:p w:rsidR="00606D2C" w:rsidRDefault="00606D2C" w:rsidP="00606D2C">
      <w:r>
        <w:br w:type="page"/>
      </w:r>
    </w:p>
    <w:tbl>
      <w:tblPr>
        <w:tblW w:w="14097" w:type="dxa"/>
        <w:tblInd w:w="47" w:type="dxa"/>
        <w:tblCellMar>
          <w:left w:w="70" w:type="dxa"/>
          <w:right w:w="70" w:type="dxa"/>
        </w:tblCellMar>
        <w:tblLook w:val="04A0" w:firstRow="1" w:lastRow="0" w:firstColumn="1" w:lastColumn="0" w:noHBand="0" w:noVBand="1"/>
      </w:tblPr>
      <w:tblGrid>
        <w:gridCol w:w="720"/>
        <w:gridCol w:w="579"/>
        <w:gridCol w:w="141"/>
        <w:gridCol w:w="64"/>
        <w:gridCol w:w="2096"/>
        <w:gridCol w:w="53"/>
        <w:gridCol w:w="1098"/>
        <w:gridCol w:w="52"/>
        <w:gridCol w:w="981"/>
        <w:gridCol w:w="47"/>
        <w:gridCol w:w="1854"/>
        <w:gridCol w:w="37"/>
        <w:gridCol w:w="1707"/>
        <w:gridCol w:w="28"/>
        <w:gridCol w:w="1603"/>
        <w:gridCol w:w="20"/>
        <w:gridCol w:w="3017"/>
      </w:tblGrid>
      <w:tr w:rsidR="00606D2C" w:rsidRPr="002C70E1" w:rsidTr="00820FB7">
        <w:trPr>
          <w:trHeight w:val="285"/>
        </w:trPr>
        <w:tc>
          <w:tcPr>
            <w:tcW w:w="720" w:type="dxa"/>
            <w:tcBorders>
              <w:top w:val="single" w:sz="8" w:space="0" w:color="auto"/>
              <w:left w:val="single" w:sz="8" w:space="0" w:color="auto"/>
              <w:bottom w:val="single" w:sz="4" w:space="0" w:color="auto"/>
              <w:right w:val="single" w:sz="12" w:space="0" w:color="auto"/>
            </w:tcBorders>
            <w:shd w:val="clear" w:color="000000" w:fill="DCE6F1"/>
            <w:noWrap/>
            <w:vAlign w:val="bottom"/>
            <w:hideMark/>
          </w:tcPr>
          <w:p w:rsidR="00606D2C" w:rsidRPr="002C70E1" w:rsidRDefault="00606D2C" w:rsidP="00606D2C">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1.4</w:t>
            </w:r>
          </w:p>
        </w:tc>
        <w:tc>
          <w:tcPr>
            <w:tcW w:w="720" w:type="dxa"/>
            <w:gridSpan w:val="2"/>
            <w:tcBorders>
              <w:top w:val="single" w:sz="12" w:space="0" w:color="auto"/>
              <w:left w:val="single" w:sz="12" w:space="0" w:color="auto"/>
              <w:bottom w:val="single" w:sz="12" w:space="0" w:color="auto"/>
            </w:tcBorders>
            <w:shd w:val="clear" w:color="auto" w:fill="auto"/>
            <w:noWrap/>
            <w:vAlign w:val="bottom"/>
            <w:hideMark/>
          </w:tcPr>
          <w:p w:rsidR="00606D2C" w:rsidRPr="002C70E1" w:rsidRDefault="00606D2C" w:rsidP="00606D2C">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2160" w:type="dxa"/>
            <w:gridSpan w:val="2"/>
            <w:tcBorders>
              <w:top w:val="single" w:sz="12" w:space="0" w:color="auto"/>
              <w:bottom w:val="single" w:sz="12" w:space="0" w:color="auto"/>
              <w:right w:val="single" w:sz="12" w:space="0" w:color="auto"/>
            </w:tcBorders>
            <w:shd w:val="clear" w:color="auto" w:fill="auto"/>
            <w:noWrap/>
            <w:vAlign w:val="bottom"/>
            <w:hideMark/>
          </w:tcPr>
          <w:p w:rsidR="00606D2C" w:rsidRPr="002C70E1" w:rsidRDefault="00606D2C" w:rsidP="00606D2C">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2016</w:t>
            </w:r>
          </w:p>
        </w:tc>
        <w:tc>
          <w:tcPr>
            <w:tcW w:w="1151" w:type="dxa"/>
            <w:gridSpan w:val="2"/>
            <w:tcBorders>
              <w:top w:val="single" w:sz="12" w:space="0" w:color="auto"/>
              <w:left w:val="single" w:sz="12" w:space="0" w:color="auto"/>
              <w:bottom w:val="single" w:sz="12" w:space="0" w:color="auto"/>
            </w:tcBorders>
            <w:shd w:val="clear" w:color="auto" w:fill="auto"/>
            <w:noWrap/>
            <w:vAlign w:val="bottom"/>
            <w:hideMark/>
          </w:tcPr>
          <w:p w:rsidR="00606D2C" w:rsidRPr="002C70E1" w:rsidRDefault="00606D2C" w:rsidP="00606D2C">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33" w:type="dxa"/>
            <w:gridSpan w:val="2"/>
            <w:tcBorders>
              <w:top w:val="single" w:sz="12" w:space="0" w:color="auto"/>
              <w:bottom w:val="single" w:sz="12" w:space="0" w:color="auto"/>
              <w:right w:val="single" w:sz="12" w:space="0" w:color="auto"/>
            </w:tcBorders>
            <w:shd w:val="clear" w:color="auto" w:fill="auto"/>
            <w:noWrap/>
            <w:vAlign w:val="bottom"/>
            <w:hideMark/>
          </w:tcPr>
          <w:p w:rsidR="00606D2C" w:rsidRPr="002C70E1" w:rsidRDefault="00606D2C" w:rsidP="00606D2C">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1901" w:type="dxa"/>
            <w:gridSpan w:val="2"/>
            <w:tcBorders>
              <w:top w:val="single" w:sz="8" w:space="0" w:color="auto"/>
              <w:left w:val="nil"/>
            </w:tcBorders>
            <w:shd w:val="clear" w:color="auto" w:fill="auto"/>
            <w:noWrap/>
            <w:vAlign w:val="bottom"/>
          </w:tcPr>
          <w:p w:rsidR="00606D2C" w:rsidRPr="002C70E1" w:rsidRDefault="00606D2C" w:rsidP="00606D2C">
            <w:pPr>
              <w:spacing w:before="0" w:after="0"/>
              <w:jc w:val="right"/>
              <w:rPr>
                <w:rFonts w:eastAsia="Times New Roman" w:cs="Arial"/>
                <w:b/>
                <w:color w:val="000000"/>
                <w:sz w:val="20"/>
                <w:szCs w:val="24"/>
                <w:lang w:eastAsia="cs-CZ"/>
              </w:rPr>
            </w:pPr>
          </w:p>
        </w:tc>
        <w:tc>
          <w:tcPr>
            <w:tcW w:w="1744" w:type="dxa"/>
            <w:gridSpan w:val="2"/>
            <w:tcBorders>
              <w:top w:val="single" w:sz="8" w:space="0" w:color="auto"/>
              <w:right w:val="single" w:sz="12" w:space="0" w:color="auto"/>
            </w:tcBorders>
            <w:shd w:val="clear" w:color="auto" w:fill="auto"/>
            <w:noWrap/>
            <w:vAlign w:val="bottom"/>
          </w:tcPr>
          <w:p w:rsidR="00606D2C" w:rsidRPr="002C70E1" w:rsidRDefault="00606D2C" w:rsidP="00606D2C">
            <w:pPr>
              <w:spacing w:before="0" w:after="0"/>
              <w:jc w:val="right"/>
              <w:rPr>
                <w:rFonts w:eastAsia="Times New Roman" w:cs="Arial"/>
                <w:b/>
                <w:color w:val="000000"/>
                <w:sz w:val="20"/>
                <w:szCs w:val="24"/>
                <w:lang w:eastAsia="cs-CZ"/>
              </w:rPr>
            </w:pPr>
          </w:p>
        </w:tc>
        <w:tc>
          <w:tcPr>
            <w:tcW w:w="1631" w:type="dxa"/>
            <w:gridSpan w:val="2"/>
            <w:tcBorders>
              <w:top w:val="single" w:sz="12" w:space="0" w:color="auto"/>
              <w:left w:val="single" w:sz="12" w:space="0" w:color="auto"/>
              <w:bottom w:val="single" w:sz="12" w:space="0" w:color="auto"/>
            </w:tcBorders>
            <w:shd w:val="clear" w:color="auto" w:fill="auto"/>
            <w:noWrap/>
            <w:vAlign w:val="bottom"/>
          </w:tcPr>
          <w:p w:rsidR="00606D2C" w:rsidRPr="002C70E1" w:rsidRDefault="00606D2C" w:rsidP="00606D2C">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37" w:type="dxa"/>
            <w:gridSpan w:val="2"/>
            <w:tcBorders>
              <w:top w:val="single" w:sz="12" w:space="0" w:color="auto"/>
              <w:bottom w:val="single" w:sz="12" w:space="0" w:color="auto"/>
              <w:right w:val="single" w:sz="12" w:space="0" w:color="auto"/>
            </w:tcBorders>
            <w:shd w:val="clear" w:color="auto" w:fill="auto"/>
            <w:noWrap/>
            <w:vAlign w:val="bottom"/>
          </w:tcPr>
          <w:p w:rsidR="00606D2C" w:rsidRPr="002C70E1" w:rsidRDefault="00606D2C" w:rsidP="00606D2C">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L</w:t>
            </w:r>
          </w:p>
        </w:tc>
      </w:tr>
      <w:tr w:rsidR="00606D2C" w:rsidRPr="002C70E1" w:rsidTr="00820FB7">
        <w:trPr>
          <w:trHeight w:val="226"/>
        </w:trPr>
        <w:tc>
          <w:tcPr>
            <w:tcW w:w="720"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606D2C" w:rsidRPr="002C70E1" w:rsidRDefault="00606D2C" w:rsidP="00606D2C">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Příspěvek na podporu regionální mobility</w:t>
            </w:r>
          </w:p>
        </w:tc>
        <w:tc>
          <w:tcPr>
            <w:tcW w:w="2880" w:type="dxa"/>
            <w:gridSpan w:val="4"/>
            <w:tcBorders>
              <w:top w:val="single" w:sz="8" w:space="0" w:color="auto"/>
              <w:left w:val="nil"/>
            </w:tcBorders>
            <w:shd w:val="clear" w:color="auto" w:fill="auto"/>
            <w:noWrap/>
            <w:vAlign w:val="bottom"/>
          </w:tcPr>
          <w:p w:rsidR="00606D2C" w:rsidRPr="002C70E1" w:rsidRDefault="00606D2C" w:rsidP="00606D2C">
            <w:pPr>
              <w:spacing w:before="0" w:after="0"/>
              <w:jc w:val="right"/>
              <w:rPr>
                <w:rFonts w:eastAsia="Times New Roman" w:cs="Arial"/>
                <w:b/>
                <w:bCs/>
                <w:color w:val="000000"/>
                <w:sz w:val="20"/>
                <w:szCs w:val="24"/>
                <w:lang w:eastAsia="cs-CZ"/>
              </w:rPr>
            </w:pPr>
          </w:p>
        </w:tc>
        <w:tc>
          <w:tcPr>
            <w:tcW w:w="1151" w:type="dxa"/>
            <w:gridSpan w:val="2"/>
            <w:tcBorders>
              <w:top w:val="single" w:sz="8" w:space="0" w:color="auto"/>
            </w:tcBorders>
            <w:shd w:val="clear" w:color="auto" w:fill="auto"/>
            <w:noWrap/>
            <w:vAlign w:val="bottom"/>
          </w:tcPr>
          <w:p w:rsidR="00606D2C" w:rsidRPr="002C70E1" w:rsidRDefault="00606D2C" w:rsidP="00606D2C">
            <w:pPr>
              <w:spacing w:before="0" w:after="0"/>
              <w:jc w:val="center"/>
              <w:rPr>
                <w:rFonts w:eastAsia="Times New Roman" w:cs="Arial"/>
                <w:b/>
                <w:bCs/>
                <w:color w:val="000000"/>
                <w:sz w:val="20"/>
                <w:szCs w:val="24"/>
                <w:lang w:eastAsia="cs-CZ"/>
              </w:rPr>
            </w:pPr>
          </w:p>
        </w:tc>
        <w:tc>
          <w:tcPr>
            <w:tcW w:w="4678" w:type="dxa"/>
            <w:gridSpan w:val="6"/>
            <w:shd w:val="clear" w:color="auto" w:fill="auto"/>
            <w:noWrap/>
            <w:vAlign w:val="center"/>
            <w:hideMark/>
          </w:tcPr>
          <w:p w:rsidR="00606D2C" w:rsidRPr="002C70E1" w:rsidRDefault="00606D2C" w:rsidP="00606D2C">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31" w:type="dxa"/>
            <w:gridSpan w:val="2"/>
            <w:shd w:val="clear" w:color="auto" w:fill="auto"/>
            <w:noWrap/>
            <w:vAlign w:val="center"/>
          </w:tcPr>
          <w:p w:rsidR="00606D2C" w:rsidRPr="002C70E1" w:rsidRDefault="00606D2C" w:rsidP="00606D2C">
            <w:pPr>
              <w:spacing w:before="0" w:after="0"/>
              <w:jc w:val="center"/>
              <w:rPr>
                <w:rFonts w:eastAsia="Times New Roman" w:cs="Arial"/>
                <w:b/>
                <w:bCs/>
                <w:color w:val="000000"/>
                <w:sz w:val="20"/>
                <w:szCs w:val="24"/>
                <w:u w:val="single"/>
                <w:lang w:eastAsia="cs-CZ"/>
              </w:rPr>
            </w:pPr>
          </w:p>
        </w:tc>
        <w:tc>
          <w:tcPr>
            <w:tcW w:w="3037" w:type="dxa"/>
            <w:gridSpan w:val="2"/>
            <w:tcBorders>
              <w:top w:val="single" w:sz="8" w:space="0" w:color="auto"/>
              <w:right w:val="single" w:sz="8" w:space="0" w:color="auto"/>
            </w:tcBorders>
            <w:shd w:val="clear" w:color="auto" w:fill="auto"/>
            <w:noWrap/>
            <w:vAlign w:val="center"/>
          </w:tcPr>
          <w:p w:rsidR="00606D2C" w:rsidRPr="002C70E1" w:rsidRDefault="00606D2C" w:rsidP="00606D2C">
            <w:pPr>
              <w:spacing w:before="0" w:after="0"/>
              <w:jc w:val="center"/>
              <w:rPr>
                <w:rFonts w:eastAsia="Times New Roman" w:cs="Arial"/>
                <w:b/>
                <w:bCs/>
                <w:color w:val="000000"/>
                <w:sz w:val="20"/>
                <w:szCs w:val="24"/>
                <w:u w:val="single"/>
                <w:lang w:eastAsia="cs-CZ"/>
              </w:rPr>
            </w:pPr>
          </w:p>
        </w:tc>
      </w:tr>
      <w:tr w:rsidR="00606D2C" w:rsidRPr="002C70E1" w:rsidTr="00606D2C">
        <w:trPr>
          <w:trHeight w:val="678"/>
        </w:trPr>
        <w:tc>
          <w:tcPr>
            <w:tcW w:w="720"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606D2C">
            <w:pPr>
              <w:spacing w:before="0" w:after="0"/>
              <w:jc w:val="left"/>
              <w:rPr>
                <w:rFonts w:eastAsia="Times New Roman" w:cs="Arial"/>
                <w:b/>
                <w:bCs/>
                <w:color w:val="000000"/>
                <w:sz w:val="20"/>
                <w:szCs w:val="24"/>
                <w:lang w:eastAsia="cs-CZ"/>
              </w:rPr>
            </w:pPr>
          </w:p>
        </w:tc>
        <w:tc>
          <w:tcPr>
            <w:tcW w:w="13377" w:type="dxa"/>
            <w:gridSpan w:val="16"/>
            <w:tcBorders>
              <w:left w:val="nil"/>
              <w:bottom w:val="double" w:sz="6" w:space="0" w:color="auto"/>
              <w:right w:val="single" w:sz="8" w:space="0" w:color="000000"/>
            </w:tcBorders>
            <w:shd w:val="clear" w:color="auto" w:fill="auto"/>
            <w:hideMark/>
          </w:tcPr>
          <w:p w:rsidR="00606D2C" w:rsidRPr="002C70E1" w:rsidRDefault="00606D2C" w:rsidP="00606D2C">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 xml:space="preserve">V souladu s Akčním plánem vlády na podporu hospodářského růstu a zaměstnanosti připraví MPSV návrh nástroje </w:t>
            </w:r>
            <w:r>
              <w:rPr>
                <w:rFonts w:eastAsia="Times New Roman" w:cs="Arial"/>
                <w:color w:val="000000"/>
                <w:sz w:val="20"/>
                <w:szCs w:val="24"/>
                <w:lang w:eastAsia="cs-CZ"/>
              </w:rPr>
              <w:t>APZ</w:t>
            </w:r>
            <w:r w:rsidRPr="002C70E1">
              <w:rPr>
                <w:rFonts w:eastAsia="Times New Roman" w:cs="Arial"/>
                <w:color w:val="000000"/>
                <w:sz w:val="20"/>
                <w:szCs w:val="24"/>
                <w:lang w:eastAsia="cs-CZ"/>
              </w:rPr>
              <w:t xml:space="preserve"> a jeho pilotní ověření. </w:t>
            </w:r>
            <w:proofErr w:type="spellStart"/>
            <w:r w:rsidRPr="002C70E1">
              <w:rPr>
                <w:rFonts w:eastAsia="Times New Roman" w:cs="Arial"/>
                <w:color w:val="000000"/>
                <w:sz w:val="20"/>
                <w:szCs w:val="24"/>
                <w:lang w:eastAsia="cs-CZ"/>
              </w:rPr>
              <w:t>UoZ</w:t>
            </w:r>
            <w:proofErr w:type="spellEnd"/>
            <w:r w:rsidRPr="002C70E1">
              <w:rPr>
                <w:rFonts w:eastAsia="Times New Roman" w:cs="Arial"/>
                <w:color w:val="000000"/>
                <w:sz w:val="20"/>
                <w:szCs w:val="24"/>
                <w:lang w:eastAsia="cs-CZ"/>
              </w:rPr>
              <w:t xml:space="preserve">, kteří si naleznou pracovní uplatnění mimo místo svého bydliště, bude poskytován v závislosti na vzdálenosti dojížďky finanční příspěvek. Příspěvek bude paušální, podpořená osoba jej bude moci využít na úhradu </w:t>
            </w:r>
            <w:r>
              <w:rPr>
                <w:rFonts w:eastAsia="Times New Roman" w:cs="Arial"/>
                <w:color w:val="000000"/>
                <w:sz w:val="20"/>
                <w:szCs w:val="24"/>
                <w:lang w:eastAsia="cs-CZ"/>
              </w:rPr>
              <w:t xml:space="preserve">nákladů za dopravu i </w:t>
            </w:r>
            <w:r w:rsidRPr="002C70E1">
              <w:rPr>
                <w:rFonts w:eastAsia="Times New Roman" w:cs="Arial"/>
                <w:color w:val="000000"/>
                <w:sz w:val="20"/>
                <w:szCs w:val="24"/>
                <w:lang w:eastAsia="cs-CZ"/>
              </w:rPr>
              <w:t xml:space="preserve">dalších nákladů souvisejících s dojížďkou (či přestěhováním). </w:t>
            </w:r>
          </w:p>
        </w:tc>
      </w:tr>
      <w:tr w:rsidR="00606D2C" w:rsidRPr="002C70E1" w:rsidTr="00820FB7">
        <w:trPr>
          <w:trHeight w:val="285"/>
        </w:trPr>
        <w:tc>
          <w:tcPr>
            <w:tcW w:w="720"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606D2C">
            <w:pPr>
              <w:spacing w:before="0" w:after="0"/>
              <w:jc w:val="left"/>
              <w:rPr>
                <w:rFonts w:eastAsia="Times New Roman" w:cs="Arial"/>
                <w:b/>
                <w:bCs/>
                <w:color w:val="000000"/>
                <w:sz w:val="20"/>
                <w:szCs w:val="24"/>
                <w:lang w:eastAsia="cs-CZ"/>
              </w:rPr>
            </w:pPr>
          </w:p>
        </w:tc>
        <w:tc>
          <w:tcPr>
            <w:tcW w:w="579" w:type="dxa"/>
            <w:tcBorders>
              <w:top w:val="double" w:sz="6" w:space="0" w:color="auto"/>
              <w:left w:val="single" w:sz="12" w:space="0" w:color="auto"/>
              <w:bottom w:val="double" w:sz="6" w:space="0" w:color="auto"/>
              <w:right w:val="nil"/>
            </w:tcBorders>
            <w:shd w:val="clear" w:color="000000" w:fill="00B050"/>
            <w:noWrap/>
            <w:vAlign w:val="bottom"/>
            <w:hideMark/>
          </w:tcPr>
          <w:p w:rsidR="00606D2C" w:rsidRPr="002C70E1" w:rsidRDefault="00606D2C" w:rsidP="00606D2C">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452" w:type="dxa"/>
            <w:gridSpan w:val="5"/>
            <w:tcBorders>
              <w:top w:val="double" w:sz="6" w:space="0" w:color="auto"/>
              <w:left w:val="nil"/>
              <w:bottom w:val="double" w:sz="6" w:space="0" w:color="auto"/>
              <w:right w:val="double" w:sz="6" w:space="0" w:color="auto"/>
            </w:tcBorders>
            <w:shd w:val="clear" w:color="000000" w:fill="00B050"/>
            <w:vAlign w:val="bottom"/>
            <w:hideMark/>
          </w:tcPr>
          <w:p w:rsidR="00606D2C" w:rsidRPr="002C70E1" w:rsidRDefault="00606D2C" w:rsidP="00606D2C">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Splněno</w:t>
            </w:r>
          </w:p>
        </w:tc>
        <w:tc>
          <w:tcPr>
            <w:tcW w:w="4678" w:type="dxa"/>
            <w:gridSpan w:val="6"/>
            <w:tcBorders>
              <w:top w:val="double" w:sz="6" w:space="0" w:color="auto"/>
              <w:left w:val="double" w:sz="6" w:space="0" w:color="auto"/>
              <w:bottom w:val="nil"/>
            </w:tcBorders>
            <w:shd w:val="clear" w:color="auto" w:fill="auto"/>
            <w:vAlign w:val="center"/>
            <w:hideMark/>
          </w:tcPr>
          <w:p w:rsidR="00606D2C" w:rsidRPr="002C70E1" w:rsidRDefault="00606D2C" w:rsidP="00606D2C">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31" w:type="dxa"/>
            <w:gridSpan w:val="2"/>
            <w:tcBorders>
              <w:top w:val="nil"/>
              <w:right w:val="nil"/>
            </w:tcBorders>
            <w:shd w:val="clear" w:color="auto" w:fill="auto"/>
            <w:vAlign w:val="center"/>
          </w:tcPr>
          <w:p w:rsidR="00606D2C" w:rsidRPr="002C70E1" w:rsidRDefault="00606D2C" w:rsidP="00606D2C">
            <w:pPr>
              <w:spacing w:before="0" w:after="0"/>
              <w:jc w:val="right"/>
              <w:rPr>
                <w:rFonts w:eastAsia="Times New Roman" w:cs="Arial"/>
                <w:color w:val="000000"/>
                <w:sz w:val="20"/>
                <w:szCs w:val="24"/>
                <w:lang w:eastAsia="cs-CZ"/>
              </w:rPr>
            </w:pPr>
          </w:p>
        </w:tc>
        <w:tc>
          <w:tcPr>
            <w:tcW w:w="3037" w:type="dxa"/>
            <w:gridSpan w:val="2"/>
            <w:tcBorders>
              <w:top w:val="nil"/>
              <w:left w:val="nil"/>
              <w:right w:val="single" w:sz="8" w:space="0" w:color="auto"/>
            </w:tcBorders>
            <w:shd w:val="clear" w:color="auto" w:fill="auto"/>
            <w:vAlign w:val="center"/>
          </w:tcPr>
          <w:p w:rsidR="00606D2C" w:rsidRPr="002C70E1" w:rsidRDefault="00606D2C" w:rsidP="00606D2C">
            <w:pPr>
              <w:spacing w:before="0" w:after="0"/>
              <w:jc w:val="center"/>
              <w:rPr>
                <w:rFonts w:eastAsia="Times New Roman" w:cs="Arial"/>
                <w:b/>
                <w:bCs/>
                <w:color w:val="000000"/>
                <w:sz w:val="20"/>
                <w:szCs w:val="24"/>
                <w:u w:val="single"/>
                <w:lang w:eastAsia="cs-CZ"/>
              </w:rPr>
            </w:pPr>
          </w:p>
        </w:tc>
      </w:tr>
      <w:tr w:rsidR="00606D2C" w:rsidRPr="002C70E1" w:rsidTr="00820FB7">
        <w:trPr>
          <w:trHeight w:val="894"/>
        </w:trPr>
        <w:tc>
          <w:tcPr>
            <w:tcW w:w="720"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606D2C">
            <w:pPr>
              <w:spacing w:before="0" w:after="0"/>
              <w:jc w:val="left"/>
              <w:rPr>
                <w:rFonts w:eastAsia="Times New Roman" w:cs="Arial"/>
                <w:b/>
                <w:bCs/>
                <w:color w:val="000000"/>
                <w:sz w:val="20"/>
                <w:szCs w:val="24"/>
                <w:lang w:eastAsia="cs-CZ"/>
              </w:rPr>
            </w:pPr>
          </w:p>
        </w:tc>
        <w:tc>
          <w:tcPr>
            <w:tcW w:w="579" w:type="dxa"/>
            <w:tcBorders>
              <w:top w:val="nil"/>
              <w:left w:val="nil"/>
              <w:bottom w:val="nil"/>
              <w:right w:val="single" w:sz="4" w:space="0" w:color="auto"/>
            </w:tcBorders>
            <w:shd w:val="clear" w:color="auto" w:fill="auto"/>
            <w:textDirection w:val="btLr"/>
            <w:vAlign w:val="center"/>
            <w:hideMark/>
          </w:tcPr>
          <w:p w:rsidR="00606D2C" w:rsidRPr="002C70E1" w:rsidRDefault="00606D2C" w:rsidP="00606D2C">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minulé</w:t>
            </w:r>
          </w:p>
        </w:tc>
        <w:tc>
          <w:tcPr>
            <w:tcW w:w="12798" w:type="dxa"/>
            <w:gridSpan w:val="15"/>
            <w:tcBorders>
              <w:top w:val="nil"/>
              <w:left w:val="nil"/>
              <w:bottom w:val="nil"/>
              <w:right w:val="single" w:sz="8" w:space="0" w:color="000000"/>
            </w:tcBorders>
            <w:shd w:val="clear" w:color="auto" w:fill="auto"/>
            <w:hideMark/>
          </w:tcPr>
          <w:p w:rsidR="00606D2C" w:rsidRPr="002C70E1" w:rsidRDefault="00606D2C" w:rsidP="00820FB7">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 xml:space="preserve">Od </w:t>
            </w:r>
            <w:r>
              <w:rPr>
                <w:rFonts w:eastAsia="Times New Roman" w:cs="Arial"/>
                <w:color w:val="000000"/>
                <w:sz w:val="20"/>
                <w:szCs w:val="24"/>
                <w:lang w:eastAsia="cs-CZ"/>
              </w:rPr>
              <w:t>11/</w:t>
            </w:r>
            <w:r w:rsidRPr="002C70E1">
              <w:rPr>
                <w:rFonts w:eastAsia="Times New Roman" w:cs="Arial"/>
                <w:color w:val="000000"/>
                <w:sz w:val="20"/>
                <w:szCs w:val="24"/>
                <w:lang w:eastAsia="cs-CZ"/>
              </w:rPr>
              <w:t xml:space="preserve">2016 </w:t>
            </w:r>
            <w:r>
              <w:rPr>
                <w:rFonts w:eastAsia="Times New Roman" w:cs="Arial"/>
                <w:color w:val="000000"/>
                <w:sz w:val="20"/>
                <w:szCs w:val="24"/>
                <w:lang w:eastAsia="cs-CZ"/>
              </w:rPr>
              <w:t>poskytován příspěvek</w:t>
            </w:r>
            <w:r w:rsidRPr="002C70E1">
              <w:rPr>
                <w:rFonts w:eastAsia="Times New Roman" w:cs="Arial"/>
                <w:color w:val="000000"/>
                <w:sz w:val="20"/>
                <w:szCs w:val="24"/>
                <w:lang w:eastAsia="cs-CZ"/>
              </w:rPr>
              <w:t xml:space="preserve"> </w:t>
            </w:r>
            <w:r>
              <w:rPr>
                <w:rFonts w:eastAsia="Times New Roman" w:cs="Arial"/>
                <w:color w:val="000000"/>
                <w:sz w:val="20"/>
                <w:szCs w:val="24"/>
                <w:lang w:eastAsia="cs-CZ"/>
              </w:rPr>
              <w:t>v</w:t>
            </w:r>
            <w:r w:rsidRPr="002C70E1">
              <w:rPr>
                <w:rFonts w:eastAsia="Times New Roman" w:cs="Arial"/>
                <w:color w:val="000000"/>
                <w:sz w:val="20"/>
                <w:szCs w:val="24"/>
                <w:lang w:eastAsia="cs-CZ"/>
              </w:rPr>
              <w:t xml:space="preserve"> celé </w:t>
            </w:r>
            <w:r>
              <w:rPr>
                <w:rFonts w:eastAsia="Times New Roman" w:cs="Arial"/>
                <w:color w:val="000000"/>
                <w:sz w:val="20"/>
                <w:szCs w:val="24"/>
                <w:lang w:eastAsia="cs-CZ"/>
              </w:rPr>
              <w:t>ČR</w:t>
            </w:r>
            <w:r w:rsidRPr="002C70E1">
              <w:rPr>
                <w:rFonts w:eastAsia="Times New Roman" w:cs="Arial"/>
                <w:color w:val="000000"/>
                <w:sz w:val="20"/>
                <w:szCs w:val="24"/>
                <w:lang w:eastAsia="cs-CZ"/>
              </w:rPr>
              <w:t xml:space="preserve">. Zároveň zaveden nový prvek - příspěvek na přestěhování. </w:t>
            </w:r>
            <w:r>
              <w:rPr>
                <w:rFonts w:eastAsia="Times New Roman" w:cs="Arial"/>
                <w:color w:val="000000"/>
                <w:sz w:val="20"/>
                <w:szCs w:val="24"/>
                <w:lang w:eastAsia="cs-CZ"/>
              </w:rPr>
              <w:t>Poskytne se</w:t>
            </w:r>
            <w:r w:rsidRPr="002C70E1">
              <w:rPr>
                <w:rFonts w:eastAsia="Times New Roman" w:cs="Arial"/>
                <w:color w:val="000000"/>
                <w:sz w:val="20"/>
                <w:szCs w:val="24"/>
                <w:lang w:eastAsia="cs-CZ"/>
              </w:rPr>
              <w:t xml:space="preserve"> osobě, která </w:t>
            </w:r>
            <w:r w:rsidR="00820FB7">
              <w:rPr>
                <w:rFonts w:eastAsia="Times New Roman" w:cs="Arial"/>
                <w:color w:val="000000"/>
                <w:sz w:val="20"/>
                <w:szCs w:val="24"/>
                <w:lang w:eastAsia="cs-CZ"/>
              </w:rPr>
              <w:t xml:space="preserve">se </w:t>
            </w:r>
            <w:r w:rsidRPr="002C70E1">
              <w:rPr>
                <w:rFonts w:eastAsia="Times New Roman" w:cs="Arial"/>
                <w:color w:val="000000"/>
                <w:sz w:val="20"/>
                <w:szCs w:val="24"/>
                <w:lang w:eastAsia="cs-CZ"/>
              </w:rPr>
              <w:t>přestěhuje</w:t>
            </w:r>
            <w:r>
              <w:rPr>
                <w:rFonts w:eastAsia="Times New Roman" w:cs="Arial"/>
                <w:color w:val="000000"/>
                <w:sz w:val="20"/>
                <w:szCs w:val="24"/>
                <w:lang w:eastAsia="cs-CZ"/>
              </w:rPr>
              <w:t xml:space="preserve"> za zaměstnáním</w:t>
            </w:r>
            <w:r w:rsidRPr="002C70E1">
              <w:rPr>
                <w:rFonts w:eastAsia="Times New Roman" w:cs="Arial"/>
                <w:color w:val="000000"/>
                <w:sz w:val="20"/>
                <w:szCs w:val="24"/>
                <w:lang w:eastAsia="cs-CZ"/>
              </w:rPr>
              <w:t xml:space="preserve"> na vzdálenost </w:t>
            </w:r>
            <w:r>
              <w:rPr>
                <w:rFonts w:eastAsia="Times New Roman" w:cs="Arial"/>
                <w:color w:val="000000"/>
                <w:sz w:val="20"/>
                <w:szCs w:val="24"/>
                <w:lang w:eastAsia="cs-CZ"/>
              </w:rPr>
              <w:t>nad 50 km a</w:t>
            </w:r>
            <w:r w:rsidRPr="002C70E1">
              <w:rPr>
                <w:rFonts w:eastAsia="Times New Roman" w:cs="Arial"/>
                <w:color w:val="000000"/>
                <w:sz w:val="20"/>
                <w:szCs w:val="24"/>
                <w:lang w:eastAsia="cs-CZ"/>
              </w:rPr>
              <w:t xml:space="preserve"> která byla v období 6 měsíců před podáním žádosti </w:t>
            </w:r>
            <w:proofErr w:type="spellStart"/>
            <w:r>
              <w:rPr>
                <w:rFonts w:eastAsia="Times New Roman" w:cs="Arial"/>
                <w:color w:val="000000"/>
                <w:sz w:val="20"/>
                <w:szCs w:val="24"/>
                <w:lang w:eastAsia="cs-CZ"/>
              </w:rPr>
              <w:t>UoZ</w:t>
            </w:r>
            <w:proofErr w:type="spellEnd"/>
            <w:r w:rsidR="00820FB7">
              <w:rPr>
                <w:rFonts w:eastAsia="Times New Roman" w:cs="Arial"/>
                <w:color w:val="000000"/>
                <w:sz w:val="20"/>
                <w:szCs w:val="24"/>
                <w:lang w:eastAsia="cs-CZ"/>
              </w:rPr>
              <w:t xml:space="preserve"> nebo zájemcem o </w:t>
            </w:r>
            <w:r w:rsidRPr="002C70E1">
              <w:rPr>
                <w:rFonts w:eastAsia="Times New Roman" w:cs="Arial"/>
                <w:color w:val="000000"/>
                <w:sz w:val="20"/>
                <w:szCs w:val="24"/>
                <w:lang w:eastAsia="cs-CZ"/>
              </w:rPr>
              <w:t>zaměstnání ohroženým ztrátou zaměstnání v důsledku hromadného prop</w:t>
            </w:r>
            <w:r w:rsidR="000F5C85">
              <w:rPr>
                <w:rFonts w:eastAsia="Times New Roman" w:cs="Arial"/>
                <w:color w:val="000000"/>
                <w:sz w:val="20"/>
                <w:szCs w:val="24"/>
                <w:lang w:eastAsia="cs-CZ"/>
              </w:rPr>
              <w:t>o</w:t>
            </w:r>
            <w:r w:rsidRPr="002C70E1">
              <w:rPr>
                <w:rFonts w:eastAsia="Times New Roman" w:cs="Arial"/>
                <w:color w:val="000000"/>
                <w:sz w:val="20"/>
                <w:szCs w:val="24"/>
                <w:lang w:eastAsia="cs-CZ"/>
              </w:rPr>
              <w:t xml:space="preserve">uštění. </w:t>
            </w:r>
            <w:r w:rsidR="000F5C85">
              <w:rPr>
                <w:rFonts w:eastAsia="Times New Roman" w:cs="Arial"/>
                <w:color w:val="000000"/>
                <w:sz w:val="20"/>
                <w:szCs w:val="24"/>
                <w:lang w:eastAsia="cs-CZ"/>
              </w:rPr>
              <w:t>P</w:t>
            </w:r>
            <w:r w:rsidR="00820FB7">
              <w:rPr>
                <w:rFonts w:eastAsia="Times New Roman" w:cs="Arial"/>
                <w:color w:val="000000"/>
                <w:sz w:val="20"/>
                <w:szCs w:val="24"/>
                <w:lang w:eastAsia="cs-CZ"/>
              </w:rPr>
              <w:t>racovního poměr musí trvat</w:t>
            </w:r>
            <w:r w:rsidRPr="002C70E1">
              <w:rPr>
                <w:rFonts w:eastAsia="Times New Roman" w:cs="Arial"/>
                <w:color w:val="000000"/>
                <w:sz w:val="20"/>
                <w:szCs w:val="24"/>
                <w:lang w:eastAsia="cs-CZ"/>
              </w:rPr>
              <w:t xml:space="preserve"> alespoň </w:t>
            </w:r>
            <w:r w:rsidR="00820FB7">
              <w:rPr>
                <w:rFonts w:eastAsia="Times New Roman" w:cs="Arial"/>
                <w:color w:val="000000"/>
                <w:sz w:val="20"/>
                <w:szCs w:val="24"/>
                <w:lang w:eastAsia="cs-CZ"/>
              </w:rPr>
              <w:t xml:space="preserve">6 měsíců a podpořená osoba se </w:t>
            </w:r>
            <w:proofErr w:type="spellStart"/>
            <w:r w:rsidR="00820FB7">
              <w:rPr>
                <w:rFonts w:eastAsia="Times New Roman" w:cs="Arial"/>
                <w:color w:val="000000"/>
                <w:sz w:val="20"/>
                <w:szCs w:val="24"/>
                <w:lang w:eastAsia="cs-CZ"/>
              </w:rPr>
              <w:t>závazuje</w:t>
            </w:r>
            <w:proofErr w:type="spellEnd"/>
            <w:r w:rsidR="00820FB7">
              <w:rPr>
                <w:rFonts w:eastAsia="Times New Roman" w:cs="Arial"/>
                <w:color w:val="000000"/>
                <w:sz w:val="20"/>
                <w:szCs w:val="24"/>
                <w:lang w:eastAsia="cs-CZ"/>
              </w:rPr>
              <w:t xml:space="preserve"> setrvat v </w:t>
            </w:r>
            <w:r w:rsidRPr="002C70E1">
              <w:rPr>
                <w:rFonts w:eastAsia="Times New Roman" w:cs="Arial"/>
                <w:color w:val="000000"/>
                <w:sz w:val="20"/>
                <w:szCs w:val="24"/>
                <w:lang w:eastAsia="cs-CZ"/>
              </w:rPr>
              <w:t xml:space="preserve">zaměstnání po dobu dalších 6 měsíců. Příspěvek je </w:t>
            </w:r>
            <w:r w:rsidR="000F5C85">
              <w:rPr>
                <w:rFonts w:eastAsia="Times New Roman" w:cs="Arial"/>
                <w:color w:val="000000"/>
                <w:sz w:val="20"/>
                <w:szCs w:val="24"/>
                <w:lang w:eastAsia="cs-CZ"/>
              </w:rPr>
              <w:t>paušální</w:t>
            </w:r>
            <w:r w:rsidRPr="002C70E1">
              <w:rPr>
                <w:rFonts w:eastAsia="Times New Roman" w:cs="Arial"/>
                <w:color w:val="000000"/>
                <w:sz w:val="20"/>
                <w:szCs w:val="24"/>
                <w:lang w:eastAsia="cs-CZ"/>
              </w:rPr>
              <w:t>, jednorázov</w:t>
            </w:r>
            <w:r w:rsidR="000F5C85">
              <w:rPr>
                <w:rFonts w:eastAsia="Times New Roman" w:cs="Arial"/>
                <w:color w:val="000000"/>
                <w:sz w:val="20"/>
                <w:szCs w:val="24"/>
                <w:lang w:eastAsia="cs-CZ"/>
              </w:rPr>
              <w:t>ý</w:t>
            </w:r>
            <w:r w:rsidRPr="002C70E1">
              <w:rPr>
                <w:rFonts w:eastAsia="Times New Roman" w:cs="Arial"/>
                <w:color w:val="000000"/>
                <w:sz w:val="20"/>
                <w:szCs w:val="24"/>
                <w:lang w:eastAsia="cs-CZ"/>
              </w:rPr>
              <w:t>, 50 000 Kč. V ro</w:t>
            </w:r>
            <w:r w:rsidR="000F5C85">
              <w:rPr>
                <w:rFonts w:eastAsia="Times New Roman" w:cs="Arial"/>
                <w:color w:val="000000"/>
                <w:sz w:val="20"/>
                <w:szCs w:val="24"/>
                <w:lang w:eastAsia="cs-CZ"/>
              </w:rPr>
              <w:t>ce</w:t>
            </w:r>
            <w:r w:rsidRPr="002C70E1">
              <w:rPr>
                <w:rFonts w:eastAsia="Times New Roman" w:cs="Arial"/>
                <w:color w:val="000000"/>
                <w:sz w:val="20"/>
                <w:szCs w:val="24"/>
                <w:lang w:eastAsia="cs-CZ"/>
              </w:rPr>
              <w:t xml:space="preserve"> 2016 podpořeno 644 osob.</w:t>
            </w:r>
          </w:p>
        </w:tc>
      </w:tr>
      <w:tr w:rsidR="00606D2C" w:rsidRPr="002C70E1" w:rsidTr="00820FB7">
        <w:trPr>
          <w:trHeight w:val="534"/>
        </w:trPr>
        <w:tc>
          <w:tcPr>
            <w:tcW w:w="720"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606D2C">
            <w:pPr>
              <w:spacing w:before="0" w:after="0"/>
              <w:jc w:val="left"/>
              <w:rPr>
                <w:rFonts w:eastAsia="Times New Roman" w:cs="Arial"/>
                <w:b/>
                <w:bCs/>
                <w:color w:val="000000"/>
                <w:sz w:val="20"/>
                <w:szCs w:val="24"/>
                <w:lang w:eastAsia="cs-CZ"/>
              </w:rPr>
            </w:pPr>
          </w:p>
        </w:tc>
        <w:tc>
          <w:tcPr>
            <w:tcW w:w="579" w:type="dxa"/>
            <w:tcBorders>
              <w:top w:val="single" w:sz="4" w:space="0" w:color="auto"/>
              <w:left w:val="nil"/>
              <w:bottom w:val="single" w:sz="8" w:space="0" w:color="auto"/>
              <w:right w:val="single" w:sz="4" w:space="0" w:color="auto"/>
            </w:tcBorders>
            <w:shd w:val="clear" w:color="auto" w:fill="auto"/>
            <w:textDirection w:val="btLr"/>
            <w:vAlign w:val="center"/>
            <w:hideMark/>
          </w:tcPr>
          <w:p w:rsidR="00606D2C" w:rsidRPr="002C70E1" w:rsidRDefault="00606D2C" w:rsidP="00606D2C">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 xml:space="preserve">sled. </w:t>
            </w:r>
          </w:p>
        </w:tc>
        <w:tc>
          <w:tcPr>
            <w:tcW w:w="12798" w:type="dxa"/>
            <w:gridSpan w:val="15"/>
            <w:tcBorders>
              <w:top w:val="single" w:sz="4" w:space="0" w:color="auto"/>
              <w:left w:val="nil"/>
              <w:bottom w:val="single" w:sz="8" w:space="0" w:color="auto"/>
              <w:right w:val="single" w:sz="8" w:space="0" w:color="000000"/>
            </w:tcBorders>
            <w:shd w:val="clear" w:color="auto" w:fill="auto"/>
            <w:hideMark/>
          </w:tcPr>
          <w:p w:rsidR="00606D2C" w:rsidRPr="00C24955" w:rsidRDefault="00606D2C" w:rsidP="00606D2C">
            <w:pPr>
              <w:spacing w:before="0" w:after="0"/>
              <w:rPr>
                <w:rFonts w:eastAsia="Times New Roman" w:cs="Arial"/>
                <w:sz w:val="20"/>
                <w:szCs w:val="24"/>
                <w:lang w:eastAsia="cs-CZ"/>
              </w:rPr>
            </w:pPr>
            <w:r w:rsidRPr="00C24955">
              <w:rPr>
                <w:rFonts w:eastAsia="Times New Roman" w:cs="Arial"/>
                <w:sz w:val="20"/>
                <w:szCs w:val="24"/>
                <w:lang w:eastAsia="cs-CZ"/>
              </w:rPr>
              <w:t>Od počátku roku 2017 do 31. 12. 2017 bylo příspěvkem na dojížďku podpořeno 2 910 osob a příspěvkem na přestěhování 100 osob.</w:t>
            </w:r>
          </w:p>
        </w:tc>
      </w:tr>
      <w:tr w:rsidR="00606D2C" w:rsidRPr="002C70E1" w:rsidTr="00820FB7">
        <w:trPr>
          <w:trHeight w:val="270"/>
        </w:trPr>
        <w:tc>
          <w:tcPr>
            <w:tcW w:w="720" w:type="dxa"/>
            <w:tcBorders>
              <w:top w:val="nil"/>
              <w:left w:val="nil"/>
              <w:bottom w:val="nil"/>
              <w:right w:val="nil"/>
            </w:tcBorders>
            <w:shd w:val="clear" w:color="auto" w:fill="auto"/>
            <w:noWrap/>
            <w:vAlign w:val="bottom"/>
            <w:hideMark/>
          </w:tcPr>
          <w:p w:rsidR="00606D2C" w:rsidRPr="002C70E1" w:rsidRDefault="00606D2C" w:rsidP="00606D2C">
            <w:pPr>
              <w:spacing w:before="0" w:after="0"/>
              <w:jc w:val="left"/>
              <w:rPr>
                <w:rFonts w:eastAsia="Times New Roman" w:cs="Arial"/>
                <w:color w:val="000000"/>
                <w:sz w:val="20"/>
                <w:szCs w:val="24"/>
                <w:lang w:eastAsia="cs-CZ"/>
              </w:rPr>
            </w:pPr>
          </w:p>
        </w:tc>
        <w:tc>
          <w:tcPr>
            <w:tcW w:w="784" w:type="dxa"/>
            <w:gridSpan w:val="3"/>
            <w:tcBorders>
              <w:top w:val="nil"/>
              <w:left w:val="nil"/>
              <w:bottom w:val="single" w:sz="12" w:space="0" w:color="auto"/>
              <w:right w:val="nil"/>
            </w:tcBorders>
            <w:shd w:val="clear" w:color="auto" w:fill="auto"/>
            <w:noWrap/>
            <w:vAlign w:val="bottom"/>
            <w:hideMark/>
          </w:tcPr>
          <w:p w:rsidR="00606D2C" w:rsidRPr="002C70E1" w:rsidRDefault="00606D2C" w:rsidP="00606D2C">
            <w:pPr>
              <w:spacing w:before="0" w:after="0"/>
              <w:jc w:val="left"/>
              <w:rPr>
                <w:rFonts w:eastAsia="Times New Roman" w:cs="Arial"/>
                <w:color w:val="000000"/>
                <w:sz w:val="20"/>
                <w:szCs w:val="24"/>
                <w:lang w:eastAsia="cs-CZ"/>
              </w:rPr>
            </w:pPr>
          </w:p>
        </w:tc>
        <w:tc>
          <w:tcPr>
            <w:tcW w:w="2149" w:type="dxa"/>
            <w:gridSpan w:val="2"/>
            <w:tcBorders>
              <w:top w:val="nil"/>
              <w:left w:val="nil"/>
              <w:bottom w:val="single" w:sz="12" w:space="0" w:color="auto"/>
              <w:right w:val="nil"/>
            </w:tcBorders>
            <w:shd w:val="clear" w:color="auto" w:fill="auto"/>
            <w:noWrap/>
            <w:vAlign w:val="bottom"/>
            <w:hideMark/>
          </w:tcPr>
          <w:p w:rsidR="00606D2C" w:rsidRPr="002C70E1" w:rsidRDefault="00606D2C" w:rsidP="00606D2C">
            <w:pPr>
              <w:spacing w:before="0" w:after="0"/>
              <w:jc w:val="left"/>
              <w:rPr>
                <w:rFonts w:eastAsia="Times New Roman" w:cs="Arial"/>
                <w:color w:val="000000"/>
                <w:sz w:val="20"/>
                <w:szCs w:val="24"/>
                <w:lang w:eastAsia="cs-CZ"/>
              </w:rPr>
            </w:pPr>
          </w:p>
        </w:tc>
        <w:tc>
          <w:tcPr>
            <w:tcW w:w="1150" w:type="dxa"/>
            <w:gridSpan w:val="2"/>
            <w:tcBorders>
              <w:top w:val="nil"/>
              <w:left w:val="nil"/>
              <w:bottom w:val="single" w:sz="12" w:space="0" w:color="auto"/>
              <w:right w:val="nil"/>
            </w:tcBorders>
            <w:shd w:val="clear" w:color="auto" w:fill="auto"/>
            <w:noWrap/>
            <w:vAlign w:val="bottom"/>
            <w:hideMark/>
          </w:tcPr>
          <w:p w:rsidR="00606D2C" w:rsidRPr="002C70E1" w:rsidRDefault="00606D2C" w:rsidP="00606D2C">
            <w:pPr>
              <w:spacing w:before="0" w:after="0"/>
              <w:jc w:val="left"/>
              <w:rPr>
                <w:rFonts w:eastAsia="Times New Roman" w:cs="Arial"/>
                <w:color w:val="000000"/>
                <w:sz w:val="20"/>
                <w:szCs w:val="24"/>
                <w:lang w:eastAsia="cs-CZ"/>
              </w:rPr>
            </w:pPr>
          </w:p>
        </w:tc>
        <w:tc>
          <w:tcPr>
            <w:tcW w:w="1028" w:type="dxa"/>
            <w:gridSpan w:val="2"/>
            <w:tcBorders>
              <w:top w:val="nil"/>
              <w:left w:val="nil"/>
              <w:bottom w:val="single" w:sz="12" w:space="0" w:color="auto"/>
              <w:right w:val="nil"/>
            </w:tcBorders>
            <w:shd w:val="clear" w:color="auto" w:fill="auto"/>
            <w:noWrap/>
            <w:vAlign w:val="bottom"/>
            <w:hideMark/>
          </w:tcPr>
          <w:p w:rsidR="00606D2C" w:rsidRPr="002C70E1" w:rsidRDefault="00606D2C" w:rsidP="00606D2C">
            <w:pPr>
              <w:spacing w:before="0" w:after="0"/>
              <w:jc w:val="left"/>
              <w:rPr>
                <w:rFonts w:eastAsia="Times New Roman" w:cs="Arial"/>
                <w:color w:val="000000"/>
                <w:sz w:val="20"/>
                <w:szCs w:val="24"/>
                <w:lang w:eastAsia="cs-CZ"/>
              </w:rPr>
            </w:pPr>
          </w:p>
        </w:tc>
        <w:tc>
          <w:tcPr>
            <w:tcW w:w="1891" w:type="dxa"/>
            <w:gridSpan w:val="2"/>
            <w:tcBorders>
              <w:top w:val="nil"/>
              <w:left w:val="nil"/>
              <w:bottom w:val="single" w:sz="12" w:space="0" w:color="auto"/>
              <w:right w:val="nil"/>
            </w:tcBorders>
            <w:shd w:val="clear" w:color="auto" w:fill="auto"/>
            <w:noWrap/>
            <w:vAlign w:val="bottom"/>
            <w:hideMark/>
          </w:tcPr>
          <w:p w:rsidR="00606D2C" w:rsidRPr="002C70E1" w:rsidRDefault="00606D2C" w:rsidP="00606D2C">
            <w:pPr>
              <w:spacing w:before="0" w:after="0"/>
              <w:jc w:val="left"/>
              <w:rPr>
                <w:rFonts w:eastAsia="Times New Roman" w:cs="Arial"/>
                <w:color w:val="000000"/>
                <w:sz w:val="20"/>
                <w:szCs w:val="24"/>
                <w:lang w:eastAsia="cs-CZ"/>
              </w:rPr>
            </w:pPr>
          </w:p>
        </w:tc>
        <w:tc>
          <w:tcPr>
            <w:tcW w:w="1735" w:type="dxa"/>
            <w:gridSpan w:val="2"/>
            <w:tcBorders>
              <w:top w:val="nil"/>
              <w:left w:val="nil"/>
              <w:bottom w:val="single" w:sz="12" w:space="0" w:color="auto"/>
              <w:right w:val="nil"/>
            </w:tcBorders>
            <w:shd w:val="clear" w:color="auto" w:fill="auto"/>
            <w:noWrap/>
            <w:vAlign w:val="bottom"/>
            <w:hideMark/>
          </w:tcPr>
          <w:p w:rsidR="00606D2C" w:rsidRPr="002C70E1" w:rsidRDefault="00606D2C" w:rsidP="00606D2C">
            <w:pPr>
              <w:spacing w:before="0" w:after="0"/>
              <w:jc w:val="left"/>
              <w:rPr>
                <w:rFonts w:eastAsia="Times New Roman" w:cs="Arial"/>
                <w:color w:val="000000"/>
                <w:sz w:val="20"/>
                <w:szCs w:val="24"/>
                <w:lang w:eastAsia="cs-CZ"/>
              </w:rPr>
            </w:pPr>
          </w:p>
        </w:tc>
        <w:tc>
          <w:tcPr>
            <w:tcW w:w="1623" w:type="dxa"/>
            <w:gridSpan w:val="2"/>
            <w:tcBorders>
              <w:top w:val="nil"/>
              <w:left w:val="nil"/>
              <w:bottom w:val="single" w:sz="12" w:space="0" w:color="auto"/>
              <w:right w:val="nil"/>
            </w:tcBorders>
            <w:shd w:val="clear" w:color="auto" w:fill="auto"/>
            <w:noWrap/>
            <w:vAlign w:val="bottom"/>
            <w:hideMark/>
          </w:tcPr>
          <w:p w:rsidR="00606D2C" w:rsidRPr="002C70E1" w:rsidRDefault="00606D2C" w:rsidP="00606D2C">
            <w:pPr>
              <w:spacing w:before="0" w:after="0"/>
              <w:jc w:val="left"/>
              <w:rPr>
                <w:rFonts w:eastAsia="Times New Roman" w:cs="Arial"/>
                <w:color w:val="000000"/>
                <w:sz w:val="20"/>
                <w:szCs w:val="24"/>
                <w:lang w:eastAsia="cs-CZ"/>
              </w:rPr>
            </w:pPr>
          </w:p>
        </w:tc>
        <w:tc>
          <w:tcPr>
            <w:tcW w:w="3017" w:type="dxa"/>
            <w:tcBorders>
              <w:top w:val="nil"/>
              <w:left w:val="nil"/>
              <w:bottom w:val="single" w:sz="12" w:space="0" w:color="auto"/>
              <w:right w:val="nil"/>
            </w:tcBorders>
            <w:shd w:val="clear" w:color="auto" w:fill="auto"/>
            <w:noWrap/>
            <w:vAlign w:val="bottom"/>
            <w:hideMark/>
          </w:tcPr>
          <w:p w:rsidR="00606D2C" w:rsidRPr="002C70E1" w:rsidRDefault="00606D2C" w:rsidP="00606D2C">
            <w:pPr>
              <w:spacing w:before="0" w:after="0"/>
              <w:jc w:val="left"/>
              <w:rPr>
                <w:rFonts w:eastAsia="Times New Roman" w:cs="Arial"/>
                <w:color w:val="000000"/>
                <w:sz w:val="20"/>
                <w:szCs w:val="24"/>
                <w:lang w:eastAsia="cs-CZ"/>
              </w:rPr>
            </w:pPr>
          </w:p>
        </w:tc>
      </w:tr>
      <w:tr w:rsidR="00606D2C" w:rsidRPr="002C70E1" w:rsidTr="00820FB7">
        <w:trPr>
          <w:trHeight w:val="285"/>
        </w:trPr>
        <w:tc>
          <w:tcPr>
            <w:tcW w:w="720" w:type="dxa"/>
            <w:tcBorders>
              <w:top w:val="single" w:sz="8" w:space="0" w:color="auto"/>
              <w:left w:val="single" w:sz="8" w:space="0" w:color="auto"/>
              <w:bottom w:val="single" w:sz="4" w:space="0" w:color="auto"/>
              <w:right w:val="single" w:sz="12" w:space="0" w:color="auto"/>
            </w:tcBorders>
            <w:shd w:val="clear" w:color="000000" w:fill="DCE6F1"/>
            <w:noWrap/>
            <w:vAlign w:val="bottom"/>
            <w:hideMark/>
          </w:tcPr>
          <w:p w:rsidR="00606D2C" w:rsidRPr="002C70E1" w:rsidRDefault="00606D2C" w:rsidP="00606D2C">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1.5</w:t>
            </w:r>
          </w:p>
        </w:tc>
        <w:tc>
          <w:tcPr>
            <w:tcW w:w="784" w:type="dxa"/>
            <w:gridSpan w:val="3"/>
            <w:tcBorders>
              <w:top w:val="single" w:sz="12" w:space="0" w:color="auto"/>
              <w:left w:val="single" w:sz="12" w:space="0" w:color="auto"/>
              <w:bottom w:val="single" w:sz="12" w:space="0" w:color="auto"/>
              <w:right w:val="nil"/>
            </w:tcBorders>
            <w:shd w:val="clear" w:color="auto" w:fill="auto"/>
            <w:noWrap/>
            <w:vAlign w:val="bottom"/>
            <w:hideMark/>
          </w:tcPr>
          <w:p w:rsidR="00606D2C" w:rsidRPr="002C70E1" w:rsidRDefault="00606D2C" w:rsidP="00606D2C">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2149" w:type="dxa"/>
            <w:gridSpan w:val="2"/>
            <w:tcBorders>
              <w:top w:val="single" w:sz="12" w:space="0" w:color="auto"/>
              <w:left w:val="nil"/>
              <w:bottom w:val="single" w:sz="12" w:space="0" w:color="auto"/>
              <w:right w:val="nil"/>
            </w:tcBorders>
            <w:shd w:val="clear" w:color="auto" w:fill="auto"/>
            <w:noWrap/>
            <w:vAlign w:val="bottom"/>
            <w:hideMark/>
          </w:tcPr>
          <w:p w:rsidR="00606D2C" w:rsidRPr="002C70E1" w:rsidRDefault="00606D2C" w:rsidP="00606D2C">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2016</w:t>
            </w:r>
          </w:p>
        </w:tc>
        <w:tc>
          <w:tcPr>
            <w:tcW w:w="1150" w:type="dxa"/>
            <w:gridSpan w:val="2"/>
            <w:tcBorders>
              <w:top w:val="single" w:sz="12" w:space="0" w:color="auto"/>
              <w:left w:val="single" w:sz="12" w:space="0" w:color="auto"/>
              <w:bottom w:val="single" w:sz="12" w:space="0" w:color="auto"/>
              <w:right w:val="nil"/>
            </w:tcBorders>
            <w:shd w:val="clear" w:color="auto" w:fill="auto"/>
            <w:noWrap/>
            <w:vAlign w:val="bottom"/>
            <w:hideMark/>
          </w:tcPr>
          <w:p w:rsidR="00606D2C" w:rsidRPr="002C70E1" w:rsidRDefault="00606D2C" w:rsidP="00606D2C">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28" w:type="dxa"/>
            <w:gridSpan w:val="2"/>
            <w:tcBorders>
              <w:top w:val="single" w:sz="12" w:space="0" w:color="auto"/>
              <w:left w:val="nil"/>
              <w:bottom w:val="single" w:sz="12" w:space="0" w:color="auto"/>
              <w:right w:val="single" w:sz="12" w:space="0" w:color="auto"/>
            </w:tcBorders>
            <w:shd w:val="clear" w:color="auto" w:fill="auto"/>
            <w:noWrap/>
            <w:vAlign w:val="bottom"/>
            <w:hideMark/>
          </w:tcPr>
          <w:p w:rsidR="00606D2C" w:rsidRPr="002C70E1" w:rsidRDefault="00606D2C" w:rsidP="00606D2C">
            <w:pPr>
              <w:spacing w:before="0" w:after="0"/>
              <w:jc w:val="left"/>
              <w:rPr>
                <w:rFonts w:eastAsia="Times New Roman" w:cs="Arial"/>
                <w:b/>
                <w:bCs/>
                <w:color w:val="000000"/>
                <w:sz w:val="20"/>
                <w:szCs w:val="24"/>
                <w:lang w:eastAsia="cs-CZ"/>
              </w:rPr>
            </w:pPr>
            <w:proofErr w:type="spellStart"/>
            <w:r w:rsidRPr="002C70E1">
              <w:rPr>
                <w:rFonts w:eastAsia="Times New Roman" w:cs="Arial"/>
                <w:b/>
                <w:bCs/>
                <w:color w:val="000000"/>
                <w:sz w:val="20"/>
                <w:szCs w:val="24"/>
                <w:lang w:eastAsia="cs-CZ"/>
              </w:rPr>
              <w:t>MSp</w:t>
            </w:r>
            <w:proofErr w:type="spellEnd"/>
          </w:p>
        </w:tc>
        <w:tc>
          <w:tcPr>
            <w:tcW w:w="1891" w:type="dxa"/>
            <w:gridSpan w:val="2"/>
            <w:tcBorders>
              <w:top w:val="single" w:sz="12" w:space="0" w:color="auto"/>
              <w:left w:val="nil"/>
            </w:tcBorders>
            <w:shd w:val="clear" w:color="auto" w:fill="auto"/>
            <w:noWrap/>
            <w:vAlign w:val="bottom"/>
            <w:hideMark/>
          </w:tcPr>
          <w:p w:rsidR="00606D2C" w:rsidRPr="002C70E1" w:rsidRDefault="00606D2C" w:rsidP="00606D2C">
            <w:pPr>
              <w:spacing w:before="0" w:after="0"/>
              <w:jc w:val="right"/>
              <w:rPr>
                <w:rFonts w:eastAsia="Times New Roman" w:cs="Arial"/>
                <w:color w:val="000000"/>
                <w:sz w:val="20"/>
                <w:szCs w:val="24"/>
                <w:lang w:eastAsia="cs-CZ"/>
              </w:rPr>
            </w:pPr>
            <w:proofErr w:type="spellStart"/>
            <w:r w:rsidRPr="002C70E1">
              <w:rPr>
                <w:rFonts w:eastAsia="Times New Roman" w:cs="Arial"/>
                <w:color w:val="000000"/>
                <w:sz w:val="20"/>
                <w:szCs w:val="24"/>
                <w:lang w:eastAsia="cs-CZ"/>
              </w:rPr>
              <w:t>spolugesce</w:t>
            </w:r>
            <w:proofErr w:type="spellEnd"/>
            <w:r w:rsidRPr="002C70E1">
              <w:rPr>
                <w:rFonts w:eastAsia="Times New Roman" w:cs="Arial"/>
                <w:color w:val="000000"/>
                <w:sz w:val="20"/>
                <w:szCs w:val="24"/>
                <w:lang w:eastAsia="cs-CZ"/>
              </w:rPr>
              <w:t>:</w:t>
            </w:r>
          </w:p>
        </w:tc>
        <w:tc>
          <w:tcPr>
            <w:tcW w:w="1735" w:type="dxa"/>
            <w:gridSpan w:val="2"/>
            <w:tcBorders>
              <w:top w:val="single" w:sz="12" w:space="0" w:color="auto"/>
              <w:right w:val="single" w:sz="12" w:space="0" w:color="auto"/>
            </w:tcBorders>
            <w:shd w:val="clear" w:color="auto" w:fill="auto"/>
            <w:noWrap/>
            <w:vAlign w:val="bottom"/>
            <w:hideMark/>
          </w:tcPr>
          <w:p w:rsidR="00606D2C" w:rsidRPr="002C70E1" w:rsidRDefault="00606D2C" w:rsidP="00606D2C">
            <w:pPr>
              <w:spacing w:before="0" w:after="0"/>
              <w:jc w:val="left"/>
              <w:rPr>
                <w:rFonts w:eastAsia="Times New Roman" w:cs="Arial"/>
                <w:color w:val="000000"/>
                <w:sz w:val="20"/>
                <w:szCs w:val="24"/>
                <w:lang w:eastAsia="cs-CZ"/>
              </w:rPr>
            </w:pPr>
            <w:r w:rsidRPr="002C70E1">
              <w:rPr>
                <w:rFonts w:eastAsia="Times New Roman" w:cs="Arial"/>
                <w:color w:val="000000"/>
                <w:sz w:val="20"/>
                <w:szCs w:val="24"/>
                <w:lang w:eastAsia="cs-CZ"/>
              </w:rPr>
              <w:t>MPSV, MV</w:t>
            </w:r>
          </w:p>
        </w:tc>
        <w:tc>
          <w:tcPr>
            <w:tcW w:w="1623" w:type="dxa"/>
            <w:gridSpan w:val="2"/>
            <w:tcBorders>
              <w:top w:val="single" w:sz="12" w:space="0" w:color="auto"/>
              <w:left w:val="single" w:sz="12" w:space="0" w:color="auto"/>
              <w:bottom w:val="single" w:sz="12" w:space="0" w:color="auto"/>
            </w:tcBorders>
            <w:shd w:val="clear" w:color="auto" w:fill="auto"/>
            <w:noWrap/>
            <w:vAlign w:val="bottom"/>
            <w:hideMark/>
          </w:tcPr>
          <w:p w:rsidR="00606D2C" w:rsidRPr="002C70E1" w:rsidRDefault="00606D2C" w:rsidP="00606D2C">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17" w:type="dxa"/>
            <w:tcBorders>
              <w:top w:val="single" w:sz="12" w:space="0" w:color="auto"/>
              <w:bottom w:val="single" w:sz="12" w:space="0" w:color="auto"/>
              <w:right w:val="single" w:sz="12" w:space="0" w:color="auto"/>
            </w:tcBorders>
            <w:shd w:val="clear" w:color="auto" w:fill="auto"/>
            <w:noWrap/>
            <w:vAlign w:val="bottom"/>
            <w:hideMark/>
          </w:tcPr>
          <w:p w:rsidR="00606D2C" w:rsidRPr="002C70E1" w:rsidRDefault="00606D2C" w:rsidP="00606D2C">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L</w:t>
            </w:r>
          </w:p>
        </w:tc>
      </w:tr>
      <w:tr w:rsidR="00606D2C" w:rsidRPr="002C70E1" w:rsidTr="00820FB7">
        <w:trPr>
          <w:trHeight w:val="202"/>
        </w:trPr>
        <w:tc>
          <w:tcPr>
            <w:tcW w:w="720"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606D2C" w:rsidRPr="002C70E1" w:rsidRDefault="00606D2C" w:rsidP="00606D2C">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Exekuce</w:t>
            </w:r>
          </w:p>
        </w:tc>
        <w:tc>
          <w:tcPr>
            <w:tcW w:w="2933" w:type="dxa"/>
            <w:gridSpan w:val="5"/>
            <w:tcBorders>
              <w:top w:val="single" w:sz="12" w:space="0" w:color="auto"/>
              <w:left w:val="nil"/>
              <w:right w:val="nil"/>
            </w:tcBorders>
            <w:shd w:val="clear" w:color="auto" w:fill="auto"/>
            <w:noWrap/>
            <w:vAlign w:val="bottom"/>
          </w:tcPr>
          <w:p w:rsidR="00606D2C" w:rsidRPr="002C70E1" w:rsidRDefault="00606D2C" w:rsidP="000F5C85">
            <w:pPr>
              <w:spacing w:before="0" w:after="0"/>
              <w:jc w:val="right"/>
              <w:rPr>
                <w:rFonts w:eastAsia="Times New Roman" w:cs="Arial"/>
                <w:b/>
                <w:bCs/>
                <w:color w:val="000000"/>
                <w:sz w:val="20"/>
                <w:szCs w:val="24"/>
                <w:lang w:eastAsia="cs-CZ"/>
              </w:rPr>
            </w:pPr>
          </w:p>
        </w:tc>
        <w:tc>
          <w:tcPr>
            <w:tcW w:w="1150" w:type="dxa"/>
            <w:gridSpan w:val="2"/>
            <w:tcBorders>
              <w:top w:val="nil"/>
              <w:left w:val="nil"/>
            </w:tcBorders>
            <w:shd w:val="clear" w:color="auto" w:fill="auto"/>
            <w:noWrap/>
            <w:vAlign w:val="bottom"/>
          </w:tcPr>
          <w:p w:rsidR="00606D2C" w:rsidRPr="002C70E1" w:rsidRDefault="00606D2C" w:rsidP="000F5C85">
            <w:pPr>
              <w:spacing w:before="0" w:after="0"/>
              <w:jc w:val="center"/>
              <w:rPr>
                <w:rFonts w:eastAsia="Times New Roman" w:cs="Arial"/>
                <w:b/>
                <w:bCs/>
                <w:color w:val="000000"/>
                <w:sz w:val="20"/>
                <w:szCs w:val="24"/>
                <w:lang w:eastAsia="cs-CZ"/>
              </w:rPr>
            </w:pPr>
          </w:p>
        </w:tc>
        <w:tc>
          <w:tcPr>
            <w:tcW w:w="4654" w:type="dxa"/>
            <w:gridSpan w:val="6"/>
            <w:tcBorders>
              <w:top w:val="nil"/>
              <w:left w:val="nil"/>
              <w:right w:val="nil"/>
            </w:tcBorders>
            <w:shd w:val="clear" w:color="auto" w:fill="auto"/>
            <w:noWrap/>
            <w:vAlign w:val="center"/>
            <w:hideMark/>
          </w:tcPr>
          <w:p w:rsidR="00606D2C" w:rsidRPr="002C70E1" w:rsidRDefault="00606D2C" w:rsidP="000F5C85">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23" w:type="dxa"/>
            <w:gridSpan w:val="2"/>
            <w:tcBorders>
              <w:top w:val="single" w:sz="12" w:space="0" w:color="auto"/>
              <w:left w:val="nil"/>
              <w:right w:val="nil"/>
            </w:tcBorders>
            <w:shd w:val="clear" w:color="auto" w:fill="auto"/>
            <w:noWrap/>
            <w:vAlign w:val="center"/>
          </w:tcPr>
          <w:p w:rsidR="00606D2C" w:rsidRPr="002C70E1" w:rsidRDefault="00606D2C" w:rsidP="000F5C85">
            <w:pPr>
              <w:spacing w:before="0" w:after="0"/>
              <w:jc w:val="center"/>
              <w:rPr>
                <w:rFonts w:eastAsia="Times New Roman" w:cs="Arial"/>
                <w:b/>
                <w:bCs/>
                <w:color w:val="000000"/>
                <w:sz w:val="20"/>
                <w:szCs w:val="24"/>
                <w:u w:val="single"/>
                <w:lang w:eastAsia="cs-CZ"/>
              </w:rPr>
            </w:pPr>
          </w:p>
        </w:tc>
        <w:tc>
          <w:tcPr>
            <w:tcW w:w="3017" w:type="dxa"/>
            <w:tcBorders>
              <w:top w:val="single" w:sz="12" w:space="0" w:color="auto"/>
              <w:left w:val="nil"/>
              <w:right w:val="single" w:sz="4" w:space="0" w:color="auto"/>
            </w:tcBorders>
            <w:shd w:val="clear" w:color="auto" w:fill="auto"/>
            <w:noWrap/>
            <w:vAlign w:val="center"/>
          </w:tcPr>
          <w:p w:rsidR="00606D2C" w:rsidRPr="002C70E1" w:rsidRDefault="00606D2C" w:rsidP="000F5C85">
            <w:pPr>
              <w:spacing w:before="0" w:after="0"/>
              <w:jc w:val="center"/>
              <w:rPr>
                <w:rFonts w:eastAsia="Times New Roman" w:cs="Arial"/>
                <w:b/>
                <w:bCs/>
                <w:color w:val="000000"/>
                <w:sz w:val="20"/>
                <w:szCs w:val="24"/>
                <w:u w:val="single"/>
                <w:lang w:eastAsia="cs-CZ"/>
              </w:rPr>
            </w:pPr>
          </w:p>
        </w:tc>
      </w:tr>
      <w:tr w:rsidR="00606D2C" w:rsidRPr="002C70E1" w:rsidTr="000F5C85">
        <w:trPr>
          <w:trHeight w:val="316"/>
        </w:trPr>
        <w:tc>
          <w:tcPr>
            <w:tcW w:w="720"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606D2C">
            <w:pPr>
              <w:spacing w:before="0" w:after="0"/>
              <w:jc w:val="left"/>
              <w:rPr>
                <w:rFonts w:eastAsia="Times New Roman" w:cs="Arial"/>
                <w:b/>
                <w:bCs/>
                <w:color w:val="000000"/>
                <w:sz w:val="20"/>
                <w:szCs w:val="24"/>
                <w:lang w:eastAsia="cs-CZ"/>
              </w:rPr>
            </w:pPr>
          </w:p>
        </w:tc>
        <w:tc>
          <w:tcPr>
            <w:tcW w:w="13377" w:type="dxa"/>
            <w:gridSpan w:val="16"/>
            <w:tcBorders>
              <w:top w:val="nil"/>
              <w:left w:val="nil"/>
              <w:bottom w:val="double" w:sz="6" w:space="0" w:color="auto"/>
              <w:right w:val="single" w:sz="8" w:space="0" w:color="000000"/>
            </w:tcBorders>
            <w:shd w:val="clear" w:color="auto" w:fill="auto"/>
            <w:hideMark/>
          </w:tcPr>
          <w:p w:rsidR="00606D2C" w:rsidRPr="002C70E1" w:rsidRDefault="00606D2C" w:rsidP="000F5C85">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MPSV ve spolupráci s Ministerstvem spravedlnosti a Ministerstvem vnitra navrhne opatření k řešení problematiky exekucí a jejich negativního dopadu na motivaci pracovní síly přijmout zaměstnání jako zdroj obživy.</w:t>
            </w:r>
          </w:p>
        </w:tc>
      </w:tr>
      <w:tr w:rsidR="00606D2C" w:rsidRPr="002C70E1" w:rsidTr="00820FB7">
        <w:trPr>
          <w:trHeight w:val="285"/>
        </w:trPr>
        <w:tc>
          <w:tcPr>
            <w:tcW w:w="720" w:type="dxa"/>
            <w:vMerge/>
            <w:tcBorders>
              <w:top w:val="nil"/>
              <w:left w:val="single" w:sz="8" w:space="0" w:color="auto"/>
              <w:bottom w:val="single" w:sz="8" w:space="0" w:color="000000"/>
              <w:right w:val="double" w:sz="6" w:space="0" w:color="auto"/>
            </w:tcBorders>
            <w:vAlign w:val="center"/>
            <w:hideMark/>
          </w:tcPr>
          <w:p w:rsidR="00606D2C" w:rsidRPr="002C70E1" w:rsidRDefault="00606D2C" w:rsidP="00606D2C">
            <w:pPr>
              <w:spacing w:before="0" w:after="0"/>
              <w:jc w:val="left"/>
              <w:rPr>
                <w:rFonts w:eastAsia="Times New Roman" w:cs="Arial"/>
                <w:b/>
                <w:bCs/>
                <w:color w:val="000000"/>
                <w:sz w:val="20"/>
                <w:szCs w:val="24"/>
                <w:lang w:eastAsia="cs-CZ"/>
              </w:rPr>
            </w:pPr>
          </w:p>
        </w:tc>
        <w:tc>
          <w:tcPr>
            <w:tcW w:w="579" w:type="dxa"/>
            <w:tcBorders>
              <w:top w:val="double" w:sz="6" w:space="0" w:color="auto"/>
              <w:left w:val="double" w:sz="6" w:space="0" w:color="auto"/>
              <w:bottom w:val="double" w:sz="6" w:space="0" w:color="auto"/>
              <w:right w:val="nil"/>
            </w:tcBorders>
            <w:shd w:val="clear" w:color="000000" w:fill="F2DCDB"/>
            <w:noWrap/>
            <w:vAlign w:val="bottom"/>
            <w:hideMark/>
          </w:tcPr>
          <w:p w:rsidR="00606D2C" w:rsidRPr="002C70E1" w:rsidRDefault="00606D2C" w:rsidP="000F5C85">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504" w:type="dxa"/>
            <w:gridSpan w:val="6"/>
            <w:tcBorders>
              <w:top w:val="double" w:sz="6" w:space="0" w:color="auto"/>
              <w:left w:val="nil"/>
              <w:bottom w:val="double" w:sz="6" w:space="0" w:color="auto"/>
              <w:right w:val="double" w:sz="6" w:space="0" w:color="auto"/>
            </w:tcBorders>
            <w:shd w:val="clear" w:color="000000" w:fill="E6B8B7"/>
            <w:vAlign w:val="bottom"/>
            <w:hideMark/>
          </w:tcPr>
          <w:p w:rsidR="00606D2C" w:rsidRPr="002C70E1" w:rsidRDefault="00606D2C" w:rsidP="000F5C85">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Řešeno</w:t>
            </w:r>
          </w:p>
        </w:tc>
        <w:tc>
          <w:tcPr>
            <w:tcW w:w="4654" w:type="dxa"/>
            <w:gridSpan w:val="6"/>
            <w:tcBorders>
              <w:top w:val="double" w:sz="6" w:space="0" w:color="auto"/>
              <w:left w:val="double" w:sz="6" w:space="0" w:color="auto"/>
              <w:bottom w:val="nil"/>
            </w:tcBorders>
            <w:shd w:val="clear" w:color="auto" w:fill="auto"/>
            <w:vAlign w:val="center"/>
            <w:hideMark/>
          </w:tcPr>
          <w:p w:rsidR="00606D2C" w:rsidRPr="002C70E1" w:rsidRDefault="00606D2C" w:rsidP="000F5C85">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23" w:type="dxa"/>
            <w:gridSpan w:val="2"/>
            <w:tcBorders>
              <w:top w:val="nil"/>
              <w:right w:val="nil"/>
            </w:tcBorders>
            <w:shd w:val="clear" w:color="auto" w:fill="auto"/>
            <w:vAlign w:val="center"/>
          </w:tcPr>
          <w:p w:rsidR="00606D2C" w:rsidRPr="002C70E1" w:rsidRDefault="00606D2C" w:rsidP="000F5C85">
            <w:pPr>
              <w:spacing w:before="0" w:after="0"/>
              <w:jc w:val="right"/>
              <w:rPr>
                <w:rFonts w:eastAsia="Times New Roman" w:cs="Arial"/>
                <w:color w:val="000000"/>
                <w:sz w:val="20"/>
                <w:szCs w:val="24"/>
                <w:lang w:eastAsia="cs-CZ"/>
              </w:rPr>
            </w:pPr>
          </w:p>
        </w:tc>
        <w:tc>
          <w:tcPr>
            <w:tcW w:w="3017" w:type="dxa"/>
            <w:tcBorders>
              <w:top w:val="nil"/>
              <w:left w:val="nil"/>
              <w:right w:val="single" w:sz="8" w:space="0" w:color="auto"/>
            </w:tcBorders>
            <w:shd w:val="clear" w:color="auto" w:fill="auto"/>
            <w:vAlign w:val="center"/>
          </w:tcPr>
          <w:p w:rsidR="00606D2C" w:rsidRPr="002C70E1" w:rsidRDefault="00606D2C" w:rsidP="000F5C85">
            <w:pPr>
              <w:spacing w:before="0" w:after="0"/>
              <w:jc w:val="center"/>
              <w:rPr>
                <w:rFonts w:eastAsia="Times New Roman" w:cs="Arial"/>
                <w:b/>
                <w:bCs/>
                <w:color w:val="000000"/>
                <w:sz w:val="20"/>
                <w:szCs w:val="24"/>
                <w:u w:val="single"/>
                <w:lang w:eastAsia="cs-CZ"/>
              </w:rPr>
            </w:pPr>
          </w:p>
        </w:tc>
      </w:tr>
      <w:tr w:rsidR="00606D2C" w:rsidRPr="002C70E1" w:rsidTr="00820FB7">
        <w:trPr>
          <w:trHeight w:val="912"/>
        </w:trPr>
        <w:tc>
          <w:tcPr>
            <w:tcW w:w="720"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606D2C">
            <w:pPr>
              <w:spacing w:before="0" w:after="0"/>
              <w:jc w:val="left"/>
              <w:rPr>
                <w:rFonts w:eastAsia="Times New Roman" w:cs="Arial"/>
                <w:b/>
                <w:bCs/>
                <w:color w:val="000000"/>
                <w:sz w:val="20"/>
                <w:szCs w:val="24"/>
                <w:lang w:eastAsia="cs-CZ"/>
              </w:rPr>
            </w:pPr>
          </w:p>
        </w:tc>
        <w:tc>
          <w:tcPr>
            <w:tcW w:w="579" w:type="dxa"/>
            <w:tcBorders>
              <w:top w:val="nil"/>
              <w:left w:val="nil"/>
              <w:bottom w:val="nil"/>
              <w:right w:val="single" w:sz="4" w:space="0" w:color="auto"/>
            </w:tcBorders>
            <w:shd w:val="clear" w:color="auto" w:fill="auto"/>
            <w:textDirection w:val="btLr"/>
            <w:vAlign w:val="center"/>
            <w:hideMark/>
          </w:tcPr>
          <w:p w:rsidR="00606D2C" w:rsidRPr="002C70E1" w:rsidRDefault="00606D2C" w:rsidP="000F5C85">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minulé</w:t>
            </w:r>
          </w:p>
        </w:tc>
        <w:tc>
          <w:tcPr>
            <w:tcW w:w="12798" w:type="dxa"/>
            <w:gridSpan w:val="15"/>
            <w:tcBorders>
              <w:top w:val="nil"/>
              <w:left w:val="nil"/>
              <w:bottom w:val="nil"/>
              <w:right w:val="single" w:sz="8" w:space="0" w:color="000000"/>
            </w:tcBorders>
            <w:shd w:val="clear" w:color="auto" w:fill="auto"/>
            <w:hideMark/>
          </w:tcPr>
          <w:p w:rsidR="00606D2C" w:rsidRPr="004E56CF" w:rsidRDefault="00606D2C" w:rsidP="000F5C85">
            <w:pPr>
              <w:spacing w:before="0" w:after="0"/>
              <w:rPr>
                <w:rFonts w:eastAsia="Times New Roman" w:cs="Arial"/>
                <w:sz w:val="20"/>
                <w:szCs w:val="24"/>
                <w:lang w:eastAsia="cs-CZ"/>
              </w:rPr>
            </w:pPr>
            <w:r w:rsidRPr="004E56CF">
              <w:rPr>
                <w:rFonts w:eastAsia="Times New Roman" w:cs="Arial"/>
                <w:sz w:val="20"/>
                <w:szCs w:val="24"/>
                <w:lang w:eastAsia="cs-CZ"/>
              </w:rPr>
              <w:t xml:space="preserve">V rámci projektů OPZ a činnosti ÚP ČR je podporováno dluhové poradenství a finanční gramotnost s cílem předcházet zadlužení znevýhodněných osob, a to v rámci skupinového i individuálního poradenství. Prostřednictvím projektu VDTP II </w:t>
            </w:r>
            <w:r w:rsidR="000F5C85">
              <w:rPr>
                <w:rFonts w:eastAsia="Times New Roman" w:cs="Arial"/>
                <w:sz w:val="20"/>
                <w:szCs w:val="24"/>
                <w:lang w:eastAsia="cs-CZ"/>
              </w:rPr>
              <w:t xml:space="preserve">je </w:t>
            </w:r>
            <w:r w:rsidRPr="004E56CF">
              <w:rPr>
                <w:rFonts w:eastAsia="Times New Roman" w:cs="Arial"/>
                <w:sz w:val="20"/>
                <w:szCs w:val="24"/>
                <w:lang w:eastAsia="cs-CZ"/>
              </w:rPr>
              <w:t>podporováno také řešení vzniklých problematických situací – např. využití nástrojů splátkového kalendáře či oznámení osobních bankrot</w:t>
            </w:r>
            <w:r w:rsidR="00820FB7">
              <w:rPr>
                <w:rFonts w:eastAsia="Times New Roman" w:cs="Arial"/>
                <w:sz w:val="20"/>
                <w:szCs w:val="24"/>
                <w:lang w:eastAsia="cs-CZ"/>
              </w:rPr>
              <w:t>ů. Zároveň ÚP ČR participuje (v </w:t>
            </w:r>
            <w:r w:rsidRPr="004E56CF">
              <w:rPr>
                <w:rFonts w:eastAsia="Times New Roman" w:cs="Arial"/>
                <w:sz w:val="20"/>
                <w:szCs w:val="24"/>
                <w:lang w:eastAsia="cs-CZ"/>
              </w:rPr>
              <w:t>roli partnera projektu) na realizaci projektů FDV (Prokop-východ, Prokop-</w:t>
            </w:r>
            <w:proofErr w:type="spellStart"/>
            <w:r w:rsidRPr="004E56CF">
              <w:rPr>
                <w:rFonts w:eastAsia="Times New Roman" w:cs="Arial"/>
                <w:sz w:val="20"/>
                <w:szCs w:val="24"/>
                <w:lang w:eastAsia="cs-CZ"/>
              </w:rPr>
              <w:t>central</w:t>
            </w:r>
            <w:proofErr w:type="spellEnd"/>
            <w:r w:rsidRPr="004E56CF">
              <w:rPr>
                <w:rFonts w:eastAsia="Times New Roman" w:cs="Arial"/>
                <w:sz w:val="20"/>
                <w:szCs w:val="24"/>
                <w:lang w:eastAsia="cs-CZ"/>
              </w:rPr>
              <w:t xml:space="preserve">), které jsou zaměřené na občanskou a finanční gramotnost. GŘ ÚP ČR v rámci opatření ke standardizaci činností ÚP ČR, </w:t>
            </w:r>
            <w:proofErr w:type="spellStart"/>
            <w:r w:rsidRPr="004E56CF">
              <w:rPr>
                <w:rFonts w:eastAsia="Times New Roman" w:cs="Arial"/>
                <w:sz w:val="20"/>
                <w:szCs w:val="24"/>
                <w:lang w:eastAsia="cs-CZ"/>
              </w:rPr>
              <w:t>KrP</w:t>
            </w:r>
            <w:proofErr w:type="spellEnd"/>
            <w:r w:rsidRPr="004E56CF">
              <w:rPr>
                <w:rFonts w:eastAsia="Times New Roman" w:cs="Arial"/>
                <w:sz w:val="20"/>
                <w:szCs w:val="24"/>
                <w:lang w:eastAsia="cs-CZ"/>
              </w:rPr>
              <w:t xml:space="preserve"> a </w:t>
            </w:r>
            <w:proofErr w:type="spellStart"/>
            <w:r w:rsidRPr="004E56CF">
              <w:rPr>
                <w:rFonts w:eastAsia="Times New Roman" w:cs="Arial"/>
                <w:sz w:val="20"/>
                <w:szCs w:val="24"/>
                <w:lang w:eastAsia="cs-CZ"/>
              </w:rPr>
              <w:t>KoP</w:t>
            </w:r>
            <w:proofErr w:type="spellEnd"/>
            <w:r w:rsidRPr="004E56CF">
              <w:rPr>
                <w:rFonts w:eastAsia="Times New Roman" w:cs="Arial"/>
                <w:sz w:val="20"/>
                <w:szCs w:val="24"/>
                <w:lang w:eastAsia="cs-CZ"/>
              </w:rPr>
              <w:t xml:space="preserve"> uložilo pro útvary zprostředkování </w:t>
            </w:r>
            <w:proofErr w:type="spellStart"/>
            <w:r w:rsidRPr="004E56CF">
              <w:rPr>
                <w:rFonts w:eastAsia="Times New Roman" w:cs="Arial"/>
                <w:sz w:val="20"/>
                <w:szCs w:val="24"/>
                <w:lang w:eastAsia="cs-CZ"/>
              </w:rPr>
              <w:t>KoP</w:t>
            </w:r>
            <w:proofErr w:type="spellEnd"/>
            <w:r w:rsidRPr="004E56CF">
              <w:rPr>
                <w:rFonts w:eastAsia="Times New Roman" w:cs="Arial"/>
                <w:sz w:val="20"/>
                <w:szCs w:val="24"/>
                <w:lang w:eastAsia="cs-CZ"/>
              </w:rPr>
              <w:t xml:space="preserve"> zavedení do své praxe realizaci spolupráce s občanskými poradnami na všech </w:t>
            </w:r>
            <w:proofErr w:type="spellStart"/>
            <w:r w:rsidRPr="004E56CF">
              <w:rPr>
                <w:rFonts w:eastAsia="Times New Roman" w:cs="Arial"/>
                <w:sz w:val="20"/>
                <w:szCs w:val="24"/>
                <w:lang w:eastAsia="cs-CZ"/>
              </w:rPr>
              <w:t>KoP</w:t>
            </w:r>
            <w:proofErr w:type="spellEnd"/>
            <w:r w:rsidRPr="004E56CF">
              <w:rPr>
                <w:rFonts w:eastAsia="Times New Roman" w:cs="Arial"/>
                <w:sz w:val="20"/>
                <w:szCs w:val="24"/>
                <w:lang w:eastAsia="cs-CZ"/>
              </w:rPr>
              <w:t xml:space="preserve"> - pro </w:t>
            </w:r>
            <w:proofErr w:type="spellStart"/>
            <w:r w:rsidRPr="004E56CF">
              <w:rPr>
                <w:rFonts w:eastAsia="Times New Roman" w:cs="Arial"/>
                <w:sz w:val="20"/>
                <w:szCs w:val="24"/>
                <w:lang w:eastAsia="cs-CZ"/>
              </w:rPr>
              <w:t>UoZ</w:t>
            </w:r>
            <w:proofErr w:type="spellEnd"/>
            <w:r w:rsidRPr="004E56CF">
              <w:rPr>
                <w:rFonts w:eastAsia="Times New Roman" w:cs="Arial"/>
                <w:sz w:val="20"/>
                <w:szCs w:val="24"/>
                <w:lang w:eastAsia="cs-CZ"/>
              </w:rPr>
              <w:t xml:space="preserve"> s dluhy a exekucemi.</w:t>
            </w:r>
          </w:p>
        </w:tc>
      </w:tr>
      <w:tr w:rsidR="00606D2C" w:rsidRPr="002C70E1" w:rsidTr="00820FB7">
        <w:trPr>
          <w:trHeight w:val="1800"/>
        </w:trPr>
        <w:tc>
          <w:tcPr>
            <w:tcW w:w="720"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606D2C">
            <w:pPr>
              <w:spacing w:before="0" w:after="0"/>
              <w:jc w:val="left"/>
              <w:rPr>
                <w:rFonts w:eastAsia="Times New Roman" w:cs="Arial"/>
                <w:b/>
                <w:bCs/>
                <w:color w:val="000000"/>
                <w:sz w:val="20"/>
                <w:szCs w:val="24"/>
                <w:lang w:eastAsia="cs-CZ"/>
              </w:rPr>
            </w:pPr>
          </w:p>
        </w:tc>
        <w:tc>
          <w:tcPr>
            <w:tcW w:w="579" w:type="dxa"/>
            <w:tcBorders>
              <w:top w:val="single" w:sz="4" w:space="0" w:color="auto"/>
              <w:left w:val="nil"/>
              <w:bottom w:val="single" w:sz="8" w:space="0" w:color="auto"/>
              <w:right w:val="single" w:sz="4" w:space="0" w:color="auto"/>
            </w:tcBorders>
            <w:shd w:val="clear" w:color="auto" w:fill="auto"/>
            <w:textDirection w:val="btLr"/>
            <w:vAlign w:val="center"/>
            <w:hideMark/>
          </w:tcPr>
          <w:p w:rsidR="00606D2C" w:rsidRPr="002C70E1" w:rsidRDefault="00606D2C" w:rsidP="000F5C85">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 xml:space="preserve">sledované </w:t>
            </w:r>
          </w:p>
        </w:tc>
        <w:tc>
          <w:tcPr>
            <w:tcW w:w="12798" w:type="dxa"/>
            <w:gridSpan w:val="15"/>
            <w:tcBorders>
              <w:top w:val="single" w:sz="4" w:space="0" w:color="auto"/>
              <w:left w:val="nil"/>
              <w:bottom w:val="single" w:sz="8" w:space="0" w:color="auto"/>
              <w:right w:val="single" w:sz="8" w:space="0" w:color="000000"/>
            </w:tcBorders>
            <w:shd w:val="clear" w:color="auto" w:fill="auto"/>
            <w:hideMark/>
          </w:tcPr>
          <w:p w:rsidR="00606D2C" w:rsidRPr="002C70E1" w:rsidRDefault="00606D2C" w:rsidP="00820FB7">
            <w:pPr>
              <w:spacing w:before="0" w:after="0"/>
              <w:rPr>
                <w:rFonts w:eastAsia="Times New Roman" w:cs="Arial"/>
                <w:color w:val="000000"/>
                <w:sz w:val="20"/>
                <w:szCs w:val="24"/>
                <w:lang w:eastAsia="cs-CZ"/>
              </w:rPr>
            </w:pPr>
            <w:r w:rsidRPr="0075662D">
              <w:rPr>
                <w:rFonts w:eastAsia="Times New Roman" w:cs="Arial"/>
                <w:color w:val="000000"/>
                <w:sz w:val="20"/>
                <w:szCs w:val="24"/>
                <w:lang w:eastAsia="cs-CZ"/>
              </w:rPr>
              <w:t>ÚP ČR v rámci své činnosti a realizac</w:t>
            </w:r>
            <w:r w:rsidR="00820FB7">
              <w:rPr>
                <w:rFonts w:eastAsia="Times New Roman" w:cs="Arial"/>
                <w:color w:val="000000"/>
                <w:sz w:val="20"/>
                <w:szCs w:val="24"/>
                <w:lang w:eastAsia="cs-CZ"/>
              </w:rPr>
              <w:t>e</w:t>
            </w:r>
            <w:r w:rsidRPr="0075662D">
              <w:rPr>
                <w:rFonts w:eastAsia="Times New Roman" w:cs="Arial"/>
                <w:color w:val="000000"/>
                <w:sz w:val="20"/>
                <w:szCs w:val="24"/>
                <w:lang w:eastAsia="cs-CZ"/>
              </w:rPr>
              <w:t xml:space="preserve"> projektů podporuje poskytování informací k dluhovému poradenství a finanční gramotnosti s cílem předcházet zadlužení znevýhodněných osob. Služby jsou klientům poskytovány pomocí skupinového a individuálního poradenství. Prostřednictvím realizace projektu VDTP II je podporováno také řešení vzniklých problematických situací – např. využívání nástroje osobního bankrotu apod. ÚP ČR zároveň participuje (v roli partnera projektu) na realizaci projektů FDV (Prokop – východ, Prokop – </w:t>
            </w:r>
            <w:proofErr w:type="spellStart"/>
            <w:r w:rsidRPr="0075662D">
              <w:rPr>
                <w:rFonts w:eastAsia="Times New Roman" w:cs="Arial"/>
                <w:color w:val="000000"/>
                <w:sz w:val="20"/>
                <w:szCs w:val="24"/>
                <w:lang w:eastAsia="cs-CZ"/>
              </w:rPr>
              <w:t>central</w:t>
            </w:r>
            <w:proofErr w:type="spellEnd"/>
            <w:r w:rsidRPr="0075662D">
              <w:rPr>
                <w:rFonts w:eastAsia="Times New Roman" w:cs="Arial"/>
                <w:color w:val="000000"/>
                <w:sz w:val="20"/>
                <w:szCs w:val="24"/>
                <w:lang w:eastAsia="cs-CZ"/>
              </w:rPr>
              <w:t xml:space="preserve">), které jsou ve svých klíčových aktivitách zaměřeny na zvýšení občanské a finanční gramotnosti. GŘ ÚP ČR dále v rámci standardizace činnosti jednotlivých </w:t>
            </w:r>
            <w:proofErr w:type="spellStart"/>
            <w:r w:rsidRPr="0075662D">
              <w:rPr>
                <w:rFonts w:eastAsia="Times New Roman" w:cs="Arial"/>
                <w:color w:val="000000"/>
                <w:sz w:val="20"/>
                <w:szCs w:val="24"/>
                <w:lang w:eastAsia="cs-CZ"/>
              </w:rPr>
              <w:t>KrP</w:t>
            </w:r>
            <w:proofErr w:type="spellEnd"/>
            <w:r w:rsidRPr="0075662D">
              <w:rPr>
                <w:rFonts w:eastAsia="Times New Roman" w:cs="Arial"/>
                <w:color w:val="000000"/>
                <w:sz w:val="20"/>
                <w:szCs w:val="24"/>
                <w:lang w:eastAsia="cs-CZ"/>
              </w:rPr>
              <w:t xml:space="preserve"> a </w:t>
            </w:r>
            <w:proofErr w:type="spellStart"/>
            <w:r w:rsidRPr="0075662D">
              <w:rPr>
                <w:rFonts w:eastAsia="Times New Roman" w:cs="Arial"/>
                <w:color w:val="000000"/>
                <w:sz w:val="20"/>
                <w:szCs w:val="24"/>
                <w:lang w:eastAsia="cs-CZ"/>
              </w:rPr>
              <w:t>KoP</w:t>
            </w:r>
            <w:proofErr w:type="spellEnd"/>
            <w:r w:rsidRPr="0075662D">
              <w:rPr>
                <w:rFonts w:eastAsia="Times New Roman" w:cs="Arial"/>
                <w:color w:val="000000"/>
                <w:sz w:val="20"/>
                <w:szCs w:val="24"/>
                <w:lang w:eastAsia="cs-CZ"/>
              </w:rPr>
              <w:t xml:space="preserve"> uložilo pro útvary zprostředkování </w:t>
            </w:r>
            <w:proofErr w:type="spellStart"/>
            <w:r w:rsidRPr="0075662D">
              <w:rPr>
                <w:rFonts w:eastAsia="Times New Roman" w:cs="Arial"/>
                <w:color w:val="000000"/>
                <w:sz w:val="20"/>
                <w:szCs w:val="24"/>
                <w:lang w:eastAsia="cs-CZ"/>
              </w:rPr>
              <w:t>KoP</w:t>
            </w:r>
            <w:proofErr w:type="spellEnd"/>
            <w:r w:rsidRPr="0075662D">
              <w:rPr>
                <w:rFonts w:eastAsia="Times New Roman" w:cs="Arial"/>
                <w:color w:val="000000"/>
                <w:sz w:val="20"/>
                <w:szCs w:val="24"/>
                <w:lang w:eastAsia="cs-CZ"/>
              </w:rPr>
              <w:t xml:space="preserve"> zavedení do praxe realizaci spolupráce s občanskými poradnami na </w:t>
            </w:r>
            <w:proofErr w:type="gramStart"/>
            <w:r w:rsidRPr="0075662D">
              <w:rPr>
                <w:rFonts w:eastAsia="Times New Roman" w:cs="Arial"/>
                <w:color w:val="000000"/>
                <w:sz w:val="20"/>
                <w:szCs w:val="24"/>
                <w:lang w:eastAsia="cs-CZ"/>
              </w:rPr>
              <w:t xml:space="preserve">všech </w:t>
            </w:r>
            <w:proofErr w:type="spellStart"/>
            <w:r w:rsidRPr="0075662D">
              <w:rPr>
                <w:rFonts w:eastAsia="Times New Roman" w:cs="Arial"/>
                <w:color w:val="000000"/>
                <w:sz w:val="20"/>
                <w:szCs w:val="24"/>
                <w:lang w:eastAsia="cs-CZ"/>
              </w:rPr>
              <w:t>KoP</w:t>
            </w:r>
            <w:proofErr w:type="spellEnd"/>
            <w:proofErr w:type="gramEnd"/>
            <w:r w:rsidRPr="0075662D">
              <w:rPr>
                <w:rFonts w:eastAsia="Times New Roman" w:cs="Arial"/>
                <w:color w:val="000000"/>
                <w:sz w:val="20"/>
                <w:szCs w:val="24"/>
                <w:lang w:eastAsia="cs-CZ"/>
              </w:rPr>
              <w:t xml:space="preserve"> – pro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s dluhy a exekucemi.</w:t>
            </w:r>
            <w:r>
              <w:rPr>
                <w:rFonts w:eastAsia="Times New Roman" w:cs="Arial"/>
                <w:color w:val="000000"/>
                <w:sz w:val="20"/>
                <w:szCs w:val="24"/>
                <w:lang w:eastAsia="cs-CZ"/>
              </w:rPr>
              <w:t xml:space="preserve"> </w:t>
            </w:r>
            <w:r w:rsidRPr="0075662D">
              <w:rPr>
                <w:rFonts w:eastAsia="Times New Roman" w:cs="Arial"/>
                <w:color w:val="000000"/>
                <w:sz w:val="20"/>
                <w:szCs w:val="24"/>
                <w:lang w:eastAsia="cs-CZ"/>
              </w:rPr>
              <w:t>V rámci projektů OPZ a činnosti ÚP ČR je podporováno dluhové poradenství a finanční gramotnost s cílem předcházet zadlužení znevýhodněných osob, a to v rámci skupinového i individuálního poradenství. ÚP ČR realizuje prostřednictvím svých krajských poboček celkem 52 RIP, u 41 RIP je finanční gramotnost, případně dluhové poradenství, součástí klíčových aktivit projektu. U 18 RIP je finanční gramotnost přímo součástí aktivit projektu formou odborného školení a celkem u 23 RIP je zařazena finanční gramotnost, případně dluhové poradenství, jako součást motivačního nebo poradenského programu, také je zařazována v rámci skupinového poradenství.</w:t>
            </w:r>
          </w:p>
        </w:tc>
      </w:tr>
    </w:tbl>
    <w:p w:rsidR="00606D2C" w:rsidRPr="002C70E1" w:rsidRDefault="00606D2C" w:rsidP="000F5C85">
      <w:pPr>
        <w:spacing w:before="0" w:after="0"/>
        <w:rPr>
          <w:sz w:val="20"/>
        </w:rPr>
      </w:pPr>
    </w:p>
    <w:tbl>
      <w:tblPr>
        <w:tblW w:w="14097" w:type="dxa"/>
        <w:tblInd w:w="47" w:type="dxa"/>
        <w:tblLayout w:type="fixed"/>
        <w:tblCellMar>
          <w:left w:w="70" w:type="dxa"/>
          <w:right w:w="70" w:type="dxa"/>
        </w:tblCellMar>
        <w:tblLook w:val="04A0" w:firstRow="1" w:lastRow="0" w:firstColumn="1" w:lastColumn="0" w:noHBand="0" w:noVBand="1"/>
      </w:tblPr>
      <w:tblGrid>
        <w:gridCol w:w="719"/>
        <w:gridCol w:w="580"/>
        <w:gridCol w:w="64"/>
        <w:gridCol w:w="78"/>
        <w:gridCol w:w="531"/>
        <w:gridCol w:w="1682"/>
        <w:gridCol w:w="1145"/>
        <w:gridCol w:w="1028"/>
        <w:gridCol w:w="1892"/>
        <w:gridCol w:w="1736"/>
        <w:gridCol w:w="1624"/>
        <w:gridCol w:w="3018"/>
      </w:tblGrid>
      <w:tr w:rsidR="00606D2C" w:rsidRPr="002C70E1" w:rsidTr="0016645B">
        <w:trPr>
          <w:trHeight w:val="285"/>
        </w:trPr>
        <w:tc>
          <w:tcPr>
            <w:tcW w:w="719" w:type="dxa"/>
            <w:tcBorders>
              <w:top w:val="single" w:sz="8" w:space="0" w:color="auto"/>
              <w:left w:val="single" w:sz="8" w:space="0" w:color="auto"/>
              <w:bottom w:val="single" w:sz="4" w:space="0" w:color="auto"/>
              <w:right w:val="single" w:sz="12" w:space="0" w:color="auto"/>
            </w:tcBorders>
            <w:shd w:val="clear" w:color="000000" w:fill="DCE6F1"/>
            <w:noWrap/>
            <w:vAlign w:val="bottom"/>
            <w:hideMark/>
          </w:tcPr>
          <w:p w:rsidR="00606D2C" w:rsidRPr="002C70E1" w:rsidRDefault="00606D2C" w:rsidP="000F5C85">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1.6a</w:t>
            </w:r>
          </w:p>
        </w:tc>
        <w:tc>
          <w:tcPr>
            <w:tcW w:w="644" w:type="dxa"/>
            <w:gridSpan w:val="2"/>
            <w:tcBorders>
              <w:top w:val="single" w:sz="12" w:space="0" w:color="auto"/>
              <w:left w:val="single" w:sz="12" w:space="0" w:color="auto"/>
              <w:bottom w:val="single" w:sz="12" w:space="0" w:color="auto"/>
            </w:tcBorders>
            <w:shd w:val="clear" w:color="auto" w:fill="auto"/>
            <w:noWrap/>
            <w:vAlign w:val="bottom"/>
            <w:hideMark/>
          </w:tcPr>
          <w:p w:rsidR="00606D2C" w:rsidRPr="002C70E1" w:rsidRDefault="00606D2C" w:rsidP="000F5C85">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2291" w:type="dxa"/>
            <w:gridSpan w:val="3"/>
            <w:tcBorders>
              <w:top w:val="single" w:sz="12" w:space="0" w:color="auto"/>
              <w:bottom w:val="single" w:sz="12" w:space="0" w:color="auto"/>
              <w:right w:val="single" w:sz="12" w:space="0" w:color="auto"/>
            </w:tcBorders>
            <w:shd w:val="clear" w:color="auto" w:fill="auto"/>
            <w:noWrap/>
            <w:vAlign w:val="bottom"/>
            <w:hideMark/>
          </w:tcPr>
          <w:p w:rsidR="00606D2C" w:rsidRPr="002C70E1" w:rsidRDefault="00606D2C" w:rsidP="000F5C85">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2016/2017</w:t>
            </w:r>
          </w:p>
        </w:tc>
        <w:tc>
          <w:tcPr>
            <w:tcW w:w="1145" w:type="dxa"/>
            <w:tcBorders>
              <w:top w:val="single" w:sz="12" w:space="0" w:color="auto"/>
              <w:left w:val="single" w:sz="12" w:space="0" w:color="auto"/>
              <w:bottom w:val="single" w:sz="12" w:space="0" w:color="auto"/>
            </w:tcBorders>
            <w:shd w:val="clear" w:color="auto" w:fill="auto"/>
            <w:noWrap/>
            <w:vAlign w:val="bottom"/>
            <w:hideMark/>
          </w:tcPr>
          <w:p w:rsidR="00606D2C" w:rsidRPr="002C70E1" w:rsidRDefault="00606D2C" w:rsidP="000F5C85">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28" w:type="dxa"/>
            <w:tcBorders>
              <w:top w:val="single" w:sz="12" w:space="0" w:color="auto"/>
              <w:bottom w:val="single" w:sz="12" w:space="0" w:color="auto"/>
              <w:right w:val="single" w:sz="12" w:space="0" w:color="auto"/>
            </w:tcBorders>
            <w:shd w:val="clear" w:color="auto" w:fill="auto"/>
            <w:noWrap/>
            <w:vAlign w:val="bottom"/>
            <w:hideMark/>
          </w:tcPr>
          <w:p w:rsidR="00606D2C" w:rsidRPr="002C70E1" w:rsidRDefault="00606D2C" w:rsidP="000F5C85">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1892" w:type="dxa"/>
            <w:tcBorders>
              <w:top w:val="single" w:sz="8" w:space="0" w:color="auto"/>
              <w:left w:val="nil"/>
            </w:tcBorders>
            <w:shd w:val="clear" w:color="auto" w:fill="auto"/>
            <w:noWrap/>
            <w:vAlign w:val="bottom"/>
          </w:tcPr>
          <w:p w:rsidR="00606D2C" w:rsidRPr="002C70E1" w:rsidRDefault="00606D2C" w:rsidP="000F5C85">
            <w:pPr>
              <w:spacing w:before="0" w:after="0"/>
              <w:jc w:val="right"/>
              <w:rPr>
                <w:rFonts w:eastAsia="Times New Roman" w:cs="Arial"/>
                <w:color w:val="000000"/>
                <w:sz w:val="20"/>
                <w:szCs w:val="24"/>
                <w:lang w:eastAsia="cs-CZ"/>
              </w:rPr>
            </w:pPr>
          </w:p>
        </w:tc>
        <w:tc>
          <w:tcPr>
            <w:tcW w:w="1736" w:type="dxa"/>
            <w:tcBorders>
              <w:top w:val="single" w:sz="8" w:space="0" w:color="auto"/>
              <w:right w:val="single" w:sz="12" w:space="0" w:color="auto"/>
            </w:tcBorders>
            <w:shd w:val="clear" w:color="auto" w:fill="auto"/>
            <w:noWrap/>
            <w:vAlign w:val="bottom"/>
          </w:tcPr>
          <w:p w:rsidR="00606D2C" w:rsidRPr="002C70E1" w:rsidRDefault="00606D2C" w:rsidP="000F5C85">
            <w:pPr>
              <w:spacing w:before="0" w:after="0"/>
              <w:jc w:val="right"/>
              <w:rPr>
                <w:rFonts w:eastAsia="Times New Roman" w:cs="Arial"/>
                <w:color w:val="000000"/>
                <w:sz w:val="20"/>
                <w:szCs w:val="24"/>
                <w:lang w:eastAsia="cs-CZ"/>
              </w:rPr>
            </w:pPr>
          </w:p>
        </w:tc>
        <w:tc>
          <w:tcPr>
            <w:tcW w:w="1624" w:type="dxa"/>
            <w:tcBorders>
              <w:top w:val="single" w:sz="12" w:space="0" w:color="auto"/>
              <w:left w:val="single" w:sz="12" w:space="0" w:color="auto"/>
              <w:bottom w:val="single" w:sz="12" w:space="0" w:color="auto"/>
            </w:tcBorders>
            <w:shd w:val="clear" w:color="auto" w:fill="auto"/>
            <w:noWrap/>
            <w:vAlign w:val="bottom"/>
          </w:tcPr>
          <w:p w:rsidR="00606D2C" w:rsidRPr="002C70E1" w:rsidRDefault="00606D2C" w:rsidP="000F5C85">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18" w:type="dxa"/>
            <w:tcBorders>
              <w:top w:val="single" w:sz="12" w:space="0" w:color="auto"/>
              <w:bottom w:val="single" w:sz="12" w:space="0" w:color="auto"/>
              <w:right w:val="single" w:sz="12" w:space="0" w:color="auto"/>
            </w:tcBorders>
            <w:shd w:val="clear" w:color="auto" w:fill="auto"/>
            <w:noWrap/>
            <w:vAlign w:val="bottom"/>
          </w:tcPr>
          <w:p w:rsidR="00606D2C" w:rsidRPr="002C70E1" w:rsidRDefault="00606D2C" w:rsidP="000F5C85">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L</w:t>
            </w:r>
          </w:p>
        </w:tc>
      </w:tr>
      <w:tr w:rsidR="00606D2C" w:rsidRPr="002C70E1" w:rsidTr="0016645B">
        <w:trPr>
          <w:trHeight w:val="129"/>
        </w:trPr>
        <w:tc>
          <w:tcPr>
            <w:tcW w:w="719"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606D2C" w:rsidRPr="002C70E1" w:rsidRDefault="00606D2C" w:rsidP="000F5C85">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Podpora flexibilního zaměstnávání</w:t>
            </w:r>
          </w:p>
        </w:tc>
        <w:tc>
          <w:tcPr>
            <w:tcW w:w="2935" w:type="dxa"/>
            <w:gridSpan w:val="5"/>
            <w:tcBorders>
              <w:top w:val="single" w:sz="8" w:space="0" w:color="auto"/>
              <w:left w:val="nil"/>
            </w:tcBorders>
            <w:shd w:val="clear" w:color="auto" w:fill="auto"/>
            <w:noWrap/>
            <w:vAlign w:val="bottom"/>
          </w:tcPr>
          <w:p w:rsidR="00606D2C" w:rsidRPr="002C70E1" w:rsidRDefault="00606D2C" w:rsidP="000F5C85">
            <w:pPr>
              <w:spacing w:before="0" w:after="0"/>
              <w:jc w:val="right"/>
              <w:rPr>
                <w:rFonts w:eastAsia="Times New Roman" w:cs="Arial"/>
                <w:b/>
                <w:bCs/>
                <w:color w:val="000000"/>
                <w:sz w:val="20"/>
                <w:szCs w:val="24"/>
                <w:lang w:eastAsia="cs-CZ"/>
              </w:rPr>
            </w:pPr>
          </w:p>
        </w:tc>
        <w:tc>
          <w:tcPr>
            <w:tcW w:w="1145" w:type="dxa"/>
            <w:tcBorders>
              <w:top w:val="single" w:sz="8" w:space="0" w:color="auto"/>
            </w:tcBorders>
            <w:shd w:val="clear" w:color="auto" w:fill="auto"/>
            <w:noWrap/>
            <w:vAlign w:val="bottom"/>
          </w:tcPr>
          <w:p w:rsidR="00606D2C" w:rsidRPr="002C70E1" w:rsidRDefault="00606D2C" w:rsidP="000F5C85">
            <w:pPr>
              <w:spacing w:before="0" w:after="0"/>
              <w:jc w:val="center"/>
              <w:rPr>
                <w:rFonts w:eastAsia="Times New Roman" w:cs="Arial"/>
                <w:b/>
                <w:bCs/>
                <w:color w:val="000000"/>
                <w:sz w:val="20"/>
                <w:szCs w:val="24"/>
                <w:lang w:eastAsia="cs-CZ"/>
              </w:rPr>
            </w:pPr>
          </w:p>
        </w:tc>
        <w:tc>
          <w:tcPr>
            <w:tcW w:w="4656" w:type="dxa"/>
            <w:gridSpan w:val="3"/>
            <w:shd w:val="clear" w:color="auto" w:fill="auto"/>
            <w:noWrap/>
            <w:vAlign w:val="center"/>
            <w:hideMark/>
          </w:tcPr>
          <w:p w:rsidR="00606D2C" w:rsidRPr="002C70E1" w:rsidRDefault="00606D2C" w:rsidP="000F5C85">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24" w:type="dxa"/>
            <w:tcBorders>
              <w:top w:val="single" w:sz="12" w:space="0" w:color="auto"/>
            </w:tcBorders>
            <w:shd w:val="clear" w:color="auto" w:fill="auto"/>
            <w:noWrap/>
            <w:vAlign w:val="center"/>
          </w:tcPr>
          <w:p w:rsidR="00606D2C" w:rsidRPr="002C70E1" w:rsidRDefault="00606D2C" w:rsidP="000F5C85">
            <w:pPr>
              <w:spacing w:before="0" w:after="0"/>
              <w:jc w:val="center"/>
              <w:rPr>
                <w:rFonts w:eastAsia="Times New Roman" w:cs="Arial"/>
                <w:b/>
                <w:bCs/>
                <w:color w:val="000000"/>
                <w:sz w:val="20"/>
                <w:szCs w:val="24"/>
                <w:u w:val="single"/>
                <w:lang w:eastAsia="cs-CZ"/>
              </w:rPr>
            </w:pPr>
          </w:p>
        </w:tc>
        <w:tc>
          <w:tcPr>
            <w:tcW w:w="3018" w:type="dxa"/>
            <w:tcBorders>
              <w:top w:val="single" w:sz="12" w:space="0" w:color="auto"/>
              <w:right w:val="single" w:sz="8" w:space="0" w:color="auto"/>
            </w:tcBorders>
            <w:shd w:val="clear" w:color="auto" w:fill="auto"/>
            <w:noWrap/>
            <w:vAlign w:val="center"/>
          </w:tcPr>
          <w:p w:rsidR="00606D2C" w:rsidRPr="002C70E1" w:rsidRDefault="00606D2C" w:rsidP="000F5C85">
            <w:pPr>
              <w:spacing w:before="0" w:after="0"/>
              <w:jc w:val="center"/>
              <w:rPr>
                <w:rFonts w:eastAsia="Times New Roman" w:cs="Arial"/>
                <w:b/>
                <w:bCs/>
                <w:color w:val="000000"/>
                <w:sz w:val="20"/>
                <w:szCs w:val="24"/>
                <w:u w:val="single"/>
                <w:lang w:eastAsia="cs-CZ"/>
              </w:rPr>
            </w:pPr>
          </w:p>
        </w:tc>
      </w:tr>
      <w:tr w:rsidR="00606D2C" w:rsidRPr="002C70E1" w:rsidTr="0016645B">
        <w:trPr>
          <w:trHeight w:val="285"/>
        </w:trPr>
        <w:tc>
          <w:tcPr>
            <w:tcW w:w="719"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0F5C85">
            <w:pPr>
              <w:spacing w:before="0" w:after="0"/>
              <w:jc w:val="left"/>
              <w:rPr>
                <w:rFonts w:eastAsia="Times New Roman" w:cs="Arial"/>
                <w:b/>
                <w:bCs/>
                <w:color w:val="000000"/>
                <w:sz w:val="20"/>
                <w:szCs w:val="24"/>
                <w:lang w:eastAsia="cs-CZ"/>
              </w:rPr>
            </w:pPr>
          </w:p>
        </w:tc>
        <w:tc>
          <w:tcPr>
            <w:tcW w:w="13378" w:type="dxa"/>
            <w:gridSpan w:val="11"/>
            <w:tcBorders>
              <w:left w:val="nil"/>
              <w:bottom w:val="double" w:sz="6" w:space="0" w:color="auto"/>
              <w:right w:val="single" w:sz="8" w:space="0" w:color="000000"/>
            </w:tcBorders>
            <w:shd w:val="clear" w:color="auto" w:fill="auto"/>
            <w:hideMark/>
          </w:tcPr>
          <w:p w:rsidR="00606D2C" w:rsidRPr="002C70E1" w:rsidRDefault="00606D2C" w:rsidP="000F5C85">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Odstraňování bariér (objektivních i subjektivních) bránících využívání flexibilního zaměstnávání, které svojí povahou nebude zaměstnáváním prekérním.</w:t>
            </w:r>
          </w:p>
        </w:tc>
      </w:tr>
      <w:tr w:rsidR="00606D2C" w:rsidRPr="002C70E1" w:rsidTr="00820FB7">
        <w:trPr>
          <w:trHeight w:val="285"/>
        </w:trPr>
        <w:tc>
          <w:tcPr>
            <w:tcW w:w="719"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0F5C85">
            <w:pPr>
              <w:spacing w:before="0" w:after="0"/>
              <w:jc w:val="left"/>
              <w:rPr>
                <w:rFonts w:eastAsia="Times New Roman" w:cs="Arial"/>
                <w:b/>
                <w:bCs/>
                <w:color w:val="000000"/>
                <w:sz w:val="20"/>
                <w:szCs w:val="24"/>
                <w:lang w:eastAsia="cs-CZ"/>
              </w:rPr>
            </w:pPr>
          </w:p>
        </w:tc>
        <w:tc>
          <w:tcPr>
            <w:tcW w:w="580" w:type="dxa"/>
            <w:tcBorders>
              <w:top w:val="double" w:sz="6" w:space="0" w:color="auto"/>
              <w:left w:val="single" w:sz="12" w:space="0" w:color="auto"/>
              <w:bottom w:val="double" w:sz="6" w:space="0" w:color="auto"/>
            </w:tcBorders>
            <w:shd w:val="clear" w:color="000000" w:fill="F2DCDB"/>
            <w:noWrap/>
            <w:vAlign w:val="bottom"/>
            <w:hideMark/>
          </w:tcPr>
          <w:p w:rsidR="00606D2C" w:rsidRPr="002C70E1" w:rsidRDefault="00606D2C" w:rsidP="000F5C85">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500" w:type="dxa"/>
            <w:gridSpan w:val="5"/>
            <w:tcBorders>
              <w:top w:val="double" w:sz="6" w:space="0" w:color="auto"/>
              <w:bottom w:val="double" w:sz="6" w:space="0" w:color="auto"/>
              <w:right w:val="double" w:sz="6" w:space="0" w:color="auto"/>
            </w:tcBorders>
            <w:shd w:val="clear" w:color="000000" w:fill="E6B8B7"/>
            <w:vAlign w:val="bottom"/>
            <w:hideMark/>
          </w:tcPr>
          <w:p w:rsidR="00606D2C" w:rsidRPr="002C70E1" w:rsidRDefault="00606D2C" w:rsidP="000F5C85">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Řešeno</w:t>
            </w:r>
          </w:p>
        </w:tc>
        <w:tc>
          <w:tcPr>
            <w:tcW w:w="4656" w:type="dxa"/>
            <w:gridSpan w:val="3"/>
            <w:tcBorders>
              <w:top w:val="double" w:sz="6" w:space="0" w:color="auto"/>
              <w:left w:val="double" w:sz="6" w:space="0" w:color="auto"/>
            </w:tcBorders>
            <w:shd w:val="clear" w:color="auto" w:fill="auto"/>
            <w:vAlign w:val="center"/>
            <w:hideMark/>
          </w:tcPr>
          <w:p w:rsidR="00606D2C" w:rsidRPr="002C70E1" w:rsidRDefault="00606D2C" w:rsidP="000F5C85">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24" w:type="dxa"/>
            <w:tcBorders>
              <w:top w:val="nil"/>
            </w:tcBorders>
            <w:shd w:val="clear" w:color="auto" w:fill="auto"/>
            <w:vAlign w:val="center"/>
          </w:tcPr>
          <w:p w:rsidR="00606D2C" w:rsidRPr="002C70E1" w:rsidRDefault="00606D2C" w:rsidP="000F5C85">
            <w:pPr>
              <w:spacing w:before="0" w:after="0"/>
              <w:jc w:val="right"/>
              <w:rPr>
                <w:rFonts w:eastAsia="Times New Roman" w:cs="Arial"/>
                <w:color w:val="000000"/>
                <w:sz w:val="20"/>
                <w:szCs w:val="24"/>
                <w:lang w:eastAsia="cs-CZ"/>
              </w:rPr>
            </w:pPr>
          </w:p>
        </w:tc>
        <w:tc>
          <w:tcPr>
            <w:tcW w:w="3018" w:type="dxa"/>
            <w:tcBorders>
              <w:top w:val="nil"/>
              <w:right w:val="single" w:sz="8" w:space="0" w:color="auto"/>
            </w:tcBorders>
            <w:shd w:val="clear" w:color="auto" w:fill="auto"/>
            <w:vAlign w:val="center"/>
          </w:tcPr>
          <w:p w:rsidR="00606D2C" w:rsidRPr="002C70E1" w:rsidRDefault="00606D2C" w:rsidP="000F5C85">
            <w:pPr>
              <w:spacing w:before="0" w:after="0"/>
              <w:jc w:val="center"/>
              <w:rPr>
                <w:rFonts w:eastAsia="Times New Roman" w:cs="Arial"/>
                <w:b/>
                <w:bCs/>
                <w:color w:val="000000"/>
                <w:sz w:val="20"/>
                <w:szCs w:val="24"/>
                <w:u w:val="single"/>
                <w:lang w:eastAsia="cs-CZ"/>
              </w:rPr>
            </w:pPr>
          </w:p>
        </w:tc>
      </w:tr>
      <w:tr w:rsidR="00606D2C" w:rsidRPr="002C70E1" w:rsidTr="00820FB7">
        <w:trPr>
          <w:trHeight w:val="1218"/>
        </w:trPr>
        <w:tc>
          <w:tcPr>
            <w:tcW w:w="719"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0F5C85">
            <w:pPr>
              <w:spacing w:before="0" w:after="0"/>
              <w:jc w:val="left"/>
              <w:rPr>
                <w:rFonts w:eastAsia="Times New Roman" w:cs="Arial"/>
                <w:b/>
                <w:bCs/>
                <w:color w:val="000000"/>
                <w:sz w:val="20"/>
                <w:szCs w:val="24"/>
                <w:lang w:eastAsia="cs-CZ"/>
              </w:rPr>
            </w:pPr>
          </w:p>
        </w:tc>
        <w:tc>
          <w:tcPr>
            <w:tcW w:w="580" w:type="dxa"/>
            <w:tcBorders>
              <w:top w:val="nil"/>
              <w:left w:val="nil"/>
              <w:bottom w:val="nil"/>
              <w:right w:val="single" w:sz="4" w:space="0" w:color="auto"/>
            </w:tcBorders>
            <w:shd w:val="clear" w:color="auto" w:fill="auto"/>
            <w:textDirection w:val="btLr"/>
            <w:vAlign w:val="center"/>
            <w:hideMark/>
          </w:tcPr>
          <w:p w:rsidR="00606D2C" w:rsidRPr="002C70E1" w:rsidRDefault="00606D2C" w:rsidP="000F5C85">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minulé</w:t>
            </w:r>
          </w:p>
        </w:tc>
        <w:tc>
          <w:tcPr>
            <w:tcW w:w="12798" w:type="dxa"/>
            <w:gridSpan w:val="10"/>
            <w:tcBorders>
              <w:top w:val="nil"/>
              <w:left w:val="nil"/>
              <w:bottom w:val="nil"/>
              <w:right w:val="single" w:sz="8" w:space="0" w:color="000000"/>
            </w:tcBorders>
            <w:shd w:val="clear" w:color="auto" w:fill="auto"/>
            <w:hideMark/>
          </w:tcPr>
          <w:p w:rsidR="00606D2C" w:rsidRPr="002C70E1" w:rsidRDefault="00606D2C" w:rsidP="000F5C85">
            <w:pPr>
              <w:spacing w:before="0" w:after="0"/>
              <w:rPr>
                <w:rFonts w:eastAsia="Times New Roman" w:cs="Arial"/>
                <w:color w:val="000000"/>
                <w:sz w:val="20"/>
                <w:szCs w:val="24"/>
                <w:lang w:eastAsia="cs-CZ"/>
              </w:rPr>
            </w:pPr>
            <w:r w:rsidRPr="004E56CF">
              <w:rPr>
                <w:rFonts w:eastAsia="Times New Roman" w:cs="Arial"/>
                <w:sz w:val="20"/>
                <w:szCs w:val="24"/>
                <w:lang w:eastAsia="cs-CZ"/>
              </w:rPr>
              <w:t>Projednávání návrhu novely zákona č. 262/2006 Sb., zákoníku práce, ve znění pozdějších předpisů, sněmovní tisk č. 903 7. volebního období (2013-2017) bylo na 57. schůzi přerušeno usnesením č. 1701 ze dne 7. 6. 2017. V rámci nástrojů APZ je podporováno vytváření zkrácených pracovních úvazků a to formou zvýšeného mzdového příspěvku v případě, kdy zaměstnavatel na jednom pracovním místě zaměstná namísto jednoho uchazeče o zaměstnání na plný úvazek dva uchazeče o zaměstnání na kratší pracovní dobu. V roce 2016 bylo takto podpořeno 3 233.</w:t>
            </w:r>
          </w:p>
        </w:tc>
      </w:tr>
      <w:tr w:rsidR="00606D2C" w:rsidRPr="002C70E1" w:rsidTr="00820FB7">
        <w:trPr>
          <w:trHeight w:val="1380"/>
        </w:trPr>
        <w:tc>
          <w:tcPr>
            <w:tcW w:w="719"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0F5C85">
            <w:pPr>
              <w:spacing w:before="0" w:after="0"/>
              <w:jc w:val="left"/>
              <w:rPr>
                <w:rFonts w:eastAsia="Times New Roman" w:cs="Arial"/>
                <w:b/>
                <w:bCs/>
                <w:color w:val="000000"/>
                <w:sz w:val="20"/>
                <w:szCs w:val="24"/>
                <w:lang w:eastAsia="cs-CZ"/>
              </w:rPr>
            </w:pPr>
          </w:p>
        </w:tc>
        <w:tc>
          <w:tcPr>
            <w:tcW w:w="580" w:type="dxa"/>
            <w:tcBorders>
              <w:top w:val="single" w:sz="4" w:space="0" w:color="auto"/>
              <w:left w:val="nil"/>
              <w:bottom w:val="single" w:sz="8" w:space="0" w:color="auto"/>
              <w:right w:val="single" w:sz="4" w:space="0" w:color="auto"/>
            </w:tcBorders>
            <w:shd w:val="clear" w:color="auto" w:fill="auto"/>
            <w:textDirection w:val="btLr"/>
            <w:vAlign w:val="center"/>
            <w:hideMark/>
          </w:tcPr>
          <w:p w:rsidR="00606D2C" w:rsidRPr="002C70E1" w:rsidRDefault="00606D2C" w:rsidP="000F5C85">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 xml:space="preserve">sledované </w:t>
            </w:r>
          </w:p>
        </w:tc>
        <w:tc>
          <w:tcPr>
            <w:tcW w:w="12798" w:type="dxa"/>
            <w:gridSpan w:val="10"/>
            <w:tcBorders>
              <w:top w:val="single" w:sz="4" w:space="0" w:color="auto"/>
              <w:left w:val="nil"/>
              <w:bottom w:val="single" w:sz="8" w:space="0" w:color="auto"/>
              <w:right w:val="single" w:sz="8" w:space="0" w:color="000000"/>
            </w:tcBorders>
            <w:shd w:val="clear" w:color="auto" w:fill="auto"/>
          </w:tcPr>
          <w:p w:rsidR="00606D2C" w:rsidRPr="002C70E1" w:rsidRDefault="00606D2C" w:rsidP="00D80954">
            <w:pPr>
              <w:spacing w:before="0" w:after="0"/>
              <w:rPr>
                <w:rFonts w:eastAsia="Times New Roman" w:cs="Arial"/>
                <w:color w:val="000000"/>
                <w:sz w:val="20"/>
                <w:szCs w:val="24"/>
                <w:lang w:eastAsia="cs-CZ"/>
              </w:rPr>
            </w:pPr>
            <w:r w:rsidRPr="0075662D">
              <w:rPr>
                <w:rFonts w:eastAsia="Times New Roman" w:cs="Arial"/>
                <w:sz w:val="20"/>
                <w:szCs w:val="24"/>
                <w:lang w:eastAsia="cs-CZ"/>
              </w:rPr>
              <w:t>Vytváření zkrácených pracovních úvazků pro uchazeče o zaměstnání, zejména tedy pro osoby pečující o dítě či jinou závislou osobu, popřípadě osoby starší, jsou na úseku zaměstnanosti podporovány prostřednictvím parametrického nastavení příspěvků APZ na podporu vytvář</w:t>
            </w:r>
            <w:r w:rsidR="00551CC6">
              <w:rPr>
                <w:rFonts w:eastAsia="Times New Roman" w:cs="Arial"/>
                <w:sz w:val="20"/>
                <w:szCs w:val="24"/>
                <w:lang w:eastAsia="cs-CZ"/>
              </w:rPr>
              <w:t>ení pracovních míst – VPP a SÚ</w:t>
            </w:r>
            <w:r w:rsidRPr="0075662D">
              <w:rPr>
                <w:rFonts w:eastAsia="Times New Roman" w:cs="Arial"/>
                <w:sz w:val="20"/>
                <w:szCs w:val="24"/>
                <w:lang w:eastAsia="cs-CZ"/>
              </w:rPr>
              <w:t>PM. Zaměstnavatel, který na takto vytvořené či vyhrazené praco</w:t>
            </w:r>
            <w:r w:rsidR="00820FB7">
              <w:rPr>
                <w:rFonts w:eastAsia="Times New Roman" w:cs="Arial"/>
                <w:sz w:val="20"/>
                <w:szCs w:val="24"/>
                <w:lang w:eastAsia="cs-CZ"/>
              </w:rPr>
              <w:t>vní místo umístí dva uchazeče o </w:t>
            </w:r>
            <w:r w:rsidRPr="0075662D">
              <w:rPr>
                <w:rFonts w:eastAsia="Times New Roman" w:cs="Arial"/>
                <w:sz w:val="20"/>
                <w:szCs w:val="24"/>
                <w:lang w:eastAsia="cs-CZ"/>
              </w:rPr>
              <w:t>zaměstnání na zkrácený pracovní úvazek, může v součtu obdržet vyšší mzdový příspěvek, než kdyby na takovéto místo umístil jednoho uchazeče o zaměstn</w:t>
            </w:r>
            <w:r w:rsidR="00551CC6">
              <w:rPr>
                <w:rFonts w:eastAsia="Times New Roman" w:cs="Arial"/>
                <w:sz w:val="20"/>
                <w:szCs w:val="24"/>
                <w:lang w:eastAsia="cs-CZ"/>
              </w:rPr>
              <w:t>ání. Tzn. v případě, je-li na SÚ</w:t>
            </w:r>
            <w:r w:rsidRPr="0075662D">
              <w:rPr>
                <w:rFonts w:eastAsia="Times New Roman" w:cs="Arial"/>
                <w:sz w:val="20"/>
                <w:szCs w:val="24"/>
                <w:lang w:eastAsia="cs-CZ"/>
              </w:rPr>
              <w:t>PM zaměstnána jedna osoba činí max. výše mzdového příspěvku 13 000 Kč, budou-li však na takovémto místě zaměstnány dvě osoby (uchazeči o zaměstnání) na poloviční úvazek obdrží zaměstnavate</w:t>
            </w:r>
            <w:r w:rsidR="00820FB7">
              <w:rPr>
                <w:rFonts w:eastAsia="Times New Roman" w:cs="Arial"/>
                <w:sz w:val="20"/>
                <w:szCs w:val="24"/>
                <w:lang w:eastAsia="cs-CZ"/>
              </w:rPr>
              <w:t>l 2 x 9 750 Kč, tj. v součtu 19 </w:t>
            </w:r>
            <w:r w:rsidRPr="0075662D">
              <w:rPr>
                <w:rFonts w:eastAsia="Times New Roman" w:cs="Arial"/>
                <w:sz w:val="20"/>
                <w:szCs w:val="24"/>
                <w:lang w:eastAsia="cs-CZ"/>
              </w:rPr>
              <w:t>500 Kč měsíčně. V roce 2017 bylo takto podpořeno 3 3</w:t>
            </w:r>
            <w:r w:rsidR="00D80954">
              <w:rPr>
                <w:rFonts w:eastAsia="Times New Roman" w:cs="Arial"/>
                <w:sz w:val="20"/>
                <w:szCs w:val="24"/>
                <w:lang w:eastAsia="cs-CZ"/>
              </w:rPr>
              <w:t>00</w:t>
            </w:r>
            <w:r w:rsidRPr="0075662D">
              <w:rPr>
                <w:rFonts w:eastAsia="Times New Roman" w:cs="Arial"/>
                <w:sz w:val="20"/>
                <w:szCs w:val="24"/>
                <w:lang w:eastAsia="cs-CZ"/>
              </w:rPr>
              <w:t xml:space="preserve"> osob</w:t>
            </w:r>
            <w:r w:rsidR="00D80954">
              <w:rPr>
                <w:rFonts w:eastAsia="Times New Roman" w:cs="Arial"/>
                <w:sz w:val="20"/>
                <w:szCs w:val="24"/>
                <w:lang w:eastAsia="cs-CZ"/>
              </w:rPr>
              <w:t xml:space="preserve"> (v rámci všech nástrojů)</w:t>
            </w:r>
            <w:r>
              <w:rPr>
                <w:rFonts w:eastAsia="Times New Roman" w:cs="Arial"/>
                <w:sz w:val="20"/>
                <w:szCs w:val="24"/>
                <w:lang w:eastAsia="cs-CZ"/>
              </w:rPr>
              <w:t>. N</w:t>
            </w:r>
            <w:r w:rsidRPr="00B14E87">
              <w:rPr>
                <w:rFonts w:eastAsia="Times New Roman" w:cs="Arial"/>
                <w:sz w:val="20"/>
                <w:szCs w:val="24"/>
                <w:lang w:eastAsia="cs-CZ"/>
              </w:rPr>
              <w:t xml:space="preserve">ovelou zákona o zaměstnanosti pod č. 206/2017 Sb. došlo k prodloužení maximální doby poskytování příspěvku na vyhrazení jednoho </w:t>
            </w:r>
            <w:r w:rsidR="00D80954">
              <w:rPr>
                <w:rFonts w:eastAsia="Times New Roman" w:cs="Arial"/>
                <w:sz w:val="20"/>
                <w:szCs w:val="24"/>
                <w:lang w:eastAsia="cs-CZ"/>
              </w:rPr>
              <w:t>SÚPM</w:t>
            </w:r>
            <w:r w:rsidRPr="00B14E87">
              <w:rPr>
                <w:rFonts w:eastAsia="Times New Roman" w:cs="Arial"/>
                <w:sz w:val="20"/>
                <w:szCs w:val="24"/>
                <w:lang w:eastAsia="cs-CZ"/>
              </w:rPr>
              <w:t xml:space="preserve"> z 12 na 24 měsíců</w:t>
            </w:r>
            <w:r>
              <w:rPr>
                <w:rFonts w:eastAsia="Times New Roman" w:cs="Arial"/>
                <w:sz w:val="20"/>
                <w:szCs w:val="24"/>
                <w:lang w:eastAsia="cs-CZ"/>
              </w:rPr>
              <w:t>.</w:t>
            </w:r>
          </w:p>
        </w:tc>
      </w:tr>
      <w:tr w:rsidR="00606D2C" w:rsidRPr="002C70E1" w:rsidTr="0016645B">
        <w:trPr>
          <w:trHeight w:val="270"/>
        </w:trPr>
        <w:tc>
          <w:tcPr>
            <w:tcW w:w="719" w:type="dxa"/>
            <w:tcBorders>
              <w:top w:val="nil"/>
              <w:left w:val="nil"/>
              <w:bottom w:val="nil"/>
              <w:right w:val="nil"/>
            </w:tcBorders>
            <w:shd w:val="clear" w:color="auto" w:fill="auto"/>
            <w:noWrap/>
            <w:vAlign w:val="bottom"/>
            <w:hideMark/>
          </w:tcPr>
          <w:p w:rsidR="00606D2C" w:rsidRPr="002C70E1" w:rsidRDefault="00606D2C" w:rsidP="000F5C85">
            <w:pPr>
              <w:spacing w:before="0" w:after="0"/>
              <w:jc w:val="left"/>
              <w:rPr>
                <w:rFonts w:eastAsia="Times New Roman" w:cs="Arial"/>
                <w:color w:val="000000"/>
                <w:sz w:val="20"/>
                <w:szCs w:val="24"/>
                <w:lang w:eastAsia="cs-CZ"/>
              </w:rPr>
            </w:pPr>
          </w:p>
        </w:tc>
        <w:tc>
          <w:tcPr>
            <w:tcW w:w="722" w:type="dxa"/>
            <w:gridSpan w:val="3"/>
            <w:tcBorders>
              <w:top w:val="nil"/>
              <w:left w:val="nil"/>
              <w:bottom w:val="single" w:sz="12" w:space="0" w:color="auto"/>
              <w:right w:val="nil"/>
            </w:tcBorders>
            <w:shd w:val="clear" w:color="auto" w:fill="auto"/>
            <w:noWrap/>
            <w:vAlign w:val="bottom"/>
            <w:hideMark/>
          </w:tcPr>
          <w:p w:rsidR="00606D2C" w:rsidRPr="002C70E1" w:rsidRDefault="00606D2C" w:rsidP="000F5C85">
            <w:pPr>
              <w:spacing w:before="0" w:after="0"/>
              <w:jc w:val="left"/>
              <w:rPr>
                <w:rFonts w:eastAsia="Times New Roman" w:cs="Arial"/>
                <w:color w:val="000000"/>
                <w:sz w:val="20"/>
                <w:szCs w:val="24"/>
                <w:lang w:eastAsia="cs-CZ"/>
              </w:rPr>
            </w:pPr>
          </w:p>
        </w:tc>
        <w:tc>
          <w:tcPr>
            <w:tcW w:w="2213" w:type="dxa"/>
            <w:gridSpan w:val="2"/>
            <w:tcBorders>
              <w:top w:val="nil"/>
              <w:left w:val="nil"/>
              <w:bottom w:val="single" w:sz="12" w:space="0" w:color="auto"/>
              <w:right w:val="nil"/>
            </w:tcBorders>
            <w:shd w:val="clear" w:color="auto" w:fill="auto"/>
            <w:noWrap/>
            <w:vAlign w:val="bottom"/>
            <w:hideMark/>
          </w:tcPr>
          <w:p w:rsidR="00606D2C" w:rsidRPr="002C70E1" w:rsidRDefault="00606D2C" w:rsidP="000F5C85">
            <w:pPr>
              <w:spacing w:before="0" w:after="0"/>
              <w:jc w:val="left"/>
              <w:rPr>
                <w:rFonts w:eastAsia="Times New Roman" w:cs="Arial"/>
                <w:color w:val="000000"/>
                <w:sz w:val="20"/>
                <w:szCs w:val="24"/>
                <w:lang w:eastAsia="cs-CZ"/>
              </w:rPr>
            </w:pPr>
          </w:p>
        </w:tc>
        <w:tc>
          <w:tcPr>
            <w:tcW w:w="1145" w:type="dxa"/>
            <w:tcBorders>
              <w:top w:val="nil"/>
              <w:left w:val="nil"/>
              <w:bottom w:val="single" w:sz="12" w:space="0" w:color="auto"/>
              <w:right w:val="nil"/>
            </w:tcBorders>
            <w:shd w:val="clear" w:color="auto" w:fill="auto"/>
            <w:noWrap/>
            <w:vAlign w:val="bottom"/>
            <w:hideMark/>
          </w:tcPr>
          <w:p w:rsidR="00606D2C" w:rsidRPr="002C70E1" w:rsidRDefault="00606D2C" w:rsidP="000F5C85">
            <w:pPr>
              <w:spacing w:before="0" w:after="0"/>
              <w:jc w:val="left"/>
              <w:rPr>
                <w:rFonts w:eastAsia="Times New Roman" w:cs="Arial"/>
                <w:color w:val="000000"/>
                <w:sz w:val="20"/>
                <w:szCs w:val="24"/>
                <w:lang w:eastAsia="cs-CZ"/>
              </w:rPr>
            </w:pPr>
          </w:p>
        </w:tc>
        <w:tc>
          <w:tcPr>
            <w:tcW w:w="1028" w:type="dxa"/>
            <w:tcBorders>
              <w:top w:val="nil"/>
              <w:left w:val="nil"/>
              <w:bottom w:val="single" w:sz="12" w:space="0" w:color="auto"/>
              <w:right w:val="nil"/>
            </w:tcBorders>
            <w:shd w:val="clear" w:color="auto" w:fill="auto"/>
            <w:noWrap/>
            <w:vAlign w:val="bottom"/>
            <w:hideMark/>
          </w:tcPr>
          <w:p w:rsidR="00606D2C" w:rsidRPr="002C70E1" w:rsidRDefault="00606D2C" w:rsidP="000F5C85">
            <w:pPr>
              <w:spacing w:before="0" w:after="0"/>
              <w:jc w:val="left"/>
              <w:rPr>
                <w:rFonts w:eastAsia="Times New Roman" w:cs="Arial"/>
                <w:color w:val="000000"/>
                <w:sz w:val="20"/>
                <w:szCs w:val="24"/>
                <w:lang w:eastAsia="cs-CZ"/>
              </w:rPr>
            </w:pPr>
          </w:p>
        </w:tc>
        <w:tc>
          <w:tcPr>
            <w:tcW w:w="1892" w:type="dxa"/>
            <w:tcBorders>
              <w:top w:val="nil"/>
              <w:left w:val="nil"/>
              <w:bottom w:val="single" w:sz="8" w:space="0" w:color="auto"/>
              <w:right w:val="nil"/>
            </w:tcBorders>
            <w:shd w:val="clear" w:color="auto" w:fill="auto"/>
            <w:noWrap/>
            <w:vAlign w:val="bottom"/>
            <w:hideMark/>
          </w:tcPr>
          <w:p w:rsidR="00606D2C" w:rsidRPr="002C70E1" w:rsidRDefault="00606D2C" w:rsidP="000F5C85">
            <w:pPr>
              <w:spacing w:before="0" w:after="0"/>
              <w:jc w:val="left"/>
              <w:rPr>
                <w:rFonts w:eastAsia="Times New Roman" w:cs="Arial"/>
                <w:color w:val="000000"/>
                <w:sz w:val="20"/>
                <w:szCs w:val="24"/>
                <w:lang w:eastAsia="cs-CZ"/>
              </w:rPr>
            </w:pPr>
          </w:p>
        </w:tc>
        <w:tc>
          <w:tcPr>
            <w:tcW w:w="1736" w:type="dxa"/>
            <w:tcBorders>
              <w:top w:val="nil"/>
              <w:left w:val="nil"/>
              <w:bottom w:val="single" w:sz="8" w:space="0" w:color="auto"/>
              <w:right w:val="nil"/>
            </w:tcBorders>
            <w:shd w:val="clear" w:color="auto" w:fill="auto"/>
            <w:noWrap/>
            <w:vAlign w:val="bottom"/>
            <w:hideMark/>
          </w:tcPr>
          <w:p w:rsidR="00606D2C" w:rsidRPr="002C70E1" w:rsidRDefault="00606D2C" w:rsidP="000F5C85">
            <w:pPr>
              <w:spacing w:before="0" w:after="0"/>
              <w:jc w:val="left"/>
              <w:rPr>
                <w:rFonts w:eastAsia="Times New Roman" w:cs="Arial"/>
                <w:color w:val="000000"/>
                <w:sz w:val="20"/>
                <w:szCs w:val="24"/>
                <w:lang w:eastAsia="cs-CZ"/>
              </w:rPr>
            </w:pPr>
          </w:p>
        </w:tc>
        <w:tc>
          <w:tcPr>
            <w:tcW w:w="1624" w:type="dxa"/>
            <w:tcBorders>
              <w:top w:val="nil"/>
              <w:left w:val="nil"/>
              <w:bottom w:val="single" w:sz="12" w:space="0" w:color="auto"/>
              <w:right w:val="nil"/>
            </w:tcBorders>
            <w:shd w:val="clear" w:color="auto" w:fill="auto"/>
            <w:noWrap/>
            <w:vAlign w:val="bottom"/>
            <w:hideMark/>
          </w:tcPr>
          <w:p w:rsidR="00606D2C" w:rsidRPr="002C70E1" w:rsidRDefault="00606D2C" w:rsidP="000F5C85">
            <w:pPr>
              <w:spacing w:before="0" w:after="0"/>
              <w:jc w:val="left"/>
              <w:rPr>
                <w:rFonts w:eastAsia="Times New Roman" w:cs="Arial"/>
                <w:color w:val="000000"/>
                <w:sz w:val="20"/>
                <w:szCs w:val="24"/>
                <w:lang w:eastAsia="cs-CZ"/>
              </w:rPr>
            </w:pPr>
          </w:p>
        </w:tc>
        <w:tc>
          <w:tcPr>
            <w:tcW w:w="3018" w:type="dxa"/>
            <w:tcBorders>
              <w:top w:val="nil"/>
              <w:left w:val="nil"/>
              <w:bottom w:val="single" w:sz="12" w:space="0" w:color="auto"/>
              <w:right w:val="nil"/>
            </w:tcBorders>
            <w:shd w:val="clear" w:color="auto" w:fill="auto"/>
            <w:noWrap/>
            <w:vAlign w:val="bottom"/>
            <w:hideMark/>
          </w:tcPr>
          <w:p w:rsidR="00606D2C" w:rsidRPr="002C70E1" w:rsidRDefault="00606D2C" w:rsidP="000F5C85">
            <w:pPr>
              <w:spacing w:before="0" w:after="0"/>
              <w:jc w:val="left"/>
              <w:rPr>
                <w:rFonts w:eastAsia="Times New Roman" w:cs="Arial"/>
                <w:color w:val="000000"/>
                <w:sz w:val="20"/>
                <w:szCs w:val="24"/>
                <w:lang w:eastAsia="cs-CZ"/>
              </w:rPr>
            </w:pPr>
          </w:p>
        </w:tc>
      </w:tr>
      <w:tr w:rsidR="00606D2C" w:rsidRPr="002C70E1" w:rsidTr="0016645B">
        <w:trPr>
          <w:trHeight w:val="285"/>
        </w:trPr>
        <w:tc>
          <w:tcPr>
            <w:tcW w:w="719" w:type="dxa"/>
            <w:tcBorders>
              <w:top w:val="single" w:sz="8" w:space="0" w:color="auto"/>
              <w:left w:val="single" w:sz="8" w:space="0" w:color="auto"/>
              <w:bottom w:val="single" w:sz="4" w:space="0" w:color="auto"/>
              <w:right w:val="single" w:sz="12" w:space="0" w:color="auto"/>
            </w:tcBorders>
            <w:shd w:val="clear" w:color="000000" w:fill="DCE6F1"/>
            <w:noWrap/>
            <w:vAlign w:val="bottom"/>
            <w:hideMark/>
          </w:tcPr>
          <w:p w:rsidR="00606D2C" w:rsidRPr="002C70E1" w:rsidRDefault="00606D2C" w:rsidP="000F5C85">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1.6b</w:t>
            </w:r>
          </w:p>
        </w:tc>
        <w:tc>
          <w:tcPr>
            <w:tcW w:w="722" w:type="dxa"/>
            <w:gridSpan w:val="3"/>
            <w:tcBorders>
              <w:top w:val="single" w:sz="12" w:space="0" w:color="auto"/>
              <w:left w:val="single" w:sz="12" w:space="0" w:color="auto"/>
              <w:bottom w:val="single" w:sz="12" w:space="0" w:color="auto"/>
              <w:right w:val="nil"/>
            </w:tcBorders>
            <w:shd w:val="clear" w:color="auto" w:fill="auto"/>
            <w:noWrap/>
            <w:vAlign w:val="bottom"/>
            <w:hideMark/>
          </w:tcPr>
          <w:p w:rsidR="00606D2C" w:rsidRPr="002C70E1" w:rsidRDefault="00606D2C" w:rsidP="000F5C85">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2213" w:type="dxa"/>
            <w:gridSpan w:val="2"/>
            <w:tcBorders>
              <w:top w:val="single" w:sz="12" w:space="0" w:color="auto"/>
              <w:left w:val="nil"/>
              <w:bottom w:val="single" w:sz="12" w:space="0" w:color="auto"/>
              <w:right w:val="nil"/>
            </w:tcBorders>
            <w:shd w:val="clear" w:color="auto" w:fill="auto"/>
            <w:noWrap/>
            <w:vAlign w:val="bottom"/>
            <w:hideMark/>
          </w:tcPr>
          <w:p w:rsidR="00606D2C" w:rsidRPr="002C70E1" w:rsidRDefault="00606D2C" w:rsidP="000F5C85">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2016/2017</w:t>
            </w:r>
          </w:p>
        </w:tc>
        <w:tc>
          <w:tcPr>
            <w:tcW w:w="1145" w:type="dxa"/>
            <w:tcBorders>
              <w:top w:val="single" w:sz="12" w:space="0" w:color="auto"/>
              <w:left w:val="single" w:sz="12" w:space="0" w:color="auto"/>
              <w:bottom w:val="single" w:sz="12" w:space="0" w:color="auto"/>
              <w:right w:val="nil"/>
            </w:tcBorders>
            <w:shd w:val="clear" w:color="auto" w:fill="auto"/>
            <w:noWrap/>
            <w:vAlign w:val="bottom"/>
            <w:hideMark/>
          </w:tcPr>
          <w:p w:rsidR="00606D2C" w:rsidRPr="002C70E1" w:rsidRDefault="00606D2C" w:rsidP="000F5C85">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28" w:type="dxa"/>
            <w:tcBorders>
              <w:top w:val="single" w:sz="12" w:space="0" w:color="auto"/>
              <w:left w:val="nil"/>
              <w:bottom w:val="single" w:sz="12" w:space="0" w:color="auto"/>
              <w:right w:val="single" w:sz="12" w:space="0" w:color="auto"/>
            </w:tcBorders>
            <w:shd w:val="clear" w:color="auto" w:fill="auto"/>
            <w:noWrap/>
            <w:vAlign w:val="bottom"/>
            <w:hideMark/>
          </w:tcPr>
          <w:p w:rsidR="00606D2C" w:rsidRPr="002C70E1" w:rsidRDefault="00606D2C" w:rsidP="000F5C85">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1892" w:type="dxa"/>
            <w:tcBorders>
              <w:top w:val="single" w:sz="8" w:space="0" w:color="auto"/>
              <w:left w:val="nil"/>
            </w:tcBorders>
            <w:shd w:val="clear" w:color="auto" w:fill="auto"/>
            <w:noWrap/>
            <w:vAlign w:val="bottom"/>
          </w:tcPr>
          <w:p w:rsidR="00606D2C" w:rsidRPr="002C70E1" w:rsidRDefault="00606D2C" w:rsidP="000F5C85">
            <w:pPr>
              <w:spacing w:before="0" w:after="0"/>
              <w:jc w:val="right"/>
              <w:rPr>
                <w:rFonts w:eastAsia="Times New Roman" w:cs="Arial"/>
                <w:color w:val="000000"/>
                <w:sz w:val="20"/>
                <w:szCs w:val="24"/>
                <w:lang w:eastAsia="cs-CZ"/>
              </w:rPr>
            </w:pPr>
          </w:p>
        </w:tc>
        <w:tc>
          <w:tcPr>
            <w:tcW w:w="1736" w:type="dxa"/>
            <w:tcBorders>
              <w:top w:val="single" w:sz="8" w:space="0" w:color="auto"/>
              <w:right w:val="single" w:sz="12" w:space="0" w:color="auto"/>
            </w:tcBorders>
            <w:shd w:val="clear" w:color="auto" w:fill="auto"/>
            <w:noWrap/>
            <w:vAlign w:val="bottom"/>
          </w:tcPr>
          <w:p w:rsidR="00606D2C" w:rsidRPr="002C70E1" w:rsidRDefault="00606D2C" w:rsidP="000F5C85">
            <w:pPr>
              <w:spacing w:before="0" w:after="0"/>
              <w:jc w:val="right"/>
              <w:rPr>
                <w:rFonts w:eastAsia="Times New Roman" w:cs="Arial"/>
                <w:color w:val="000000"/>
                <w:sz w:val="20"/>
                <w:szCs w:val="24"/>
                <w:lang w:eastAsia="cs-CZ"/>
              </w:rPr>
            </w:pPr>
          </w:p>
        </w:tc>
        <w:tc>
          <w:tcPr>
            <w:tcW w:w="1624" w:type="dxa"/>
            <w:tcBorders>
              <w:top w:val="single" w:sz="12" w:space="0" w:color="auto"/>
              <w:left w:val="single" w:sz="12" w:space="0" w:color="auto"/>
              <w:bottom w:val="single" w:sz="12" w:space="0" w:color="auto"/>
            </w:tcBorders>
            <w:shd w:val="clear" w:color="auto" w:fill="auto"/>
            <w:noWrap/>
            <w:vAlign w:val="bottom"/>
          </w:tcPr>
          <w:p w:rsidR="00606D2C" w:rsidRPr="002C70E1" w:rsidRDefault="00606D2C" w:rsidP="000F5C85">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18" w:type="dxa"/>
            <w:tcBorders>
              <w:top w:val="single" w:sz="12" w:space="0" w:color="auto"/>
              <w:bottom w:val="single" w:sz="12" w:space="0" w:color="auto"/>
              <w:right w:val="single" w:sz="12" w:space="0" w:color="auto"/>
            </w:tcBorders>
            <w:shd w:val="clear" w:color="auto" w:fill="auto"/>
            <w:noWrap/>
            <w:vAlign w:val="bottom"/>
          </w:tcPr>
          <w:p w:rsidR="00606D2C" w:rsidRPr="002C70E1" w:rsidRDefault="00606D2C" w:rsidP="000F5C85">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L</w:t>
            </w:r>
          </w:p>
        </w:tc>
      </w:tr>
      <w:tr w:rsidR="00606D2C" w:rsidRPr="002C70E1" w:rsidTr="0016645B">
        <w:trPr>
          <w:trHeight w:val="285"/>
        </w:trPr>
        <w:tc>
          <w:tcPr>
            <w:tcW w:w="719"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606D2C" w:rsidRPr="002C70E1" w:rsidRDefault="00606D2C" w:rsidP="000F5C85">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Agenturní zaměstnávání</w:t>
            </w:r>
          </w:p>
        </w:tc>
        <w:tc>
          <w:tcPr>
            <w:tcW w:w="2935" w:type="dxa"/>
            <w:gridSpan w:val="5"/>
            <w:tcBorders>
              <w:top w:val="single" w:sz="12" w:space="0" w:color="auto"/>
              <w:left w:val="nil"/>
            </w:tcBorders>
            <w:shd w:val="clear" w:color="auto" w:fill="auto"/>
            <w:noWrap/>
            <w:vAlign w:val="bottom"/>
          </w:tcPr>
          <w:p w:rsidR="00606D2C" w:rsidRPr="002C70E1" w:rsidRDefault="00606D2C" w:rsidP="000F5C85">
            <w:pPr>
              <w:spacing w:before="0" w:after="0"/>
              <w:jc w:val="right"/>
              <w:rPr>
                <w:rFonts w:eastAsia="Times New Roman" w:cs="Arial"/>
                <w:b/>
                <w:bCs/>
                <w:color w:val="000000"/>
                <w:sz w:val="20"/>
                <w:szCs w:val="24"/>
                <w:lang w:eastAsia="cs-CZ"/>
              </w:rPr>
            </w:pPr>
          </w:p>
        </w:tc>
        <w:tc>
          <w:tcPr>
            <w:tcW w:w="1145" w:type="dxa"/>
            <w:shd w:val="clear" w:color="auto" w:fill="auto"/>
            <w:noWrap/>
            <w:vAlign w:val="bottom"/>
          </w:tcPr>
          <w:p w:rsidR="00606D2C" w:rsidRPr="002C70E1" w:rsidRDefault="00606D2C" w:rsidP="000F5C85">
            <w:pPr>
              <w:spacing w:before="0" w:after="0"/>
              <w:jc w:val="center"/>
              <w:rPr>
                <w:rFonts w:eastAsia="Times New Roman" w:cs="Arial"/>
                <w:b/>
                <w:bCs/>
                <w:color w:val="000000"/>
                <w:sz w:val="20"/>
                <w:szCs w:val="24"/>
                <w:lang w:eastAsia="cs-CZ"/>
              </w:rPr>
            </w:pPr>
          </w:p>
        </w:tc>
        <w:tc>
          <w:tcPr>
            <w:tcW w:w="4656" w:type="dxa"/>
            <w:gridSpan w:val="3"/>
            <w:shd w:val="clear" w:color="auto" w:fill="auto"/>
            <w:noWrap/>
            <w:vAlign w:val="center"/>
            <w:hideMark/>
          </w:tcPr>
          <w:p w:rsidR="00606D2C" w:rsidRPr="002C70E1" w:rsidRDefault="00606D2C" w:rsidP="000F5C85">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24" w:type="dxa"/>
            <w:tcBorders>
              <w:top w:val="single" w:sz="12" w:space="0" w:color="auto"/>
            </w:tcBorders>
            <w:shd w:val="clear" w:color="auto" w:fill="auto"/>
            <w:noWrap/>
            <w:vAlign w:val="center"/>
          </w:tcPr>
          <w:p w:rsidR="00606D2C" w:rsidRPr="002C70E1" w:rsidRDefault="00606D2C" w:rsidP="000F5C85">
            <w:pPr>
              <w:spacing w:before="0" w:after="0"/>
              <w:jc w:val="center"/>
              <w:rPr>
                <w:rFonts w:eastAsia="Times New Roman" w:cs="Arial"/>
                <w:b/>
                <w:bCs/>
                <w:color w:val="000000"/>
                <w:sz w:val="20"/>
                <w:szCs w:val="24"/>
                <w:u w:val="single"/>
                <w:lang w:eastAsia="cs-CZ"/>
              </w:rPr>
            </w:pPr>
          </w:p>
        </w:tc>
        <w:tc>
          <w:tcPr>
            <w:tcW w:w="3018" w:type="dxa"/>
            <w:tcBorders>
              <w:top w:val="single" w:sz="12" w:space="0" w:color="auto"/>
              <w:right w:val="single" w:sz="8" w:space="0" w:color="auto"/>
            </w:tcBorders>
            <w:shd w:val="clear" w:color="auto" w:fill="auto"/>
            <w:noWrap/>
            <w:vAlign w:val="center"/>
          </w:tcPr>
          <w:p w:rsidR="00606D2C" w:rsidRPr="002C70E1" w:rsidRDefault="00606D2C" w:rsidP="000F5C85">
            <w:pPr>
              <w:spacing w:before="0" w:after="0"/>
              <w:jc w:val="center"/>
              <w:rPr>
                <w:rFonts w:eastAsia="Times New Roman" w:cs="Arial"/>
                <w:b/>
                <w:bCs/>
                <w:color w:val="000000"/>
                <w:sz w:val="20"/>
                <w:szCs w:val="24"/>
                <w:u w:val="single"/>
                <w:lang w:eastAsia="cs-CZ"/>
              </w:rPr>
            </w:pPr>
          </w:p>
        </w:tc>
      </w:tr>
      <w:tr w:rsidR="00606D2C" w:rsidRPr="002C70E1" w:rsidTr="0016645B">
        <w:trPr>
          <w:trHeight w:val="570"/>
        </w:trPr>
        <w:tc>
          <w:tcPr>
            <w:tcW w:w="719"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0F5C85">
            <w:pPr>
              <w:spacing w:before="0" w:after="0"/>
              <w:jc w:val="left"/>
              <w:rPr>
                <w:rFonts w:eastAsia="Times New Roman" w:cs="Arial"/>
                <w:b/>
                <w:bCs/>
                <w:color w:val="000000"/>
                <w:sz w:val="20"/>
                <w:szCs w:val="24"/>
                <w:lang w:eastAsia="cs-CZ"/>
              </w:rPr>
            </w:pPr>
          </w:p>
        </w:tc>
        <w:tc>
          <w:tcPr>
            <w:tcW w:w="13378" w:type="dxa"/>
            <w:gridSpan w:val="11"/>
            <w:tcBorders>
              <w:left w:val="nil"/>
              <w:bottom w:val="double" w:sz="6" w:space="0" w:color="auto"/>
              <w:right w:val="single" w:sz="8" w:space="0" w:color="000000"/>
            </w:tcBorders>
            <w:shd w:val="clear" w:color="auto" w:fill="auto"/>
            <w:hideMark/>
          </w:tcPr>
          <w:p w:rsidR="00606D2C" w:rsidRPr="002C70E1" w:rsidRDefault="00606D2C" w:rsidP="000F5C85">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MPSV provede revizi systému agenturního zaměstnávání, zejména v rámci zákona o zaměstnanosti s cílem zvýšit jistotu na trhu práce zaměstnanců agentur práce dočasně přidělovaných k uživatelům.</w:t>
            </w:r>
          </w:p>
        </w:tc>
      </w:tr>
      <w:tr w:rsidR="00606D2C" w:rsidRPr="002C70E1" w:rsidTr="0016645B">
        <w:trPr>
          <w:trHeight w:val="285"/>
        </w:trPr>
        <w:tc>
          <w:tcPr>
            <w:tcW w:w="719" w:type="dxa"/>
            <w:vMerge/>
            <w:tcBorders>
              <w:top w:val="nil"/>
              <w:left w:val="single" w:sz="8" w:space="0" w:color="auto"/>
              <w:bottom w:val="single" w:sz="8" w:space="0" w:color="000000"/>
              <w:right w:val="double" w:sz="6" w:space="0" w:color="auto"/>
            </w:tcBorders>
            <w:vAlign w:val="center"/>
            <w:hideMark/>
          </w:tcPr>
          <w:p w:rsidR="00606D2C" w:rsidRPr="002C70E1" w:rsidRDefault="00606D2C" w:rsidP="000F5C85">
            <w:pPr>
              <w:spacing w:before="0" w:after="0"/>
              <w:jc w:val="left"/>
              <w:rPr>
                <w:rFonts w:eastAsia="Times New Roman" w:cs="Arial"/>
                <w:b/>
                <w:bCs/>
                <w:color w:val="000000"/>
                <w:sz w:val="20"/>
                <w:szCs w:val="24"/>
                <w:lang w:eastAsia="cs-CZ"/>
              </w:rPr>
            </w:pPr>
          </w:p>
        </w:tc>
        <w:tc>
          <w:tcPr>
            <w:tcW w:w="722" w:type="dxa"/>
            <w:gridSpan w:val="3"/>
            <w:tcBorders>
              <w:top w:val="double" w:sz="6" w:space="0" w:color="auto"/>
              <w:left w:val="double" w:sz="6" w:space="0" w:color="auto"/>
              <w:bottom w:val="double" w:sz="6" w:space="0" w:color="auto"/>
              <w:right w:val="nil"/>
            </w:tcBorders>
            <w:shd w:val="clear" w:color="000000" w:fill="00B050"/>
            <w:noWrap/>
            <w:vAlign w:val="bottom"/>
            <w:hideMark/>
          </w:tcPr>
          <w:p w:rsidR="00606D2C" w:rsidRPr="002C70E1" w:rsidRDefault="00606D2C" w:rsidP="000F5C85">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358" w:type="dxa"/>
            <w:gridSpan w:val="3"/>
            <w:tcBorders>
              <w:top w:val="double" w:sz="6" w:space="0" w:color="auto"/>
              <w:left w:val="nil"/>
              <w:bottom w:val="double" w:sz="6" w:space="0" w:color="auto"/>
              <w:right w:val="double" w:sz="6" w:space="0" w:color="auto"/>
            </w:tcBorders>
            <w:shd w:val="clear" w:color="000000" w:fill="00B050"/>
            <w:vAlign w:val="bottom"/>
            <w:hideMark/>
          </w:tcPr>
          <w:p w:rsidR="00606D2C" w:rsidRPr="002C70E1" w:rsidRDefault="00606D2C" w:rsidP="000F5C85">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Splněno</w:t>
            </w:r>
          </w:p>
        </w:tc>
        <w:tc>
          <w:tcPr>
            <w:tcW w:w="4656" w:type="dxa"/>
            <w:gridSpan w:val="3"/>
            <w:tcBorders>
              <w:top w:val="double" w:sz="6" w:space="0" w:color="auto"/>
              <w:left w:val="double" w:sz="6" w:space="0" w:color="auto"/>
            </w:tcBorders>
            <w:shd w:val="clear" w:color="auto" w:fill="auto"/>
            <w:vAlign w:val="center"/>
            <w:hideMark/>
          </w:tcPr>
          <w:p w:rsidR="00606D2C" w:rsidRPr="002C70E1" w:rsidRDefault="00606D2C" w:rsidP="000F5C85">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24" w:type="dxa"/>
            <w:tcBorders>
              <w:top w:val="nil"/>
            </w:tcBorders>
            <w:shd w:val="clear" w:color="auto" w:fill="auto"/>
            <w:vAlign w:val="center"/>
          </w:tcPr>
          <w:p w:rsidR="00606D2C" w:rsidRPr="002C70E1" w:rsidRDefault="00606D2C" w:rsidP="000F5C85">
            <w:pPr>
              <w:spacing w:before="0" w:after="0"/>
              <w:jc w:val="right"/>
              <w:rPr>
                <w:rFonts w:eastAsia="Times New Roman" w:cs="Arial"/>
                <w:color w:val="000000"/>
                <w:sz w:val="20"/>
                <w:szCs w:val="24"/>
                <w:lang w:eastAsia="cs-CZ"/>
              </w:rPr>
            </w:pPr>
          </w:p>
        </w:tc>
        <w:tc>
          <w:tcPr>
            <w:tcW w:w="3018" w:type="dxa"/>
            <w:tcBorders>
              <w:top w:val="nil"/>
              <w:right w:val="single" w:sz="8" w:space="0" w:color="auto"/>
            </w:tcBorders>
            <w:shd w:val="clear" w:color="auto" w:fill="auto"/>
            <w:vAlign w:val="center"/>
          </w:tcPr>
          <w:p w:rsidR="00606D2C" w:rsidRPr="002C70E1" w:rsidRDefault="00606D2C" w:rsidP="000F5C85">
            <w:pPr>
              <w:spacing w:before="0" w:after="0"/>
              <w:jc w:val="center"/>
              <w:rPr>
                <w:rFonts w:eastAsia="Times New Roman" w:cs="Arial"/>
                <w:b/>
                <w:bCs/>
                <w:color w:val="000000"/>
                <w:sz w:val="20"/>
                <w:szCs w:val="24"/>
                <w:u w:val="single"/>
                <w:lang w:eastAsia="cs-CZ"/>
              </w:rPr>
            </w:pPr>
          </w:p>
        </w:tc>
      </w:tr>
      <w:tr w:rsidR="00606D2C" w:rsidRPr="002C70E1" w:rsidTr="0016645B">
        <w:trPr>
          <w:trHeight w:val="636"/>
        </w:trPr>
        <w:tc>
          <w:tcPr>
            <w:tcW w:w="719"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0F5C85">
            <w:pPr>
              <w:spacing w:before="0" w:after="0"/>
              <w:jc w:val="left"/>
              <w:rPr>
                <w:rFonts w:eastAsia="Times New Roman" w:cs="Arial"/>
                <w:b/>
                <w:bCs/>
                <w:color w:val="000000"/>
                <w:sz w:val="20"/>
                <w:szCs w:val="24"/>
                <w:lang w:eastAsia="cs-CZ"/>
              </w:rPr>
            </w:pPr>
          </w:p>
        </w:tc>
        <w:tc>
          <w:tcPr>
            <w:tcW w:w="722" w:type="dxa"/>
            <w:gridSpan w:val="3"/>
            <w:tcBorders>
              <w:top w:val="nil"/>
              <w:left w:val="nil"/>
              <w:bottom w:val="nil"/>
              <w:right w:val="single" w:sz="4" w:space="0" w:color="auto"/>
            </w:tcBorders>
            <w:shd w:val="clear" w:color="auto" w:fill="auto"/>
            <w:textDirection w:val="btLr"/>
            <w:vAlign w:val="center"/>
            <w:hideMark/>
          </w:tcPr>
          <w:p w:rsidR="00606D2C" w:rsidRPr="002C70E1" w:rsidRDefault="00606D2C" w:rsidP="000F5C85">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minulé</w:t>
            </w:r>
          </w:p>
        </w:tc>
        <w:tc>
          <w:tcPr>
            <w:tcW w:w="12656" w:type="dxa"/>
            <w:gridSpan w:val="8"/>
            <w:tcBorders>
              <w:top w:val="nil"/>
              <w:left w:val="nil"/>
              <w:bottom w:val="nil"/>
              <w:right w:val="single" w:sz="8" w:space="0" w:color="000000"/>
            </w:tcBorders>
            <w:shd w:val="clear" w:color="auto" w:fill="auto"/>
            <w:hideMark/>
          </w:tcPr>
          <w:p w:rsidR="00606D2C" w:rsidRPr="004E56CF" w:rsidRDefault="00606D2C" w:rsidP="000F5C85">
            <w:pPr>
              <w:spacing w:before="0" w:after="0"/>
              <w:rPr>
                <w:rFonts w:eastAsia="Times New Roman" w:cs="Arial"/>
                <w:sz w:val="20"/>
                <w:szCs w:val="24"/>
                <w:lang w:eastAsia="cs-CZ"/>
              </w:rPr>
            </w:pPr>
            <w:r w:rsidRPr="004E56CF">
              <w:rPr>
                <w:rFonts w:eastAsia="Times New Roman" w:cs="Arial"/>
                <w:sz w:val="20"/>
                <w:szCs w:val="24"/>
                <w:lang w:eastAsia="cs-CZ"/>
              </w:rPr>
              <w:t>Uveřejněno ve Sbírce zákonů jako zákon č. 206/2017 Sb., kterým se mění zákon č. 435/2004 Sb., o zaměstnanosti, ve znění pozdějších předpisů, a další související zákony.</w:t>
            </w:r>
          </w:p>
        </w:tc>
      </w:tr>
      <w:tr w:rsidR="00606D2C" w:rsidRPr="002C70E1" w:rsidTr="0016645B">
        <w:trPr>
          <w:trHeight w:val="1408"/>
        </w:trPr>
        <w:tc>
          <w:tcPr>
            <w:tcW w:w="719"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606D2C">
            <w:pPr>
              <w:jc w:val="left"/>
              <w:rPr>
                <w:rFonts w:eastAsia="Times New Roman" w:cs="Arial"/>
                <w:b/>
                <w:bCs/>
                <w:color w:val="000000"/>
                <w:sz w:val="20"/>
                <w:szCs w:val="24"/>
                <w:lang w:eastAsia="cs-CZ"/>
              </w:rPr>
            </w:pPr>
          </w:p>
        </w:tc>
        <w:tc>
          <w:tcPr>
            <w:tcW w:w="722" w:type="dxa"/>
            <w:gridSpan w:val="3"/>
            <w:tcBorders>
              <w:top w:val="single" w:sz="4" w:space="0" w:color="auto"/>
              <w:left w:val="nil"/>
              <w:bottom w:val="single" w:sz="8" w:space="0" w:color="auto"/>
              <w:right w:val="single" w:sz="4" w:space="0" w:color="auto"/>
            </w:tcBorders>
            <w:shd w:val="clear" w:color="auto" w:fill="auto"/>
            <w:textDirection w:val="btLr"/>
            <w:vAlign w:val="center"/>
            <w:hideMark/>
          </w:tcPr>
          <w:p w:rsidR="00606D2C" w:rsidRPr="002C70E1" w:rsidRDefault="00606D2C" w:rsidP="000F5C85">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sledované</w:t>
            </w:r>
          </w:p>
        </w:tc>
        <w:tc>
          <w:tcPr>
            <w:tcW w:w="12656" w:type="dxa"/>
            <w:gridSpan w:val="8"/>
            <w:tcBorders>
              <w:top w:val="single" w:sz="4" w:space="0" w:color="auto"/>
              <w:left w:val="nil"/>
              <w:bottom w:val="single" w:sz="8" w:space="0" w:color="auto"/>
              <w:right w:val="single" w:sz="8" w:space="0" w:color="000000"/>
            </w:tcBorders>
            <w:shd w:val="clear" w:color="auto" w:fill="auto"/>
            <w:hideMark/>
          </w:tcPr>
          <w:p w:rsidR="00606D2C" w:rsidRPr="002C70E1" w:rsidRDefault="00606D2C" w:rsidP="00750355">
            <w:pPr>
              <w:spacing w:before="0" w:after="0"/>
              <w:rPr>
                <w:rFonts w:eastAsia="Times New Roman" w:cs="Arial"/>
                <w:color w:val="000000"/>
                <w:sz w:val="20"/>
                <w:szCs w:val="24"/>
                <w:lang w:eastAsia="cs-CZ"/>
              </w:rPr>
            </w:pPr>
            <w:r w:rsidRPr="0075662D">
              <w:rPr>
                <w:rFonts w:eastAsia="Times New Roman" w:cs="Arial"/>
                <w:sz w:val="20"/>
                <w:szCs w:val="24"/>
                <w:lang w:eastAsia="cs-CZ"/>
              </w:rPr>
              <w:t>Dne 29. 7. 2017 nabyla účinnost</w:t>
            </w:r>
            <w:r w:rsidR="00750355">
              <w:rPr>
                <w:rFonts w:eastAsia="Times New Roman" w:cs="Arial"/>
                <w:sz w:val="20"/>
                <w:szCs w:val="24"/>
                <w:lang w:eastAsia="cs-CZ"/>
              </w:rPr>
              <w:t xml:space="preserve">i část </w:t>
            </w:r>
            <w:r w:rsidRPr="0075662D">
              <w:rPr>
                <w:rFonts w:eastAsia="Times New Roman" w:cs="Arial"/>
                <w:sz w:val="20"/>
                <w:szCs w:val="24"/>
                <w:lang w:eastAsia="cs-CZ"/>
              </w:rPr>
              <w:t>novel</w:t>
            </w:r>
            <w:r w:rsidR="00750355">
              <w:rPr>
                <w:rFonts w:eastAsia="Times New Roman" w:cs="Arial"/>
                <w:sz w:val="20"/>
                <w:szCs w:val="24"/>
                <w:lang w:eastAsia="cs-CZ"/>
              </w:rPr>
              <w:t>y</w:t>
            </w:r>
            <w:r w:rsidRPr="0075662D">
              <w:rPr>
                <w:rFonts w:eastAsia="Times New Roman" w:cs="Arial"/>
                <w:sz w:val="20"/>
                <w:szCs w:val="24"/>
                <w:lang w:eastAsia="cs-CZ"/>
              </w:rPr>
              <w:t xml:space="preserve"> zákona o zaměstnanosti a dalších souvisejících zákonů (zákon č. 206/2017 Sb.), která upravila práva a povinnosti dotčených subjektů v oblasti agenturního zaměstnávání. Cílem předmětné novely bylo zejména zvýšení odpovědnosti uživatelských subjektů za nedodržování práv dočasně přidělených zaměstnanců agenturami práce včetně ukotvení definice tzv. zastřeného zprostředkování zaměstnání. Dále byla ukotvena opatření, která posilují právní postavení dočasně přidělovaných zaměstnanců a zajišťují, aby výkon zprostředkovatelské činnosti byl vykonáván pouze seriózními agenturami práce s patřičným personálním a materiálním zabezpečením.</w:t>
            </w:r>
          </w:p>
        </w:tc>
      </w:tr>
      <w:tr w:rsidR="00606D2C" w:rsidRPr="002C70E1" w:rsidTr="0016645B">
        <w:trPr>
          <w:trHeight w:val="270"/>
        </w:trPr>
        <w:tc>
          <w:tcPr>
            <w:tcW w:w="719" w:type="dxa"/>
            <w:tcBorders>
              <w:top w:val="nil"/>
              <w:left w:val="nil"/>
              <w:bottom w:val="nil"/>
              <w:right w:val="nil"/>
            </w:tcBorders>
            <w:shd w:val="clear" w:color="auto" w:fill="auto"/>
            <w:noWrap/>
            <w:vAlign w:val="bottom"/>
            <w:hideMark/>
          </w:tcPr>
          <w:p w:rsidR="00606D2C" w:rsidRPr="002C70E1" w:rsidRDefault="00606D2C" w:rsidP="00606D2C">
            <w:pPr>
              <w:jc w:val="left"/>
              <w:rPr>
                <w:rFonts w:eastAsia="Times New Roman" w:cs="Arial"/>
                <w:color w:val="000000"/>
                <w:sz w:val="20"/>
                <w:szCs w:val="24"/>
                <w:lang w:eastAsia="cs-CZ"/>
              </w:rPr>
            </w:pPr>
          </w:p>
        </w:tc>
        <w:tc>
          <w:tcPr>
            <w:tcW w:w="1253" w:type="dxa"/>
            <w:gridSpan w:val="4"/>
            <w:tcBorders>
              <w:top w:val="nil"/>
              <w:left w:val="nil"/>
              <w:bottom w:val="nil"/>
              <w:right w:val="nil"/>
            </w:tcBorders>
            <w:shd w:val="clear" w:color="auto" w:fill="auto"/>
            <w:noWrap/>
            <w:vAlign w:val="bottom"/>
            <w:hideMark/>
          </w:tcPr>
          <w:p w:rsidR="00606D2C" w:rsidRPr="002C70E1" w:rsidRDefault="00606D2C" w:rsidP="00606D2C">
            <w:pPr>
              <w:jc w:val="left"/>
              <w:rPr>
                <w:rFonts w:eastAsia="Times New Roman" w:cs="Arial"/>
                <w:color w:val="000000"/>
                <w:sz w:val="20"/>
                <w:szCs w:val="24"/>
                <w:lang w:eastAsia="cs-CZ"/>
              </w:rPr>
            </w:pPr>
          </w:p>
        </w:tc>
        <w:tc>
          <w:tcPr>
            <w:tcW w:w="1682" w:type="dxa"/>
            <w:tcBorders>
              <w:top w:val="nil"/>
              <w:left w:val="nil"/>
              <w:bottom w:val="nil"/>
              <w:right w:val="nil"/>
            </w:tcBorders>
            <w:shd w:val="clear" w:color="auto" w:fill="auto"/>
            <w:noWrap/>
            <w:vAlign w:val="bottom"/>
            <w:hideMark/>
          </w:tcPr>
          <w:p w:rsidR="00606D2C" w:rsidRPr="002C70E1" w:rsidRDefault="00606D2C" w:rsidP="00606D2C">
            <w:pPr>
              <w:jc w:val="left"/>
              <w:rPr>
                <w:rFonts w:eastAsia="Times New Roman" w:cs="Arial"/>
                <w:color w:val="000000"/>
                <w:sz w:val="20"/>
                <w:szCs w:val="24"/>
                <w:lang w:eastAsia="cs-CZ"/>
              </w:rPr>
            </w:pPr>
          </w:p>
        </w:tc>
        <w:tc>
          <w:tcPr>
            <w:tcW w:w="1145" w:type="dxa"/>
            <w:tcBorders>
              <w:top w:val="nil"/>
              <w:left w:val="nil"/>
              <w:bottom w:val="nil"/>
              <w:right w:val="nil"/>
            </w:tcBorders>
            <w:shd w:val="clear" w:color="auto" w:fill="auto"/>
            <w:noWrap/>
            <w:vAlign w:val="bottom"/>
            <w:hideMark/>
          </w:tcPr>
          <w:p w:rsidR="00606D2C" w:rsidRPr="002C70E1" w:rsidRDefault="00606D2C" w:rsidP="00606D2C">
            <w:pPr>
              <w:jc w:val="left"/>
              <w:rPr>
                <w:rFonts w:eastAsia="Times New Roman" w:cs="Arial"/>
                <w:color w:val="000000"/>
                <w:sz w:val="20"/>
                <w:szCs w:val="24"/>
                <w:lang w:eastAsia="cs-CZ"/>
              </w:rPr>
            </w:pPr>
          </w:p>
        </w:tc>
        <w:tc>
          <w:tcPr>
            <w:tcW w:w="1028" w:type="dxa"/>
            <w:tcBorders>
              <w:top w:val="nil"/>
              <w:left w:val="nil"/>
              <w:bottom w:val="nil"/>
              <w:right w:val="nil"/>
            </w:tcBorders>
            <w:shd w:val="clear" w:color="auto" w:fill="auto"/>
            <w:noWrap/>
            <w:vAlign w:val="bottom"/>
            <w:hideMark/>
          </w:tcPr>
          <w:p w:rsidR="00606D2C" w:rsidRPr="002C70E1" w:rsidRDefault="00606D2C" w:rsidP="00606D2C">
            <w:pPr>
              <w:jc w:val="left"/>
              <w:rPr>
                <w:rFonts w:eastAsia="Times New Roman" w:cs="Arial"/>
                <w:color w:val="000000"/>
                <w:sz w:val="20"/>
                <w:szCs w:val="24"/>
                <w:lang w:eastAsia="cs-CZ"/>
              </w:rPr>
            </w:pPr>
          </w:p>
        </w:tc>
        <w:tc>
          <w:tcPr>
            <w:tcW w:w="1892" w:type="dxa"/>
            <w:tcBorders>
              <w:top w:val="nil"/>
              <w:left w:val="nil"/>
              <w:bottom w:val="nil"/>
              <w:right w:val="nil"/>
            </w:tcBorders>
            <w:shd w:val="clear" w:color="auto" w:fill="auto"/>
            <w:noWrap/>
            <w:vAlign w:val="bottom"/>
            <w:hideMark/>
          </w:tcPr>
          <w:p w:rsidR="00606D2C" w:rsidRPr="002C70E1" w:rsidRDefault="00606D2C" w:rsidP="00606D2C">
            <w:pPr>
              <w:jc w:val="left"/>
              <w:rPr>
                <w:rFonts w:eastAsia="Times New Roman" w:cs="Arial"/>
                <w:color w:val="000000"/>
                <w:sz w:val="20"/>
                <w:szCs w:val="24"/>
                <w:lang w:eastAsia="cs-CZ"/>
              </w:rPr>
            </w:pPr>
          </w:p>
        </w:tc>
        <w:tc>
          <w:tcPr>
            <w:tcW w:w="1736" w:type="dxa"/>
            <w:tcBorders>
              <w:top w:val="nil"/>
              <w:left w:val="nil"/>
              <w:bottom w:val="nil"/>
              <w:right w:val="nil"/>
            </w:tcBorders>
            <w:shd w:val="clear" w:color="auto" w:fill="auto"/>
            <w:noWrap/>
            <w:vAlign w:val="bottom"/>
            <w:hideMark/>
          </w:tcPr>
          <w:p w:rsidR="00606D2C" w:rsidRPr="002C70E1" w:rsidRDefault="00606D2C" w:rsidP="00606D2C">
            <w:pPr>
              <w:jc w:val="left"/>
              <w:rPr>
                <w:rFonts w:eastAsia="Times New Roman" w:cs="Arial"/>
                <w:color w:val="000000"/>
                <w:sz w:val="20"/>
                <w:szCs w:val="24"/>
                <w:lang w:eastAsia="cs-CZ"/>
              </w:rPr>
            </w:pPr>
          </w:p>
        </w:tc>
        <w:tc>
          <w:tcPr>
            <w:tcW w:w="1624" w:type="dxa"/>
            <w:tcBorders>
              <w:top w:val="nil"/>
              <w:left w:val="nil"/>
              <w:bottom w:val="nil"/>
              <w:right w:val="nil"/>
            </w:tcBorders>
            <w:shd w:val="clear" w:color="auto" w:fill="auto"/>
            <w:noWrap/>
            <w:vAlign w:val="bottom"/>
            <w:hideMark/>
          </w:tcPr>
          <w:p w:rsidR="00606D2C" w:rsidRPr="002C70E1" w:rsidRDefault="00606D2C" w:rsidP="00606D2C">
            <w:pPr>
              <w:jc w:val="left"/>
              <w:rPr>
                <w:rFonts w:eastAsia="Times New Roman" w:cs="Arial"/>
                <w:color w:val="000000"/>
                <w:sz w:val="20"/>
                <w:szCs w:val="24"/>
                <w:lang w:eastAsia="cs-CZ"/>
              </w:rPr>
            </w:pPr>
          </w:p>
        </w:tc>
        <w:tc>
          <w:tcPr>
            <w:tcW w:w="3018" w:type="dxa"/>
            <w:tcBorders>
              <w:top w:val="nil"/>
              <w:left w:val="nil"/>
              <w:bottom w:val="nil"/>
              <w:right w:val="nil"/>
            </w:tcBorders>
            <w:shd w:val="clear" w:color="auto" w:fill="auto"/>
            <w:noWrap/>
            <w:vAlign w:val="bottom"/>
            <w:hideMark/>
          </w:tcPr>
          <w:p w:rsidR="00606D2C" w:rsidRPr="002C70E1" w:rsidRDefault="00606D2C" w:rsidP="00606D2C">
            <w:pPr>
              <w:jc w:val="left"/>
              <w:rPr>
                <w:rFonts w:eastAsia="Times New Roman" w:cs="Arial"/>
                <w:color w:val="000000"/>
                <w:sz w:val="20"/>
                <w:szCs w:val="24"/>
                <w:lang w:eastAsia="cs-CZ"/>
              </w:rPr>
            </w:pPr>
          </w:p>
        </w:tc>
      </w:tr>
      <w:tr w:rsidR="00606D2C" w:rsidRPr="002C70E1" w:rsidTr="0016645B">
        <w:trPr>
          <w:trHeight w:val="330"/>
        </w:trPr>
        <w:tc>
          <w:tcPr>
            <w:tcW w:w="719" w:type="dxa"/>
            <w:tcBorders>
              <w:top w:val="double" w:sz="6" w:space="0" w:color="auto"/>
              <w:left w:val="double" w:sz="6" w:space="0" w:color="auto"/>
              <w:bottom w:val="double" w:sz="6" w:space="0" w:color="auto"/>
              <w:right w:val="nil"/>
            </w:tcBorders>
            <w:shd w:val="clear" w:color="000000" w:fill="C4D79B"/>
            <w:noWrap/>
            <w:vAlign w:val="center"/>
            <w:hideMark/>
          </w:tcPr>
          <w:p w:rsidR="00606D2C" w:rsidRPr="002C70E1" w:rsidRDefault="00606D2C" w:rsidP="00606D2C">
            <w:pPr>
              <w:jc w:val="center"/>
              <w:rPr>
                <w:rFonts w:eastAsia="Times New Roman" w:cs="Arial"/>
                <w:b/>
                <w:bCs/>
                <w:color w:val="000000"/>
                <w:sz w:val="20"/>
                <w:szCs w:val="24"/>
                <w:lang w:eastAsia="cs-CZ"/>
              </w:rPr>
            </w:pPr>
          </w:p>
        </w:tc>
        <w:tc>
          <w:tcPr>
            <w:tcW w:w="13378" w:type="dxa"/>
            <w:gridSpan w:val="11"/>
            <w:tcBorders>
              <w:top w:val="double" w:sz="6" w:space="0" w:color="auto"/>
              <w:left w:val="nil"/>
              <w:bottom w:val="double" w:sz="6" w:space="0" w:color="auto"/>
              <w:right w:val="double" w:sz="6" w:space="0" w:color="000000"/>
            </w:tcBorders>
            <w:shd w:val="clear" w:color="000000" w:fill="C4D79B"/>
            <w:vAlign w:val="center"/>
            <w:hideMark/>
          </w:tcPr>
          <w:p w:rsidR="00606D2C" w:rsidRPr="002C70E1" w:rsidRDefault="00606D2C" w:rsidP="00972C41">
            <w:pPr>
              <w:pStyle w:val="Nadpis2"/>
              <w:numPr>
                <w:ilvl w:val="0"/>
                <w:numId w:val="0"/>
              </w:numPr>
              <w:spacing w:before="0" w:after="0"/>
              <w:rPr>
                <w:rFonts w:eastAsia="Times New Roman"/>
                <w:lang w:eastAsia="cs-CZ"/>
              </w:rPr>
            </w:pPr>
            <w:bookmarkStart w:id="151" w:name="_Toc492628607"/>
            <w:bookmarkStart w:id="152" w:name="_Toc509474158"/>
            <w:r w:rsidRPr="002C70E1">
              <w:rPr>
                <w:rFonts w:eastAsia="Times New Roman"/>
                <w:lang w:eastAsia="cs-CZ"/>
              </w:rPr>
              <w:t xml:space="preserve">Sk. 2 Motivace zaměstnavatelů </w:t>
            </w:r>
            <w:r w:rsidRPr="0016645B">
              <w:t>zaměstnávat</w:t>
            </w:r>
            <w:r w:rsidRPr="002C70E1">
              <w:rPr>
                <w:rFonts w:eastAsia="Times New Roman"/>
                <w:lang w:eastAsia="cs-CZ"/>
              </w:rPr>
              <w:t xml:space="preserve"> znevýhodněné skupiny osob (intenzivní využití dostupné pracovní síly)</w:t>
            </w:r>
            <w:bookmarkEnd w:id="151"/>
            <w:bookmarkEnd w:id="152"/>
          </w:p>
        </w:tc>
      </w:tr>
      <w:tr w:rsidR="00606D2C" w:rsidRPr="002C70E1" w:rsidTr="0016645B">
        <w:trPr>
          <w:trHeight w:val="285"/>
        </w:trPr>
        <w:tc>
          <w:tcPr>
            <w:tcW w:w="719" w:type="dxa"/>
            <w:tcBorders>
              <w:top w:val="single" w:sz="8" w:space="0" w:color="auto"/>
              <w:left w:val="single" w:sz="8" w:space="0" w:color="auto"/>
              <w:bottom w:val="single" w:sz="4" w:space="0" w:color="auto"/>
              <w:right w:val="single" w:sz="12" w:space="0" w:color="auto"/>
            </w:tcBorders>
            <w:shd w:val="clear" w:color="000000" w:fill="EBF1DE"/>
            <w:noWrap/>
            <w:vAlign w:val="bottom"/>
            <w:hideMark/>
          </w:tcPr>
          <w:p w:rsidR="00606D2C" w:rsidRPr="002C70E1" w:rsidRDefault="00606D2C" w:rsidP="0016645B">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2.1</w:t>
            </w:r>
          </w:p>
        </w:tc>
        <w:tc>
          <w:tcPr>
            <w:tcW w:w="1253" w:type="dxa"/>
            <w:gridSpan w:val="4"/>
            <w:tcBorders>
              <w:top w:val="single" w:sz="8" w:space="0" w:color="auto"/>
              <w:left w:val="single" w:sz="12" w:space="0" w:color="auto"/>
              <w:bottom w:val="single" w:sz="12" w:space="0" w:color="auto"/>
              <w:right w:val="nil"/>
            </w:tcBorders>
            <w:shd w:val="clear" w:color="auto" w:fill="auto"/>
            <w:noWrap/>
            <w:vAlign w:val="bottom"/>
            <w:hideMark/>
          </w:tcPr>
          <w:p w:rsidR="00606D2C" w:rsidRPr="002C70E1" w:rsidRDefault="00606D2C" w:rsidP="0016645B">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1682" w:type="dxa"/>
            <w:tcBorders>
              <w:top w:val="single" w:sz="8" w:space="0" w:color="auto"/>
              <w:left w:val="nil"/>
              <w:bottom w:val="single" w:sz="12" w:space="0" w:color="auto"/>
              <w:right w:val="nil"/>
            </w:tcBorders>
            <w:shd w:val="clear" w:color="auto" w:fill="auto"/>
            <w:noWrap/>
            <w:vAlign w:val="bottom"/>
            <w:hideMark/>
          </w:tcPr>
          <w:p w:rsidR="00606D2C" w:rsidRPr="002C70E1" w:rsidRDefault="00606D2C" w:rsidP="0016645B">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2016</w:t>
            </w:r>
          </w:p>
        </w:tc>
        <w:tc>
          <w:tcPr>
            <w:tcW w:w="1145" w:type="dxa"/>
            <w:tcBorders>
              <w:top w:val="single" w:sz="12" w:space="0" w:color="auto"/>
              <w:left w:val="single" w:sz="12" w:space="0" w:color="auto"/>
              <w:bottom w:val="single" w:sz="12" w:space="0" w:color="auto"/>
              <w:right w:val="nil"/>
            </w:tcBorders>
            <w:shd w:val="clear" w:color="auto" w:fill="auto"/>
            <w:noWrap/>
            <w:vAlign w:val="bottom"/>
            <w:hideMark/>
          </w:tcPr>
          <w:p w:rsidR="00606D2C" w:rsidRPr="002C70E1" w:rsidRDefault="00606D2C" w:rsidP="0016645B">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28" w:type="dxa"/>
            <w:tcBorders>
              <w:top w:val="single" w:sz="12" w:space="0" w:color="auto"/>
              <w:left w:val="nil"/>
              <w:bottom w:val="single" w:sz="12" w:space="0" w:color="auto"/>
              <w:right w:val="single" w:sz="12" w:space="0" w:color="auto"/>
            </w:tcBorders>
            <w:shd w:val="clear" w:color="auto" w:fill="auto"/>
            <w:noWrap/>
            <w:vAlign w:val="bottom"/>
            <w:hideMark/>
          </w:tcPr>
          <w:p w:rsidR="00606D2C" w:rsidRPr="002C70E1" w:rsidRDefault="00606D2C" w:rsidP="0016645B">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3628" w:type="dxa"/>
            <w:gridSpan w:val="2"/>
            <w:tcBorders>
              <w:top w:val="single" w:sz="8" w:space="0" w:color="auto"/>
              <w:left w:val="nil"/>
              <w:right w:val="single" w:sz="12" w:space="0" w:color="auto"/>
            </w:tcBorders>
            <w:shd w:val="clear" w:color="auto" w:fill="auto"/>
            <w:noWrap/>
            <w:vAlign w:val="bottom"/>
          </w:tcPr>
          <w:p w:rsidR="00606D2C" w:rsidRPr="002C70E1" w:rsidRDefault="00606D2C" w:rsidP="0016645B">
            <w:pPr>
              <w:spacing w:before="0" w:after="0"/>
              <w:jc w:val="right"/>
              <w:rPr>
                <w:rFonts w:eastAsia="Times New Roman" w:cs="Arial"/>
                <w:color w:val="000000"/>
                <w:sz w:val="20"/>
                <w:szCs w:val="24"/>
                <w:lang w:eastAsia="cs-CZ"/>
              </w:rPr>
            </w:pPr>
          </w:p>
        </w:tc>
        <w:tc>
          <w:tcPr>
            <w:tcW w:w="1624" w:type="dxa"/>
            <w:tcBorders>
              <w:top w:val="single" w:sz="8" w:space="0" w:color="auto"/>
              <w:left w:val="single" w:sz="12" w:space="0" w:color="auto"/>
              <w:bottom w:val="single" w:sz="12" w:space="0" w:color="auto"/>
            </w:tcBorders>
            <w:shd w:val="clear" w:color="auto" w:fill="auto"/>
            <w:noWrap/>
            <w:vAlign w:val="bottom"/>
          </w:tcPr>
          <w:p w:rsidR="00606D2C" w:rsidRPr="002C70E1" w:rsidRDefault="00606D2C" w:rsidP="0016645B">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18" w:type="dxa"/>
            <w:tcBorders>
              <w:top w:val="single" w:sz="8" w:space="0" w:color="auto"/>
              <w:bottom w:val="single" w:sz="12" w:space="0" w:color="auto"/>
              <w:right w:val="single" w:sz="12" w:space="0" w:color="auto"/>
            </w:tcBorders>
            <w:shd w:val="clear" w:color="auto" w:fill="auto"/>
            <w:noWrap/>
            <w:vAlign w:val="bottom"/>
          </w:tcPr>
          <w:p w:rsidR="00606D2C" w:rsidRPr="002C70E1" w:rsidRDefault="00606D2C" w:rsidP="0016645B">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N</w:t>
            </w:r>
          </w:p>
        </w:tc>
      </w:tr>
      <w:tr w:rsidR="00606D2C" w:rsidRPr="002C70E1" w:rsidTr="0016645B">
        <w:trPr>
          <w:trHeight w:val="227"/>
        </w:trPr>
        <w:tc>
          <w:tcPr>
            <w:tcW w:w="719" w:type="dxa"/>
            <w:vMerge w:val="restart"/>
            <w:tcBorders>
              <w:top w:val="nil"/>
              <w:left w:val="single" w:sz="8" w:space="0" w:color="auto"/>
              <w:bottom w:val="single" w:sz="8" w:space="0" w:color="000000"/>
              <w:right w:val="single" w:sz="8" w:space="0" w:color="auto"/>
            </w:tcBorders>
            <w:shd w:val="clear" w:color="000000" w:fill="EBF1DE"/>
            <w:noWrap/>
            <w:textDirection w:val="btLr"/>
            <w:vAlign w:val="center"/>
            <w:hideMark/>
          </w:tcPr>
          <w:p w:rsidR="00606D2C" w:rsidRPr="002C70E1" w:rsidRDefault="00606D2C" w:rsidP="0016645B">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Cílené poskytování příspěvků APZ</w:t>
            </w:r>
          </w:p>
        </w:tc>
        <w:tc>
          <w:tcPr>
            <w:tcW w:w="2935" w:type="dxa"/>
            <w:gridSpan w:val="5"/>
            <w:tcBorders>
              <w:top w:val="single" w:sz="12" w:space="0" w:color="auto"/>
              <w:left w:val="nil"/>
            </w:tcBorders>
            <w:shd w:val="clear" w:color="auto" w:fill="auto"/>
            <w:noWrap/>
            <w:vAlign w:val="bottom"/>
          </w:tcPr>
          <w:p w:rsidR="00606D2C" w:rsidRPr="002C70E1" w:rsidRDefault="00606D2C" w:rsidP="0016645B">
            <w:pPr>
              <w:spacing w:before="0" w:after="0"/>
              <w:jc w:val="right"/>
              <w:rPr>
                <w:rFonts w:eastAsia="Times New Roman" w:cs="Arial"/>
                <w:b/>
                <w:bCs/>
                <w:color w:val="000000"/>
                <w:sz w:val="20"/>
                <w:szCs w:val="24"/>
                <w:lang w:eastAsia="cs-CZ"/>
              </w:rPr>
            </w:pPr>
          </w:p>
        </w:tc>
        <w:tc>
          <w:tcPr>
            <w:tcW w:w="1145" w:type="dxa"/>
            <w:tcBorders>
              <w:top w:val="single" w:sz="8" w:space="0" w:color="auto"/>
            </w:tcBorders>
            <w:shd w:val="clear" w:color="auto" w:fill="auto"/>
            <w:noWrap/>
            <w:vAlign w:val="bottom"/>
          </w:tcPr>
          <w:p w:rsidR="00606D2C" w:rsidRPr="002C70E1" w:rsidRDefault="00606D2C" w:rsidP="0016645B">
            <w:pPr>
              <w:spacing w:before="0" w:after="0"/>
              <w:jc w:val="center"/>
              <w:rPr>
                <w:rFonts w:eastAsia="Times New Roman" w:cs="Arial"/>
                <w:b/>
                <w:bCs/>
                <w:color w:val="000000"/>
                <w:sz w:val="20"/>
                <w:szCs w:val="24"/>
                <w:lang w:eastAsia="cs-CZ"/>
              </w:rPr>
            </w:pPr>
          </w:p>
        </w:tc>
        <w:tc>
          <w:tcPr>
            <w:tcW w:w="4656" w:type="dxa"/>
            <w:gridSpan w:val="3"/>
            <w:shd w:val="clear" w:color="auto" w:fill="auto"/>
            <w:noWrap/>
            <w:vAlign w:val="center"/>
            <w:hideMark/>
          </w:tcPr>
          <w:p w:rsidR="00606D2C" w:rsidRPr="002C70E1" w:rsidRDefault="00606D2C" w:rsidP="0016645B">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24" w:type="dxa"/>
            <w:shd w:val="clear" w:color="auto" w:fill="auto"/>
            <w:noWrap/>
            <w:vAlign w:val="center"/>
          </w:tcPr>
          <w:p w:rsidR="00606D2C" w:rsidRPr="002C70E1" w:rsidRDefault="00606D2C" w:rsidP="0016645B">
            <w:pPr>
              <w:spacing w:before="0" w:after="0"/>
              <w:jc w:val="center"/>
              <w:rPr>
                <w:rFonts w:eastAsia="Times New Roman" w:cs="Arial"/>
                <w:b/>
                <w:bCs/>
                <w:color w:val="000000"/>
                <w:sz w:val="20"/>
                <w:szCs w:val="24"/>
                <w:u w:val="single"/>
                <w:lang w:eastAsia="cs-CZ"/>
              </w:rPr>
            </w:pPr>
          </w:p>
        </w:tc>
        <w:tc>
          <w:tcPr>
            <w:tcW w:w="3018" w:type="dxa"/>
            <w:tcBorders>
              <w:top w:val="single" w:sz="8" w:space="0" w:color="auto"/>
              <w:right w:val="single" w:sz="8" w:space="0" w:color="auto"/>
            </w:tcBorders>
            <w:shd w:val="clear" w:color="auto" w:fill="auto"/>
            <w:noWrap/>
            <w:vAlign w:val="center"/>
          </w:tcPr>
          <w:p w:rsidR="00606D2C" w:rsidRPr="002C70E1" w:rsidRDefault="00606D2C" w:rsidP="0016645B">
            <w:pPr>
              <w:spacing w:before="0" w:after="0"/>
              <w:jc w:val="center"/>
              <w:rPr>
                <w:rFonts w:eastAsia="Times New Roman" w:cs="Arial"/>
                <w:b/>
                <w:bCs/>
                <w:color w:val="000000"/>
                <w:sz w:val="20"/>
                <w:szCs w:val="24"/>
                <w:u w:val="single"/>
                <w:lang w:eastAsia="cs-CZ"/>
              </w:rPr>
            </w:pPr>
          </w:p>
        </w:tc>
      </w:tr>
      <w:tr w:rsidR="00606D2C" w:rsidRPr="002C70E1" w:rsidTr="0016645B">
        <w:trPr>
          <w:trHeight w:val="1260"/>
        </w:trPr>
        <w:tc>
          <w:tcPr>
            <w:tcW w:w="719"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16645B">
            <w:pPr>
              <w:spacing w:before="0" w:after="0"/>
              <w:jc w:val="left"/>
              <w:rPr>
                <w:rFonts w:eastAsia="Times New Roman" w:cs="Arial"/>
                <w:b/>
                <w:bCs/>
                <w:color w:val="000000"/>
                <w:sz w:val="20"/>
                <w:szCs w:val="24"/>
                <w:lang w:eastAsia="cs-CZ"/>
              </w:rPr>
            </w:pPr>
          </w:p>
        </w:tc>
        <w:tc>
          <w:tcPr>
            <w:tcW w:w="13378" w:type="dxa"/>
            <w:gridSpan w:val="11"/>
            <w:tcBorders>
              <w:left w:val="nil"/>
              <w:bottom w:val="double" w:sz="6" w:space="0" w:color="auto"/>
              <w:right w:val="single" w:sz="8" w:space="0" w:color="000000"/>
            </w:tcBorders>
            <w:shd w:val="clear" w:color="auto" w:fill="auto"/>
            <w:hideMark/>
          </w:tcPr>
          <w:p w:rsidR="00606D2C" w:rsidRPr="002C70E1" w:rsidRDefault="00606D2C" w:rsidP="0016645B">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Významně eliminovat tzv. „</w:t>
            </w:r>
            <w:proofErr w:type="spellStart"/>
            <w:r w:rsidRPr="002C70E1">
              <w:rPr>
                <w:rFonts w:eastAsia="Times New Roman" w:cs="Arial"/>
                <w:color w:val="000000"/>
                <w:sz w:val="20"/>
                <w:szCs w:val="24"/>
                <w:lang w:eastAsia="cs-CZ"/>
              </w:rPr>
              <w:t>cream-off</w:t>
            </w:r>
            <w:proofErr w:type="spellEnd"/>
            <w:r w:rsidRPr="002C70E1">
              <w:rPr>
                <w:rFonts w:eastAsia="Times New Roman" w:cs="Arial"/>
                <w:color w:val="000000"/>
                <w:sz w:val="20"/>
                <w:szCs w:val="24"/>
                <w:lang w:eastAsia="cs-CZ"/>
              </w:rPr>
              <w:t xml:space="preserve"> </w:t>
            </w:r>
            <w:proofErr w:type="spellStart"/>
            <w:r w:rsidRPr="002C70E1">
              <w:rPr>
                <w:rFonts w:eastAsia="Times New Roman" w:cs="Arial"/>
                <w:color w:val="000000"/>
                <w:sz w:val="20"/>
                <w:szCs w:val="24"/>
                <w:lang w:eastAsia="cs-CZ"/>
              </w:rPr>
              <w:t>effect</w:t>
            </w:r>
            <w:proofErr w:type="spellEnd"/>
            <w:r w:rsidRPr="002C70E1">
              <w:rPr>
                <w:rFonts w:eastAsia="Times New Roman" w:cs="Arial"/>
                <w:color w:val="000000"/>
                <w:sz w:val="20"/>
                <w:szCs w:val="24"/>
                <w:lang w:eastAsia="cs-CZ"/>
              </w:rPr>
              <w:t>“ u nástrojů APZ – tzn. při poskytování příspěvků zaměstnavatelům na podporu zaměstnanost</w:t>
            </w:r>
            <w:r w:rsidR="00820FB7">
              <w:rPr>
                <w:rFonts w:eastAsia="Times New Roman" w:cs="Arial"/>
                <w:color w:val="000000"/>
                <w:sz w:val="20"/>
                <w:szCs w:val="24"/>
                <w:lang w:eastAsia="cs-CZ"/>
              </w:rPr>
              <w:t>i uchazečů o </w:t>
            </w:r>
            <w:r w:rsidRPr="002C70E1">
              <w:rPr>
                <w:rFonts w:eastAsia="Times New Roman" w:cs="Arial"/>
                <w:color w:val="000000"/>
                <w:sz w:val="20"/>
                <w:szCs w:val="24"/>
                <w:lang w:eastAsia="cs-CZ"/>
              </w:rPr>
              <w:t>zaměstnání cíleně reflektovat míru znevýhodnění uchazeče o zaměstnání na trhu práce. APZ využívat k motivaci zaměstnavatelů zaměstnávat nejvíce znevýhodněné skupiny osob (dlouhodobě nezaměstnané, kumulace hendikepů). Zvýšený zájem zaměstnavatelů o nové zaměstnance vytváří prostor, resp. šanci pro pracovní uplatnění uchazečů o zaměstnání, kteří pro svůj zdravotní stav, věk, péči o dítě nebo z jiných vážných důvodů mají zhoršené uplatnění na trhu práce a potřebují zvýšenou péči při zprostředkování zaměstnání.</w:t>
            </w:r>
          </w:p>
        </w:tc>
      </w:tr>
      <w:tr w:rsidR="00606D2C" w:rsidRPr="002C70E1" w:rsidTr="0016645B">
        <w:trPr>
          <w:trHeight w:val="285"/>
        </w:trPr>
        <w:tc>
          <w:tcPr>
            <w:tcW w:w="719" w:type="dxa"/>
            <w:vMerge/>
            <w:tcBorders>
              <w:top w:val="nil"/>
              <w:left w:val="single" w:sz="8" w:space="0" w:color="auto"/>
              <w:bottom w:val="single" w:sz="8" w:space="0" w:color="000000"/>
              <w:right w:val="double" w:sz="6" w:space="0" w:color="auto"/>
            </w:tcBorders>
            <w:vAlign w:val="center"/>
            <w:hideMark/>
          </w:tcPr>
          <w:p w:rsidR="00606D2C" w:rsidRPr="002C70E1" w:rsidRDefault="00606D2C" w:rsidP="0016645B">
            <w:pPr>
              <w:spacing w:before="0" w:after="0"/>
              <w:jc w:val="left"/>
              <w:rPr>
                <w:rFonts w:eastAsia="Times New Roman" w:cs="Arial"/>
                <w:b/>
                <w:bCs/>
                <w:color w:val="000000"/>
                <w:sz w:val="20"/>
                <w:szCs w:val="24"/>
                <w:lang w:eastAsia="cs-CZ"/>
              </w:rPr>
            </w:pPr>
          </w:p>
        </w:tc>
        <w:tc>
          <w:tcPr>
            <w:tcW w:w="580" w:type="dxa"/>
            <w:tcBorders>
              <w:top w:val="double" w:sz="6" w:space="0" w:color="auto"/>
              <w:left w:val="double" w:sz="6" w:space="0" w:color="auto"/>
              <w:bottom w:val="double" w:sz="6" w:space="0" w:color="auto"/>
              <w:right w:val="nil"/>
            </w:tcBorders>
            <w:shd w:val="clear" w:color="000000" w:fill="D8E4BC"/>
            <w:noWrap/>
            <w:vAlign w:val="bottom"/>
            <w:hideMark/>
          </w:tcPr>
          <w:p w:rsidR="00606D2C" w:rsidRPr="002C70E1" w:rsidRDefault="00606D2C" w:rsidP="0016645B">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500" w:type="dxa"/>
            <w:gridSpan w:val="5"/>
            <w:tcBorders>
              <w:top w:val="double" w:sz="6" w:space="0" w:color="auto"/>
              <w:left w:val="nil"/>
              <w:bottom w:val="double" w:sz="6" w:space="0" w:color="auto"/>
              <w:right w:val="double" w:sz="6" w:space="0" w:color="auto"/>
            </w:tcBorders>
            <w:shd w:val="clear" w:color="000000" w:fill="D8E4BC"/>
            <w:vAlign w:val="bottom"/>
            <w:hideMark/>
          </w:tcPr>
          <w:p w:rsidR="00606D2C" w:rsidRPr="002C70E1" w:rsidRDefault="00606D2C" w:rsidP="0016645B">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Průběžně plněno</w:t>
            </w:r>
          </w:p>
        </w:tc>
        <w:tc>
          <w:tcPr>
            <w:tcW w:w="4656" w:type="dxa"/>
            <w:gridSpan w:val="3"/>
            <w:tcBorders>
              <w:top w:val="double" w:sz="6" w:space="0" w:color="auto"/>
              <w:left w:val="double" w:sz="6" w:space="0" w:color="auto"/>
            </w:tcBorders>
            <w:shd w:val="clear" w:color="auto" w:fill="auto"/>
            <w:vAlign w:val="center"/>
            <w:hideMark/>
          </w:tcPr>
          <w:p w:rsidR="00606D2C" w:rsidRPr="002C70E1" w:rsidRDefault="00606D2C" w:rsidP="0016645B">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24" w:type="dxa"/>
            <w:tcBorders>
              <w:top w:val="nil"/>
            </w:tcBorders>
            <w:shd w:val="clear" w:color="auto" w:fill="auto"/>
            <w:vAlign w:val="center"/>
          </w:tcPr>
          <w:p w:rsidR="00606D2C" w:rsidRPr="002C70E1" w:rsidRDefault="00606D2C" w:rsidP="0016645B">
            <w:pPr>
              <w:spacing w:before="0" w:after="0"/>
              <w:jc w:val="right"/>
              <w:rPr>
                <w:rFonts w:eastAsia="Times New Roman" w:cs="Arial"/>
                <w:color w:val="000000"/>
                <w:sz w:val="20"/>
                <w:szCs w:val="24"/>
                <w:lang w:eastAsia="cs-CZ"/>
              </w:rPr>
            </w:pPr>
          </w:p>
        </w:tc>
        <w:tc>
          <w:tcPr>
            <w:tcW w:w="3018" w:type="dxa"/>
            <w:tcBorders>
              <w:top w:val="nil"/>
              <w:right w:val="single" w:sz="8" w:space="0" w:color="auto"/>
            </w:tcBorders>
            <w:shd w:val="clear" w:color="auto" w:fill="auto"/>
            <w:vAlign w:val="center"/>
          </w:tcPr>
          <w:p w:rsidR="00606D2C" w:rsidRPr="002C70E1" w:rsidRDefault="00606D2C" w:rsidP="0016645B">
            <w:pPr>
              <w:spacing w:before="0" w:after="0"/>
              <w:jc w:val="center"/>
              <w:rPr>
                <w:rFonts w:eastAsia="Times New Roman" w:cs="Arial"/>
                <w:b/>
                <w:bCs/>
                <w:color w:val="000000"/>
                <w:sz w:val="20"/>
                <w:szCs w:val="24"/>
                <w:u w:val="single"/>
                <w:lang w:eastAsia="cs-CZ"/>
              </w:rPr>
            </w:pPr>
          </w:p>
        </w:tc>
      </w:tr>
      <w:tr w:rsidR="00606D2C" w:rsidRPr="002C70E1" w:rsidTr="0016645B">
        <w:trPr>
          <w:trHeight w:val="2175"/>
        </w:trPr>
        <w:tc>
          <w:tcPr>
            <w:tcW w:w="719"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16645B">
            <w:pPr>
              <w:spacing w:before="0" w:after="0"/>
              <w:jc w:val="left"/>
              <w:rPr>
                <w:rFonts w:eastAsia="Times New Roman" w:cs="Arial"/>
                <w:b/>
                <w:bCs/>
                <w:color w:val="000000"/>
                <w:sz w:val="20"/>
                <w:szCs w:val="24"/>
                <w:lang w:eastAsia="cs-CZ"/>
              </w:rPr>
            </w:pPr>
          </w:p>
        </w:tc>
        <w:tc>
          <w:tcPr>
            <w:tcW w:w="580" w:type="dxa"/>
            <w:tcBorders>
              <w:top w:val="nil"/>
              <w:left w:val="single" w:sz="8" w:space="0" w:color="auto"/>
              <w:bottom w:val="single" w:sz="4" w:space="0" w:color="000000"/>
              <w:right w:val="single" w:sz="4" w:space="0" w:color="auto"/>
            </w:tcBorders>
            <w:shd w:val="clear" w:color="auto" w:fill="auto"/>
            <w:textDirection w:val="btLr"/>
            <w:vAlign w:val="center"/>
            <w:hideMark/>
          </w:tcPr>
          <w:p w:rsidR="00606D2C" w:rsidRPr="002C70E1" w:rsidRDefault="00606D2C" w:rsidP="0016645B">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minulé</w:t>
            </w:r>
          </w:p>
        </w:tc>
        <w:tc>
          <w:tcPr>
            <w:tcW w:w="12798" w:type="dxa"/>
            <w:gridSpan w:val="10"/>
            <w:tcBorders>
              <w:top w:val="nil"/>
              <w:left w:val="single" w:sz="4" w:space="0" w:color="auto"/>
              <w:bottom w:val="single" w:sz="4" w:space="0" w:color="000000"/>
              <w:right w:val="single" w:sz="8" w:space="0" w:color="000000"/>
            </w:tcBorders>
            <w:shd w:val="clear" w:color="auto" w:fill="auto"/>
            <w:hideMark/>
          </w:tcPr>
          <w:p w:rsidR="00606D2C" w:rsidRPr="002C70E1" w:rsidRDefault="0016645B" w:rsidP="00820FB7">
            <w:pPr>
              <w:spacing w:before="0" w:after="0"/>
              <w:rPr>
                <w:rFonts w:eastAsia="Times New Roman" w:cs="Arial"/>
                <w:color w:val="000000"/>
                <w:sz w:val="20"/>
                <w:szCs w:val="24"/>
                <w:lang w:eastAsia="cs-CZ"/>
              </w:rPr>
            </w:pPr>
            <w:r>
              <w:rPr>
                <w:rFonts w:eastAsia="Times New Roman" w:cs="Arial"/>
                <w:sz w:val="20"/>
                <w:szCs w:val="24"/>
                <w:lang w:eastAsia="cs-CZ"/>
              </w:rPr>
              <w:t>APZ pomáhá</w:t>
            </w:r>
            <w:r w:rsidR="00606D2C" w:rsidRPr="004E56CF">
              <w:rPr>
                <w:rFonts w:eastAsia="Times New Roman" w:cs="Arial"/>
                <w:sz w:val="20"/>
                <w:szCs w:val="24"/>
                <w:lang w:eastAsia="cs-CZ"/>
              </w:rPr>
              <w:t xml:space="preserve"> v návratu na trh práce osobám, které by se vzhledem ke svému věku, vzdělání, zdravotnímu omezení či jinému znevýhodnění stěží uplatnily na trhu práce. </w:t>
            </w:r>
            <w:r>
              <w:rPr>
                <w:rFonts w:eastAsia="Times New Roman" w:cs="Arial"/>
                <w:sz w:val="20"/>
                <w:szCs w:val="24"/>
                <w:lang w:eastAsia="cs-CZ"/>
              </w:rPr>
              <w:t>V</w:t>
            </w:r>
            <w:r w:rsidR="00606D2C" w:rsidRPr="004E56CF">
              <w:rPr>
                <w:rFonts w:eastAsia="Times New Roman" w:cs="Arial"/>
                <w:sz w:val="20"/>
                <w:szCs w:val="24"/>
                <w:lang w:eastAsia="cs-CZ"/>
              </w:rPr>
              <w:t xml:space="preserve"> roce 2016 vytvořeno 21 137 míst VPP pro 22 608 </w:t>
            </w:r>
            <w:proofErr w:type="spellStart"/>
            <w:r w:rsidR="00606D2C" w:rsidRPr="004E56CF">
              <w:rPr>
                <w:rFonts w:eastAsia="Times New Roman" w:cs="Arial"/>
                <w:sz w:val="20"/>
                <w:szCs w:val="24"/>
                <w:lang w:eastAsia="cs-CZ"/>
              </w:rPr>
              <w:t>UoZ</w:t>
            </w:r>
            <w:proofErr w:type="spellEnd"/>
            <w:r>
              <w:rPr>
                <w:rFonts w:eastAsia="Times New Roman" w:cs="Arial"/>
                <w:sz w:val="20"/>
                <w:szCs w:val="24"/>
                <w:lang w:eastAsia="cs-CZ"/>
              </w:rPr>
              <w:t>,</w:t>
            </w:r>
            <w:r w:rsidR="00606D2C" w:rsidRPr="004E56CF">
              <w:rPr>
                <w:rFonts w:eastAsia="Times New Roman" w:cs="Arial"/>
                <w:sz w:val="20"/>
                <w:szCs w:val="24"/>
                <w:lang w:eastAsia="cs-CZ"/>
              </w:rPr>
              <w:t xml:space="preserve"> vyhrazeno 25 244 SÚPM. Příspěvek na zřízení SÚPM, včetně SÚPM-SVČ, byl v roce 2016 poskytnut na vybavení 1 964 pracov</w:t>
            </w:r>
            <w:r>
              <w:rPr>
                <w:rFonts w:eastAsia="Times New Roman" w:cs="Arial"/>
                <w:sz w:val="20"/>
                <w:szCs w:val="24"/>
                <w:lang w:eastAsia="cs-CZ"/>
              </w:rPr>
              <w:t xml:space="preserve">ních míst pro </w:t>
            </w:r>
            <w:proofErr w:type="spellStart"/>
            <w:r>
              <w:rPr>
                <w:rFonts w:eastAsia="Times New Roman" w:cs="Arial"/>
                <w:sz w:val="20"/>
                <w:szCs w:val="24"/>
                <w:lang w:eastAsia="cs-CZ"/>
              </w:rPr>
              <w:t>UoZ</w:t>
            </w:r>
            <w:proofErr w:type="spellEnd"/>
            <w:r>
              <w:rPr>
                <w:rFonts w:eastAsia="Times New Roman" w:cs="Arial"/>
                <w:sz w:val="20"/>
                <w:szCs w:val="24"/>
                <w:lang w:eastAsia="cs-CZ"/>
              </w:rPr>
              <w:t>. Nadále jsou</w:t>
            </w:r>
            <w:r w:rsidR="00606D2C" w:rsidRPr="004E56CF">
              <w:rPr>
                <w:rFonts w:eastAsia="Times New Roman" w:cs="Arial"/>
                <w:sz w:val="20"/>
                <w:szCs w:val="24"/>
                <w:lang w:eastAsia="cs-CZ"/>
              </w:rPr>
              <w:t xml:space="preserve"> APZ přednostně podporováni </w:t>
            </w:r>
            <w:proofErr w:type="spellStart"/>
            <w:r w:rsidR="00606D2C" w:rsidRPr="004E56CF">
              <w:rPr>
                <w:rFonts w:eastAsia="Times New Roman" w:cs="Arial"/>
                <w:sz w:val="20"/>
                <w:szCs w:val="24"/>
                <w:lang w:eastAsia="cs-CZ"/>
              </w:rPr>
              <w:t>UoZ</w:t>
            </w:r>
            <w:proofErr w:type="spellEnd"/>
            <w:r w:rsidR="00606D2C" w:rsidRPr="004E56CF">
              <w:rPr>
                <w:rFonts w:eastAsia="Times New Roman" w:cs="Arial"/>
                <w:sz w:val="20"/>
                <w:szCs w:val="24"/>
                <w:lang w:eastAsia="cs-CZ"/>
              </w:rPr>
              <w:t xml:space="preserve"> dlouhodobě nezaměstnaní či </w:t>
            </w:r>
            <w:proofErr w:type="spellStart"/>
            <w:r>
              <w:rPr>
                <w:rFonts w:eastAsia="Times New Roman" w:cs="Arial"/>
                <w:sz w:val="20"/>
                <w:szCs w:val="24"/>
                <w:lang w:eastAsia="cs-CZ"/>
              </w:rPr>
              <w:t>UoZ</w:t>
            </w:r>
            <w:proofErr w:type="spellEnd"/>
            <w:r w:rsidR="00606D2C" w:rsidRPr="004E56CF">
              <w:rPr>
                <w:rFonts w:eastAsia="Times New Roman" w:cs="Arial"/>
                <w:sz w:val="20"/>
                <w:szCs w:val="24"/>
                <w:lang w:eastAsia="cs-CZ"/>
              </w:rPr>
              <w:t xml:space="preserve"> s výraznými hendikepy na trhu práce. V 1. pol</w:t>
            </w:r>
            <w:r>
              <w:rPr>
                <w:rFonts w:eastAsia="Times New Roman" w:cs="Arial"/>
                <w:sz w:val="20"/>
                <w:szCs w:val="24"/>
                <w:lang w:eastAsia="cs-CZ"/>
              </w:rPr>
              <w:t>.</w:t>
            </w:r>
            <w:r w:rsidR="00606D2C" w:rsidRPr="004E56CF">
              <w:rPr>
                <w:rFonts w:eastAsia="Times New Roman" w:cs="Arial"/>
                <w:sz w:val="20"/>
                <w:szCs w:val="24"/>
                <w:lang w:eastAsia="cs-CZ"/>
              </w:rPr>
              <w:t xml:space="preserve"> 2017 bylo vybranými nástroji APZ podpořeno: VPP – 14 024 osob,</w:t>
            </w:r>
            <w:r w:rsidR="00551CC6">
              <w:rPr>
                <w:rFonts w:eastAsia="Times New Roman" w:cs="Arial"/>
                <w:sz w:val="20"/>
                <w:szCs w:val="24"/>
                <w:lang w:eastAsia="cs-CZ"/>
              </w:rPr>
              <w:t xml:space="preserve"> SÚPM vyhrazené - 9 315 osob, SÚ</w:t>
            </w:r>
            <w:r w:rsidR="00606D2C" w:rsidRPr="004E56CF">
              <w:rPr>
                <w:rFonts w:eastAsia="Times New Roman" w:cs="Arial"/>
                <w:sz w:val="20"/>
                <w:szCs w:val="24"/>
                <w:lang w:eastAsia="cs-CZ"/>
              </w:rPr>
              <w:t xml:space="preserve">PM-SVČ (zřízené za účelem výkonu samostatně výdělečné činnosti) – 823 osob, rekvalifikace zabezpečované ÚP ČR – 6 853 osob, rekvalifikace zvolené – 3 572 osob. V lednu 2017 zahájil </w:t>
            </w:r>
            <w:r>
              <w:rPr>
                <w:rFonts w:eastAsia="Times New Roman" w:cs="Arial"/>
                <w:sz w:val="20"/>
                <w:szCs w:val="24"/>
                <w:lang w:eastAsia="cs-CZ"/>
              </w:rPr>
              <w:t>VÚPSV</w:t>
            </w:r>
            <w:r w:rsidR="00606D2C" w:rsidRPr="004E56CF">
              <w:rPr>
                <w:rFonts w:eastAsia="Times New Roman" w:cs="Arial"/>
                <w:sz w:val="20"/>
                <w:szCs w:val="24"/>
                <w:lang w:eastAsia="cs-CZ"/>
              </w:rPr>
              <w:t xml:space="preserve"> realizaci projektu Vyhodnocování účinnosti a efektivity realizace APZ. Cílem projektu je prostřednictvím vyhodnocení efekt</w:t>
            </w:r>
            <w:r w:rsidR="00972C41">
              <w:rPr>
                <w:rFonts w:eastAsia="Times New Roman" w:cs="Arial"/>
                <w:sz w:val="20"/>
                <w:szCs w:val="24"/>
                <w:lang w:eastAsia="cs-CZ"/>
              </w:rPr>
              <w:t>ů</w:t>
            </w:r>
            <w:r w:rsidR="00606D2C" w:rsidRPr="004E56CF">
              <w:rPr>
                <w:rFonts w:eastAsia="Times New Roman" w:cs="Arial"/>
                <w:sz w:val="20"/>
                <w:szCs w:val="24"/>
                <w:lang w:eastAsia="cs-CZ"/>
              </w:rPr>
              <w:t xml:space="preserve"> APZ se zaměřením na rizikové skupiny na trhu práce a nastavení průběžného systému vyhodnocování efektivity APZ, poskytnout relevantní informace o účinnosti APZ pro jednotlivé skupiny podporovaných osob a zabezpečení průběžných informací o účincích APZ.</w:t>
            </w:r>
          </w:p>
        </w:tc>
      </w:tr>
      <w:tr w:rsidR="00606D2C" w:rsidRPr="002C70E1" w:rsidTr="0016645B">
        <w:trPr>
          <w:trHeight w:val="2825"/>
        </w:trPr>
        <w:tc>
          <w:tcPr>
            <w:tcW w:w="719"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606D2C">
            <w:pPr>
              <w:jc w:val="left"/>
              <w:rPr>
                <w:rFonts w:eastAsia="Times New Roman" w:cs="Arial"/>
                <w:b/>
                <w:bCs/>
                <w:color w:val="000000"/>
                <w:sz w:val="20"/>
                <w:szCs w:val="24"/>
                <w:lang w:eastAsia="cs-CZ"/>
              </w:rPr>
            </w:pPr>
          </w:p>
        </w:tc>
        <w:tc>
          <w:tcPr>
            <w:tcW w:w="580" w:type="dxa"/>
            <w:tcBorders>
              <w:top w:val="single" w:sz="8" w:space="0" w:color="auto"/>
              <w:left w:val="nil"/>
              <w:bottom w:val="single" w:sz="8" w:space="0" w:color="auto"/>
              <w:right w:val="single" w:sz="8" w:space="0" w:color="auto"/>
            </w:tcBorders>
            <w:shd w:val="clear" w:color="auto" w:fill="auto"/>
            <w:textDirection w:val="btLr"/>
            <w:vAlign w:val="center"/>
            <w:hideMark/>
          </w:tcPr>
          <w:p w:rsidR="00606D2C" w:rsidRPr="002C70E1" w:rsidRDefault="00606D2C" w:rsidP="00606D2C">
            <w:pPr>
              <w:jc w:val="center"/>
              <w:rPr>
                <w:rFonts w:eastAsia="Times New Roman" w:cs="Arial"/>
                <w:color w:val="000000"/>
                <w:sz w:val="20"/>
                <w:szCs w:val="24"/>
                <w:lang w:eastAsia="cs-CZ"/>
              </w:rPr>
            </w:pPr>
            <w:r w:rsidRPr="002C70E1">
              <w:rPr>
                <w:rFonts w:eastAsia="Times New Roman" w:cs="Arial"/>
                <w:color w:val="000000"/>
                <w:sz w:val="20"/>
                <w:szCs w:val="24"/>
                <w:lang w:eastAsia="cs-CZ"/>
              </w:rPr>
              <w:t xml:space="preserve">sledované </w:t>
            </w:r>
          </w:p>
        </w:tc>
        <w:tc>
          <w:tcPr>
            <w:tcW w:w="12798" w:type="dxa"/>
            <w:gridSpan w:val="10"/>
            <w:tcBorders>
              <w:top w:val="single" w:sz="4" w:space="0" w:color="auto"/>
              <w:left w:val="single" w:sz="8" w:space="0" w:color="auto"/>
              <w:bottom w:val="single" w:sz="8" w:space="0" w:color="auto"/>
              <w:right w:val="single" w:sz="8" w:space="0" w:color="000000"/>
            </w:tcBorders>
            <w:shd w:val="clear" w:color="auto" w:fill="auto"/>
            <w:hideMark/>
          </w:tcPr>
          <w:p w:rsidR="00606D2C" w:rsidRPr="002C70E1" w:rsidRDefault="00606D2C" w:rsidP="00972C41">
            <w:pPr>
              <w:spacing w:before="0" w:after="0"/>
              <w:rPr>
                <w:rFonts w:eastAsia="Times New Roman" w:cs="Arial"/>
                <w:color w:val="000000"/>
                <w:sz w:val="20"/>
                <w:szCs w:val="24"/>
                <w:lang w:eastAsia="cs-CZ"/>
              </w:rPr>
            </w:pPr>
            <w:r w:rsidRPr="00F210E7">
              <w:rPr>
                <w:rFonts w:eastAsia="Times New Roman" w:cs="Arial"/>
                <w:sz w:val="20"/>
                <w:szCs w:val="24"/>
                <w:lang w:eastAsia="cs-CZ"/>
              </w:rPr>
              <w:t xml:space="preserve">V roce 2017 bylo vybranými nástroji APZ podpořeno: VPP – 19 259 osob, </w:t>
            </w:r>
            <w:r w:rsidR="00551CC6">
              <w:rPr>
                <w:rFonts w:eastAsia="Times New Roman" w:cs="Arial"/>
                <w:sz w:val="20"/>
                <w:szCs w:val="24"/>
                <w:lang w:eastAsia="cs-CZ"/>
              </w:rPr>
              <w:t>SÚPM vyhrazené – 16 021 osob, SÚ</w:t>
            </w:r>
            <w:r w:rsidRPr="00F210E7">
              <w:rPr>
                <w:rFonts w:eastAsia="Times New Roman" w:cs="Arial"/>
                <w:sz w:val="20"/>
                <w:szCs w:val="24"/>
                <w:lang w:eastAsia="cs-CZ"/>
              </w:rPr>
              <w:t>PM-SVČ (zřízené za účelem výkonu samostatně výdělečné činnosti) – 1 399 osob, rekvalifikace zabezpečované ÚP ČR – 11 478 osob, rekvalifikace zvolené – 6 696 osob. S účinností od 29. 7. 2017 došlo novelizac</w:t>
            </w:r>
            <w:r w:rsidR="00972C41">
              <w:rPr>
                <w:rFonts w:eastAsia="Times New Roman" w:cs="Arial"/>
                <w:sz w:val="20"/>
                <w:szCs w:val="24"/>
                <w:lang w:eastAsia="cs-CZ"/>
              </w:rPr>
              <w:t>í</w:t>
            </w:r>
            <w:r w:rsidRPr="00F210E7">
              <w:rPr>
                <w:rFonts w:eastAsia="Times New Roman" w:cs="Arial"/>
                <w:sz w:val="20"/>
                <w:szCs w:val="24"/>
                <w:lang w:eastAsia="cs-CZ"/>
              </w:rPr>
              <w:t xml:space="preserve"> zákona o zaměstnanosti, k prodloužení možnosti poskytovat příspěvek na vyhrazení </w:t>
            </w:r>
            <w:r w:rsidR="00972C41">
              <w:rPr>
                <w:rFonts w:eastAsia="Times New Roman" w:cs="Arial"/>
                <w:sz w:val="20"/>
                <w:szCs w:val="24"/>
                <w:lang w:eastAsia="cs-CZ"/>
              </w:rPr>
              <w:t>SÚPM</w:t>
            </w:r>
            <w:r w:rsidRPr="00F210E7">
              <w:rPr>
                <w:rFonts w:eastAsia="Times New Roman" w:cs="Arial"/>
                <w:sz w:val="20"/>
                <w:szCs w:val="24"/>
                <w:lang w:eastAsia="cs-CZ"/>
              </w:rPr>
              <w:t xml:space="preserve"> z 12 na 24 měsíců. </w:t>
            </w:r>
            <w:r w:rsidRPr="00C24955">
              <w:rPr>
                <w:rFonts w:eastAsia="Times New Roman" w:cs="Arial"/>
                <w:sz w:val="20"/>
                <w:szCs w:val="24"/>
                <w:lang w:eastAsia="cs-CZ"/>
              </w:rPr>
              <w:t xml:space="preserve">Metodickým dopisem MPSV pro sjednocení postupu ÚP ČR k době poskytování příspěvku bylo upraveno, že vyhrazení jednoho SÚPM na maximální dobu 24 měsíců bude posuzováno individuálně u každého </w:t>
            </w:r>
            <w:proofErr w:type="spellStart"/>
            <w:r w:rsidR="00972C41">
              <w:rPr>
                <w:rFonts w:eastAsia="Times New Roman" w:cs="Arial"/>
                <w:sz w:val="20"/>
                <w:szCs w:val="24"/>
                <w:lang w:eastAsia="cs-CZ"/>
              </w:rPr>
              <w:t>UoZ</w:t>
            </w:r>
            <w:proofErr w:type="spellEnd"/>
            <w:r w:rsidRPr="00C24955">
              <w:rPr>
                <w:rFonts w:eastAsia="Times New Roman" w:cs="Arial"/>
                <w:sz w:val="20"/>
                <w:szCs w:val="24"/>
                <w:lang w:eastAsia="cs-CZ"/>
              </w:rPr>
              <w:t xml:space="preserve">, realizováno bude pro </w:t>
            </w:r>
            <w:proofErr w:type="spellStart"/>
            <w:r w:rsidR="00972C41">
              <w:rPr>
                <w:rFonts w:eastAsia="Times New Roman" w:cs="Arial"/>
                <w:sz w:val="20"/>
                <w:szCs w:val="24"/>
                <w:lang w:eastAsia="cs-CZ"/>
              </w:rPr>
              <w:t>UoZ</w:t>
            </w:r>
            <w:proofErr w:type="spellEnd"/>
            <w:r w:rsidRPr="00C24955">
              <w:rPr>
                <w:rFonts w:eastAsia="Times New Roman" w:cs="Arial"/>
                <w:sz w:val="20"/>
                <w:szCs w:val="24"/>
                <w:lang w:eastAsia="cs-CZ"/>
              </w:rPr>
              <w:t xml:space="preserve">, kteří jsou vedeni v evidenci </w:t>
            </w:r>
            <w:proofErr w:type="spellStart"/>
            <w:r w:rsidR="00972C41">
              <w:rPr>
                <w:rFonts w:eastAsia="Times New Roman" w:cs="Arial"/>
                <w:sz w:val="20"/>
                <w:szCs w:val="24"/>
                <w:lang w:eastAsia="cs-CZ"/>
              </w:rPr>
              <w:t>UoZ</w:t>
            </w:r>
            <w:proofErr w:type="spellEnd"/>
            <w:r w:rsidRPr="00C24955">
              <w:rPr>
                <w:rFonts w:eastAsia="Times New Roman" w:cs="Arial"/>
                <w:sz w:val="20"/>
                <w:szCs w:val="24"/>
                <w:lang w:eastAsia="cs-CZ"/>
              </w:rPr>
              <w:t xml:space="preserve"> déle než 24 měsíců, u osob s nízkou nebo žádnou kvalifikací a u osob, které jsou ohroženy sociálním vyloučením nebo jsou sociálně vyloučené (např. osoby ze </w:t>
            </w:r>
            <w:proofErr w:type="spellStart"/>
            <w:r w:rsidRPr="00C24955">
              <w:rPr>
                <w:rFonts w:eastAsia="Times New Roman" w:cs="Arial"/>
                <w:sz w:val="20"/>
                <w:szCs w:val="24"/>
                <w:lang w:eastAsia="cs-CZ"/>
              </w:rPr>
              <w:t>sociokulturně</w:t>
            </w:r>
            <w:proofErr w:type="spellEnd"/>
            <w:r w:rsidRPr="00C24955">
              <w:rPr>
                <w:rFonts w:eastAsia="Times New Roman" w:cs="Arial"/>
                <w:sz w:val="20"/>
                <w:szCs w:val="24"/>
                <w:lang w:eastAsia="cs-CZ"/>
              </w:rPr>
              <w:t xml:space="preserve"> znevýhodněného prostředí, osob po ukončení výkonu trestu odnětí svobody).</w:t>
            </w:r>
            <w:r>
              <w:rPr>
                <w:rFonts w:eastAsia="Times New Roman" w:cs="Arial"/>
                <w:sz w:val="20"/>
                <w:szCs w:val="24"/>
                <w:lang w:eastAsia="cs-CZ"/>
              </w:rPr>
              <w:t xml:space="preserve"> </w:t>
            </w:r>
            <w:r w:rsidRPr="00F210E7">
              <w:rPr>
                <w:rFonts w:eastAsia="Times New Roman" w:cs="Arial"/>
                <w:sz w:val="20"/>
                <w:szCs w:val="24"/>
                <w:lang w:eastAsia="cs-CZ"/>
              </w:rPr>
              <w:t xml:space="preserve">Od 5. </w:t>
            </w:r>
            <w:r w:rsidR="00972C41">
              <w:rPr>
                <w:rFonts w:eastAsia="Times New Roman" w:cs="Arial"/>
                <w:sz w:val="20"/>
                <w:szCs w:val="24"/>
                <w:lang w:eastAsia="cs-CZ"/>
              </w:rPr>
              <w:t>2.</w:t>
            </w:r>
            <w:r w:rsidRPr="00F210E7">
              <w:rPr>
                <w:rFonts w:eastAsia="Times New Roman" w:cs="Arial"/>
                <w:sz w:val="20"/>
                <w:szCs w:val="24"/>
                <w:lang w:eastAsia="cs-CZ"/>
              </w:rPr>
              <w:t xml:space="preserve"> 2018 je účinný nový akt řízení MPSV upravující realizaci APZ, přičemž předmětem úpravy je možnost podpořit znevýhodněné uchazeč</w:t>
            </w:r>
            <w:r w:rsidR="00551CC6">
              <w:rPr>
                <w:rFonts w:eastAsia="Times New Roman" w:cs="Arial"/>
                <w:sz w:val="20"/>
                <w:szCs w:val="24"/>
                <w:lang w:eastAsia="cs-CZ"/>
              </w:rPr>
              <w:t>e o zaměstnání nástroji VPP a SÚ</w:t>
            </w:r>
            <w:r w:rsidRPr="00F210E7">
              <w:rPr>
                <w:rFonts w:eastAsia="Times New Roman" w:cs="Arial"/>
                <w:sz w:val="20"/>
                <w:szCs w:val="24"/>
                <w:lang w:eastAsia="cs-CZ"/>
              </w:rPr>
              <w:t>PM bez podmínky minimální doby setrvávání podporované osoby v evidenci uchazečů o zaměstnání – posílena preventivní složka nástrojů APZ. Prodlouženou dobu poskytování příspěvku (v rozpětí 12 až 24 měsíců) je možné využít v případě nejvíce znevýhodněných uchazečů o zaměstnání, zejména dlouhodobě nezaměstnaných osob a osob s kumulací znevýhodnění. V odůvodněných případech je možné téhož uchazeče o zaměstnání podpořit nástroji opakovaně</w:t>
            </w:r>
            <w:r w:rsidR="00820FB7">
              <w:rPr>
                <w:rFonts w:eastAsia="Times New Roman" w:cs="Arial"/>
                <w:sz w:val="20"/>
                <w:szCs w:val="24"/>
                <w:lang w:eastAsia="cs-CZ"/>
              </w:rPr>
              <w:t>,</w:t>
            </w:r>
            <w:r w:rsidRPr="00F210E7">
              <w:rPr>
                <w:rFonts w:eastAsia="Times New Roman" w:cs="Arial"/>
                <w:sz w:val="20"/>
                <w:szCs w:val="24"/>
                <w:lang w:eastAsia="cs-CZ"/>
              </w:rPr>
              <w:t xml:space="preserve"> a to i formou „prostupného“ zaměstnávání</w:t>
            </w:r>
            <w:r w:rsidR="00551CC6">
              <w:rPr>
                <w:rFonts w:eastAsia="Times New Roman" w:cs="Arial"/>
                <w:sz w:val="20"/>
                <w:szCs w:val="24"/>
                <w:lang w:eastAsia="cs-CZ"/>
              </w:rPr>
              <w:t>, tj. formou postupu z VPP na SÚ</w:t>
            </w:r>
            <w:r w:rsidRPr="00F210E7">
              <w:rPr>
                <w:rFonts w:eastAsia="Times New Roman" w:cs="Arial"/>
                <w:sz w:val="20"/>
                <w:szCs w:val="24"/>
                <w:lang w:eastAsia="cs-CZ"/>
              </w:rPr>
              <w:t>PM</w:t>
            </w:r>
            <w:r>
              <w:rPr>
                <w:rFonts w:eastAsia="Times New Roman" w:cs="Arial"/>
                <w:sz w:val="20"/>
                <w:szCs w:val="24"/>
                <w:lang w:eastAsia="cs-CZ"/>
              </w:rPr>
              <w:t>.</w:t>
            </w:r>
          </w:p>
        </w:tc>
      </w:tr>
    </w:tbl>
    <w:p w:rsidR="00606D2C" w:rsidRPr="002C70E1" w:rsidRDefault="00606D2C" w:rsidP="00606D2C">
      <w:pPr>
        <w:rPr>
          <w:sz w:val="20"/>
        </w:rPr>
      </w:pPr>
    </w:p>
    <w:tbl>
      <w:tblPr>
        <w:tblW w:w="14097" w:type="dxa"/>
        <w:tblInd w:w="47" w:type="dxa"/>
        <w:tblCellMar>
          <w:left w:w="70" w:type="dxa"/>
          <w:right w:w="70" w:type="dxa"/>
        </w:tblCellMar>
        <w:tblLook w:val="04A0" w:firstRow="1" w:lastRow="0" w:firstColumn="1" w:lastColumn="0" w:noHBand="0" w:noVBand="1"/>
      </w:tblPr>
      <w:tblGrid>
        <w:gridCol w:w="718"/>
        <w:gridCol w:w="581"/>
        <w:gridCol w:w="673"/>
        <w:gridCol w:w="1682"/>
        <w:gridCol w:w="1145"/>
        <w:gridCol w:w="1028"/>
        <w:gridCol w:w="3628"/>
        <w:gridCol w:w="1624"/>
        <w:gridCol w:w="3018"/>
      </w:tblGrid>
      <w:tr w:rsidR="00606D2C" w:rsidRPr="002C70E1" w:rsidTr="00606D2C">
        <w:trPr>
          <w:trHeight w:val="390"/>
        </w:trPr>
        <w:tc>
          <w:tcPr>
            <w:tcW w:w="718" w:type="dxa"/>
            <w:tcBorders>
              <w:top w:val="double" w:sz="6" w:space="0" w:color="auto"/>
              <w:left w:val="double" w:sz="6" w:space="0" w:color="auto"/>
              <w:bottom w:val="double" w:sz="6" w:space="0" w:color="auto"/>
              <w:right w:val="nil"/>
            </w:tcBorders>
            <w:shd w:val="clear" w:color="000000" w:fill="FABF8F"/>
            <w:noWrap/>
            <w:vAlign w:val="center"/>
            <w:hideMark/>
          </w:tcPr>
          <w:p w:rsidR="00606D2C" w:rsidRPr="002C70E1" w:rsidRDefault="00606D2C" w:rsidP="00972C41">
            <w:pPr>
              <w:spacing w:before="0" w:after="0"/>
              <w:jc w:val="center"/>
              <w:rPr>
                <w:rFonts w:eastAsia="Times New Roman" w:cs="Arial"/>
                <w:b/>
                <w:bCs/>
                <w:color w:val="000000"/>
                <w:sz w:val="20"/>
                <w:szCs w:val="24"/>
                <w:lang w:eastAsia="cs-CZ"/>
              </w:rPr>
            </w:pPr>
          </w:p>
        </w:tc>
        <w:tc>
          <w:tcPr>
            <w:tcW w:w="13379" w:type="dxa"/>
            <w:gridSpan w:val="8"/>
            <w:tcBorders>
              <w:top w:val="double" w:sz="6" w:space="0" w:color="auto"/>
              <w:left w:val="nil"/>
              <w:bottom w:val="double" w:sz="6" w:space="0" w:color="auto"/>
              <w:right w:val="double" w:sz="6" w:space="0" w:color="000000"/>
            </w:tcBorders>
            <w:shd w:val="clear" w:color="000000" w:fill="FABF8F"/>
            <w:vAlign w:val="center"/>
            <w:hideMark/>
          </w:tcPr>
          <w:p w:rsidR="00606D2C" w:rsidRPr="002C70E1" w:rsidRDefault="00606D2C" w:rsidP="00972C41">
            <w:pPr>
              <w:pStyle w:val="Nadpis2"/>
              <w:numPr>
                <w:ilvl w:val="0"/>
                <w:numId w:val="0"/>
              </w:numPr>
              <w:spacing w:before="0" w:after="0"/>
              <w:rPr>
                <w:rFonts w:eastAsia="Times New Roman"/>
                <w:lang w:eastAsia="cs-CZ"/>
              </w:rPr>
            </w:pPr>
            <w:bookmarkStart w:id="153" w:name="_Toc492628608"/>
            <w:bookmarkStart w:id="154" w:name="_Toc509474159"/>
            <w:r w:rsidRPr="002C70E1">
              <w:rPr>
                <w:rFonts w:eastAsia="Times New Roman"/>
                <w:lang w:eastAsia="cs-CZ"/>
              </w:rPr>
              <w:t xml:space="preserve">Sk. 3 Intenzifikace </w:t>
            </w:r>
            <w:r w:rsidRPr="00972C41">
              <w:t>činnosti</w:t>
            </w:r>
            <w:r w:rsidRPr="002C70E1">
              <w:rPr>
                <w:rFonts w:eastAsia="Times New Roman"/>
                <w:lang w:eastAsia="cs-CZ"/>
              </w:rPr>
              <w:t xml:space="preserve"> ÚP ČR a SUIP</w:t>
            </w:r>
            <w:bookmarkEnd w:id="153"/>
            <w:bookmarkEnd w:id="154"/>
          </w:p>
        </w:tc>
      </w:tr>
      <w:tr w:rsidR="00606D2C" w:rsidRPr="002C70E1" w:rsidTr="00606D2C">
        <w:trPr>
          <w:trHeight w:val="285"/>
        </w:trPr>
        <w:tc>
          <w:tcPr>
            <w:tcW w:w="718" w:type="dxa"/>
            <w:tcBorders>
              <w:top w:val="single" w:sz="8" w:space="0" w:color="auto"/>
              <w:left w:val="single" w:sz="8" w:space="0" w:color="auto"/>
              <w:bottom w:val="single" w:sz="4" w:space="0" w:color="auto"/>
              <w:right w:val="single" w:sz="12" w:space="0" w:color="auto"/>
            </w:tcBorders>
            <w:shd w:val="clear" w:color="000000" w:fill="FDE9D9"/>
            <w:noWrap/>
            <w:vAlign w:val="bottom"/>
            <w:hideMark/>
          </w:tcPr>
          <w:p w:rsidR="00606D2C" w:rsidRPr="002C70E1" w:rsidRDefault="00606D2C" w:rsidP="00972C41">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3.1</w:t>
            </w:r>
          </w:p>
        </w:tc>
        <w:tc>
          <w:tcPr>
            <w:tcW w:w="1254" w:type="dxa"/>
            <w:gridSpan w:val="2"/>
            <w:tcBorders>
              <w:top w:val="single" w:sz="8" w:space="0" w:color="auto"/>
              <w:left w:val="single" w:sz="12" w:space="0" w:color="auto"/>
              <w:bottom w:val="single" w:sz="12" w:space="0" w:color="auto"/>
              <w:right w:val="nil"/>
            </w:tcBorders>
            <w:shd w:val="clear" w:color="auto" w:fill="auto"/>
            <w:noWrap/>
            <w:vAlign w:val="bottom"/>
            <w:hideMark/>
          </w:tcPr>
          <w:p w:rsidR="00606D2C" w:rsidRPr="002C70E1" w:rsidRDefault="00606D2C" w:rsidP="00972C41">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1682" w:type="dxa"/>
            <w:tcBorders>
              <w:top w:val="single" w:sz="8" w:space="0" w:color="auto"/>
              <w:left w:val="nil"/>
              <w:bottom w:val="single" w:sz="12" w:space="0" w:color="auto"/>
              <w:right w:val="nil"/>
            </w:tcBorders>
            <w:shd w:val="clear" w:color="auto" w:fill="auto"/>
            <w:noWrap/>
            <w:vAlign w:val="bottom"/>
            <w:hideMark/>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průběžně</w:t>
            </w:r>
          </w:p>
        </w:tc>
        <w:tc>
          <w:tcPr>
            <w:tcW w:w="1145" w:type="dxa"/>
            <w:tcBorders>
              <w:top w:val="single" w:sz="12" w:space="0" w:color="auto"/>
              <w:left w:val="single" w:sz="12" w:space="0" w:color="auto"/>
              <w:bottom w:val="single" w:sz="12" w:space="0" w:color="auto"/>
              <w:right w:val="nil"/>
            </w:tcBorders>
            <w:shd w:val="clear" w:color="auto" w:fill="auto"/>
            <w:noWrap/>
            <w:vAlign w:val="bottom"/>
            <w:hideMark/>
          </w:tcPr>
          <w:p w:rsidR="00606D2C" w:rsidRPr="002C70E1" w:rsidRDefault="00606D2C" w:rsidP="00972C41">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28" w:type="dxa"/>
            <w:tcBorders>
              <w:top w:val="single" w:sz="12" w:space="0" w:color="auto"/>
              <w:left w:val="nil"/>
              <w:bottom w:val="single" w:sz="12" w:space="0" w:color="auto"/>
              <w:right w:val="single" w:sz="12" w:space="0" w:color="auto"/>
            </w:tcBorders>
            <w:shd w:val="clear" w:color="auto" w:fill="auto"/>
            <w:noWrap/>
            <w:vAlign w:val="bottom"/>
            <w:hideMark/>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3628" w:type="dxa"/>
            <w:tcBorders>
              <w:top w:val="single" w:sz="8" w:space="0" w:color="auto"/>
              <w:left w:val="nil"/>
              <w:right w:val="single" w:sz="12" w:space="0" w:color="auto"/>
            </w:tcBorders>
            <w:shd w:val="clear" w:color="auto" w:fill="auto"/>
            <w:noWrap/>
            <w:vAlign w:val="bottom"/>
          </w:tcPr>
          <w:p w:rsidR="00606D2C" w:rsidRPr="002C70E1" w:rsidRDefault="00606D2C" w:rsidP="00972C41">
            <w:pPr>
              <w:spacing w:before="0" w:after="0"/>
              <w:jc w:val="right"/>
              <w:rPr>
                <w:rFonts w:eastAsia="Times New Roman" w:cs="Arial"/>
                <w:color w:val="000000"/>
                <w:sz w:val="20"/>
                <w:szCs w:val="24"/>
                <w:lang w:eastAsia="cs-CZ"/>
              </w:rPr>
            </w:pPr>
          </w:p>
        </w:tc>
        <w:tc>
          <w:tcPr>
            <w:tcW w:w="1624" w:type="dxa"/>
            <w:tcBorders>
              <w:top w:val="single" w:sz="8" w:space="0" w:color="auto"/>
              <w:left w:val="single" w:sz="12" w:space="0" w:color="auto"/>
              <w:bottom w:val="single" w:sz="12" w:space="0" w:color="auto"/>
            </w:tcBorders>
            <w:shd w:val="clear" w:color="auto" w:fill="auto"/>
            <w:noWrap/>
            <w:vAlign w:val="bottom"/>
          </w:tcPr>
          <w:p w:rsidR="00606D2C" w:rsidRPr="002C70E1" w:rsidRDefault="00606D2C" w:rsidP="00972C41">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18" w:type="dxa"/>
            <w:tcBorders>
              <w:top w:val="single" w:sz="8" w:space="0" w:color="auto"/>
              <w:bottom w:val="single" w:sz="12" w:space="0" w:color="auto"/>
              <w:right w:val="single" w:sz="12" w:space="0" w:color="auto"/>
            </w:tcBorders>
            <w:shd w:val="clear" w:color="auto" w:fill="auto"/>
            <w:noWrap/>
            <w:vAlign w:val="bottom"/>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N</w:t>
            </w:r>
          </w:p>
        </w:tc>
      </w:tr>
      <w:tr w:rsidR="00606D2C" w:rsidRPr="002C70E1" w:rsidTr="00972C41">
        <w:trPr>
          <w:trHeight w:val="203"/>
        </w:trPr>
        <w:tc>
          <w:tcPr>
            <w:tcW w:w="718" w:type="dxa"/>
            <w:vMerge w:val="restart"/>
            <w:tcBorders>
              <w:top w:val="nil"/>
              <w:left w:val="single" w:sz="8" w:space="0" w:color="auto"/>
              <w:bottom w:val="single" w:sz="8" w:space="0" w:color="000000"/>
              <w:right w:val="single" w:sz="8" w:space="0" w:color="auto"/>
            </w:tcBorders>
            <w:shd w:val="clear" w:color="000000" w:fill="FDE9D9"/>
            <w:noWrap/>
            <w:textDirection w:val="btLr"/>
            <w:vAlign w:val="center"/>
            <w:hideMark/>
          </w:tcPr>
          <w:p w:rsidR="00606D2C" w:rsidRPr="002C70E1" w:rsidRDefault="00606D2C" w:rsidP="00972C41">
            <w:pPr>
              <w:spacing w:before="0" w:after="0"/>
              <w:jc w:val="center"/>
              <w:rPr>
                <w:rFonts w:eastAsia="Times New Roman" w:cs="Arial"/>
                <w:b/>
                <w:bCs/>
                <w:color w:val="000000"/>
                <w:sz w:val="20"/>
                <w:szCs w:val="24"/>
                <w:lang w:eastAsia="cs-CZ"/>
              </w:rPr>
            </w:pPr>
            <w:proofErr w:type="spellStart"/>
            <w:r w:rsidRPr="002C70E1">
              <w:rPr>
                <w:rFonts w:eastAsia="Times New Roman" w:cs="Arial"/>
                <w:b/>
                <w:bCs/>
                <w:color w:val="000000"/>
                <w:sz w:val="20"/>
                <w:szCs w:val="24"/>
                <w:lang w:eastAsia="cs-CZ"/>
              </w:rPr>
              <w:t>Intenz</w:t>
            </w:r>
            <w:proofErr w:type="spellEnd"/>
            <w:r>
              <w:rPr>
                <w:rFonts w:eastAsia="Times New Roman" w:cs="Arial"/>
                <w:b/>
                <w:bCs/>
                <w:color w:val="000000"/>
                <w:sz w:val="20"/>
                <w:szCs w:val="24"/>
                <w:lang w:eastAsia="cs-CZ"/>
              </w:rPr>
              <w:t>.</w:t>
            </w:r>
            <w:r w:rsidRPr="002C70E1">
              <w:rPr>
                <w:rFonts w:eastAsia="Times New Roman" w:cs="Arial"/>
                <w:b/>
                <w:bCs/>
                <w:color w:val="000000"/>
                <w:sz w:val="20"/>
                <w:szCs w:val="24"/>
                <w:lang w:eastAsia="cs-CZ"/>
              </w:rPr>
              <w:t xml:space="preserve"> zprostřed</w:t>
            </w:r>
            <w:r>
              <w:rPr>
                <w:rFonts w:eastAsia="Times New Roman" w:cs="Arial"/>
                <w:b/>
                <w:bCs/>
                <w:color w:val="000000"/>
                <w:sz w:val="20"/>
                <w:szCs w:val="24"/>
                <w:lang w:eastAsia="cs-CZ"/>
              </w:rPr>
              <w:t>.</w:t>
            </w:r>
            <w:r w:rsidRPr="002C70E1">
              <w:rPr>
                <w:rFonts w:eastAsia="Times New Roman" w:cs="Arial"/>
                <w:b/>
                <w:bCs/>
                <w:color w:val="000000"/>
                <w:sz w:val="20"/>
                <w:szCs w:val="24"/>
                <w:lang w:eastAsia="cs-CZ"/>
              </w:rPr>
              <w:t xml:space="preserve"> </w:t>
            </w:r>
            <w:proofErr w:type="gramStart"/>
            <w:r w:rsidRPr="002C70E1">
              <w:rPr>
                <w:rFonts w:eastAsia="Times New Roman" w:cs="Arial"/>
                <w:b/>
                <w:bCs/>
                <w:color w:val="000000"/>
                <w:sz w:val="20"/>
                <w:szCs w:val="24"/>
                <w:lang w:eastAsia="cs-CZ"/>
              </w:rPr>
              <w:t>činnosti</w:t>
            </w:r>
            <w:proofErr w:type="gramEnd"/>
            <w:r w:rsidRPr="002C70E1">
              <w:rPr>
                <w:rFonts w:eastAsia="Times New Roman" w:cs="Arial"/>
                <w:b/>
                <w:bCs/>
                <w:color w:val="000000"/>
                <w:sz w:val="20"/>
                <w:szCs w:val="24"/>
                <w:lang w:eastAsia="cs-CZ"/>
              </w:rPr>
              <w:t xml:space="preserve"> ÚP ČR</w:t>
            </w:r>
          </w:p>
        </w:tc>
        <w:tc>
          <w:tcPr>
            <w:tcW w:w="2936" w:type="dxa"/>
            <w:gridSpan w:val="3"/>
            <w:tcBorders>
              <w:top w:val="single" w:sz="12" w:space="0" w:color="auto"/>
              <w:left w:val="nil"/>
            </w:tcBorders>
            <w:shd w:val="clear" w:color="auto" w:fill="auto"/>
            <w:noWrap/>
            <w:vAlign w:val="bottom"/>
          </w:tcPr>
          <w:p w:rsidR="00606D2C" w:rsidRPr="002C70E1" w:rsidRDefault="00606D2C" w:rsidP="00972C41">
            <w:pPr>
              <w:spacing w:before="0" w:after="0"/>
              <w:jc w:val="right"/>
              <w:rPr>
                <w:rFonts w:eastAsia="Times New Roman" w:cs="Arial"/>
                <w:b/>
                <w:bCs/>
                <w:color w:val="000000"/>
                <w:sz w:val="20"/>
                <w:szCs w:val="24"/>
                <w:lang w:eastAsia="cs-CZ"/>
              </w:rPr>
            </w:pPr>
          </w:p>
        </w:tc>
        <w:tc>
          <w:tcPr>
            <w:tcW w:w="1145" w:type="dxa"/>
            <w:tcBorders>
              <w:top w:val="single" w:sz="8" w:space="0" w:color="auto"/>
            </w:tcBorders>
            <w:shd w:val="clear" w:color="auto" w:fill="auto"/>
            <w:noWrap/>
            <w:vAlign w:val="bottom"/>
          </w:tcPr>
          <w:p w:rsidR="00606D2C" w:rsidRPr="002C70E1" w:rsidRDefault="00606D2C" w:rsidP="00972C41">
            <w:pPr>
              <w:spacing w:before="0" w:after="0"/>
              <w:jc w:val="center"/>
              <w:rPr>
                <w:rFonts w:eastAsia="Times New Roman" w:cs="Arial"/>
                <w:b/>
                <w:bCs/>
                <w:color w:val="000000"/>
                <w:sz w:val="20"/>
                <w:szCs w:val="24"/>
                <w:lang w:eastAsia="cs-CZ"/>
              </w:rPr>
            </w:pPr>
          </w:p>
        </w:tc>
        <w:tc>
          <w:tcPr>
            <w:tcW w:w="4656" w:type="dxa"/>
            <w:gridSpan w:val="2"/>
            <w:shd w:val="clear" w:color="auto" w:fill="auto"/>
            <w:noWrap/>
            <w:vAlign w:val="center"/>
            <w:hideMark/>
          </w:tcPr>
          <w:p w:rsidR="00606D2C" w:rsidRPr="002C70E1" w:rsidRDefault="00606D2C" w:rsidP="00972C41">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24" w:type="dxa"/>
            <w:shd w:val="clear" w:color="auto" w:fill="auto"/>
            <w:noWrap/>
            <w:vAlign w:val="center"/>
          </w:tcPr>
          <w:p w:rsidR="00606D2C" w:rsidRPr="002C70E1" w:rsidRDefault="00606D2C" w:rsidP="00972C41">
            <w:pPr>
              <w:spacing w:before="0" w:after="0"/>
              <w:jc w:val="center"/>
              <w:rPr>
                <w:rFonts w:eastAsia="Times New Roman" w:cs="Arial"/>
                <w:b/>
                <w:bCs/>
                <w:color w:val="000000"/>
                <w:sz w:val="20"/>
                <w:szCs w:val="24"/>
                <w:u w:val="single"/>
                <w:lang w:eastAsia="cs-CZ"/>
              </w:rPr>
            </w:pPr>
          </w:p>
        </w:tc>
        <w:tc>
          <w:tcPr>
            <w:tcW w:w="3018" w:type="dxa"/>
            <w:tcBorders>
              <w:top w:val="single" w:sz="8" w:space="0" w:color="auto"/>
              <w:right w:val="single" w:sz="8" w:space="0" w:color="auto"/>
            </w:tcBorders>
            <w:shd w:val="clear" w:color="auto" w:fill="auto"/>
            <w:noWrap/>
            <w:vAlign w:val="center"/>
          </w:tcPr>
          <w:p w:rsidR="00606D2C" w:rsidRPr="002C70E1" w:rsidRDefault="00606D2C" w:rsidP="00972C41">
            <w:pPr>
              <w:spacing w:before="0" w:after="0"/>
              <w:jc w:val="center"/>
              <w:rPr>
                <w:rFonts w:eastAsia="Times New Roman" w:cs="Arial"/>
                <w:b/>
                <w:bCs/>
                <w:color w:val="000000"/>
                <w:sz w:val="20"/>
                <w:szCs w:val="24"/>
                <w:u w:val="single"/>
                <w:lang w:eastAsia="cs-CZ"/>
              </w:rPr>
            </w:pPr>
          </w:p>
        </w:tc>
      </w:tr>
      <w:tr w:rsidR="00606D2C" w:rsidRPr="002C70E1" w:rsidTr="00606D2C">
        <w:trPr>
          <w:trHeight w:val="1255"/>
        </w:trPr>
        <w:tc>
          <w:tcPr>
            <w:tcW w:w="718"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13379" w:type="dxa"/>
            <w:gridSpan w:val="8"/>
            <w:tcBorders>
              <w:left w:val="nil"/>
              <w:bottom w:val="double" w:sz="6" w:space="0" w:color="auto"/>
              <w:right w:val="single" w:sz="8" w:space="0" w:color="000000"/>
            </w:tcBorders>
            <w:shd w:val="clear" w:color="auto" w:fill="auto"/>
            <w:hideMark/>
          </w:tcPr>
          <w:p w:rsidR="00606D2C" w:rsidRPr="002C70E1" w:rsidRDefault="00606D2C" w:rsidP="00972C41">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Intenzivní realizace a aktivní nabídka zprostředkovatelských služeb ÚP ČR, tj. včasná a kvalitní reakce na poptávku zaměstnavatelů po nových zaměstnancích. Zejména se bude jednat o organizaci cílených výběrových řízení za účelem obsazení hlášených volných pracovních míst. Výběrová řízení budou probíhat jak v prostorách ÚP ČR, tak i přímo v prostorách zaměstnavatelů. Aktivní asistence zaměstnanců ÚP ČR při výběrových řízeních přispěje k získání zpětné vazby o zájmu uchazečů o zaměstnání o pracovní uplatnění na trhu práce i o kvalitě nabídky ze strany zaměstnavatelů. Důraz bude kladen na genderovou rovnost v přístupu ke vhodnému zaměstnání.</w:t>
            </w:r>
          </w:p>
        </w:tc>
      </w:tr>
      <w:tr w:rsidR="001B2FA0" w:rsidRPr="002C70E1" w:rsidTr="001B2FA0">
        <w:trPr>
          <w:trHeight w:val="100"/>
        </w:trPr>
        <w:tc>
          <w:tcPr>
            <w:tcW w:w="718" w:type="dxa"/>
            <w:vMerge/>
            <w:tcBorders>
              <w:top w:val="nil"/>
              <w:left w:val="single" w:sz="8" w:space="0" w:color="auto"/>
              <w:bottom w:val="single" w:sz="8" w:space="0" w:color="000000"/>
              <w:right w:val="double" w:sz="6" w:space="0" w:color="auto"/>
            </w:tcBorders>
            <w:vAlign w:val="center"/>
            <w:hideMark/>
          </w:tcPr>
          <w:p w:rsidR="001B2FA0" w:rsidRPr="002C70E1" w:rsidRDefault="001B2FA0" w:rsidP="00972C41">
            <w:pPr>
              <w:spacing w:before="0" w:after="0"/>
              <w:jc w:val="left"/>
              <w:rPr>
                <w:rFonts w:eastAsia="Times New Roman" w:cs="Arial"/>
                <w:b/>
                <w:bCs/>
                <w:color w:val="000000"/>
                <w:sz w:val="20"/>
                <w:szCs w:val="24"/>
                <w:lang w:eastAsia="cs-CZ"/>
              </w:rPr>
            </w:pPr>
          </w:p>
        </w:tc>
        <w:tc>
          <w:tcPr>
            <w:tcW w:w="581" w:type="dxa"/>
            <w:tcBorders>
              <w:top w:val="double" w:sz="6" w:space="0" w:color="auto"/>
              <w:left w:val="double" w:sz="6" w:space="0" w:color="auto"/>
              <w:bottom w:val="double" w:sz="6" w:space="0" w:color="auto"/>
              <w:right w:val="nil"/>
            </w:tcBorders>
            <w:shd w:val="clear" w:color="auto" w:fill="D6E3BC" w:themeFill="accent3" w:themeFillTint="66"/>
            <w:noWrap/>
            <w:vAlign w:val="bottom"/>
            <w:hideMark/>
          </w:tcPr>
          <w:p w:rsidR="001B2FA0" w:rsidRPr="002C70E1" w:rsidRDefault="001B2FA0" w:rsidP="00336F6E">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500" w:type="dxa"/>
            <w:gridSpan w:val="3"/>
            <w:tcBorders>
              <w:top w:val="double" w:sz="6" w:space="0" w:color="auto"/>
              <w:left w:val="nil"/>
              <w:bottom w:val="double" w:sz="6" w:space="0" w:color="auto"/>
              <w:right w:val="double" w:sz="6" w:space="0" w:color="auto"/>
            </w:tcBorders>
            <w:shd w:val="clear" w:color="auto" w:fill="D6E3BC" w:themeFill="accent3" w:themeFillTint="66"/>
            <w:vAlign w:val="bottom"/>
            <w:hideMark/>
          </w:tcPr>
          <w:p w:rsidR="001B2FA0" w:rsidRPr="001B2FA0" w:rsidRDefault="001B2FA0" w:rsidP="00336F6E">
            <w:pPr>
              <w:spacing w:before="0" w:after="0"/>
              <w:jc w:val="left"/>
              <w:rPr>
                <w:rFonts w:eastAsia="Times New Roman" w:cs="Arial"/>
                <w:b/>
                <w:color w:val="000000"/>
                <w:sz w:val="20"/>
                <w:szCs w:val="24"/>
                <w:lang w:eastAsia="cs-CZ"/>
              </w:rPr>
            </w:pPr>
            <w:r w:rsidRPr="001B2FA0">
              <w:rPr>
                <w:rFonts w:eastAsia="Times New Roman" w:cs="Arial"/>
                <w:b/>
                <w:color w:val="000000"/>
                <w:sz w:val="20"/>
                <w:szCs w:val="24"/>
                <w:lang w:eastAsia="cs-CZ"/>
              </w:rPr>
              <w:t>Průběžně plněno</w:t>
            </w:r>
          </w:p>
        </w:tc>
        <w:tc>
          <w:tcPr>
            <w:tcW w:w="4656" w:type="dxa"/>
            <w:gridSpan w:val="2"/>
            <w:tcBorders>
              <w:top w:val="double" w:sz="6" w:space="0" w:color="auto"/>
              <w:left w:val="double" w:sz="6" w:space="0" w:color="auto"/>
            </w:tcBorders>
            <w:shd w:val="clear" w:color="auto" w:fill="auto"/>
            <w:vAlign w:val="center"/>
            <w:hideMark/>
          </w:tcPr>
          <w:p w:rsidR="001B2FA0" w:rsidRPr="002C70E1" w:rsidRDefault="001B2FA0" w:rsidP="00972C41">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24" w:type="dxa"/>
            <w:tcBorders>
              <w:top w:val="nil"/>
            </w:tcBorders>
            <w:shd w:val="clear" w:color="auto" w:fill="auto"/>
            <w:vAlign w:val="center"/>
          </w:tcPr>
          <w:p w:rsidR="001B2FA0" w:rsidRPr="002C70E1" w:rsidRDefault="001B2FA0" w:rsidP="00972C41">
            <w:pPr>
              <w:spacing w:before="0" w:after="0"/>
              <w:jc w:val="right"/>
              <w:rPr>
                <w:rFonts w:eastAsia="Times New Roman" w:cs="Arial"/>
                <w:color w:val="000000"/>
                <w:sz w:val="20"/>
                <w:szCs w:val="24"/>
                <w:lang w:eastAsia="cs-CZ"/>
              </w:rPr>
            </w:pPr>
          </w:p>
        </w:tc>
        <w:tc>
          <w:tcPr>
            <w:tcW w:w="3018" w:type="dxa"/>
            <w:tcBorders>
              <w:top w:val="nil"/>
              <w:right w:val="single" w:sz="8" w:space="0" w:color="auto"/>
            </w:tcBorders>
            <w:shd w:val="clear" w:color="auto" w:fill="auto"/>
            <w:vAlign w:val="center"/>
          </w:tcPr>
          <w:p w:rsidR="001B2FA0" w:rsidRPr="002C70E1" w:rsidRDefault="001B2FA0" w:rsidP="00972C41">
            <w:pPr>
              <w:spacing w:before="0" w:after="0"/>
              <w:jc w:val="center"/>
              <w:rPr>
                <w:rFonts w:eastAsia="Times New Roman" w:cs="Arial"/>
                <w:b/>
                <w:bCs/>
                <w:color w:val="000000"/>
                <w:sz w:val="20"/>
                <w:szCs w:val="24"/>
                <w:u w:val="single"/>
                <w:lang w:eastAsia="cs-CZ"/>
              </w:rPr>
            </w:pPr>
          </w:p>
        </w:tc>
      </w:tr>
      <w:tr w:rsidR="00606D2C" w:rsidRPr="002C70E1" w:rsidTr="00606D2C">
        <w:trPr>
          <w:trHeight w:val="912"/>
        </w:trPr>
        <w:tc>
          <w:tcPr>
            <w:tcW w:w="718"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581" w:type="dxa"/>
            <w:tcBorders>
              <w:top w:val="nil"/>
              <w:left w:val="nil"/>
              <w:bottom w:val="nil"/>
              <w:right w:val="single" w:sz="4" w:space="0" w:color="auto"/>
            </w:tcBorders>
            <w:shd w:val="clear" w:color="auto" w:fill="auto"/>
            <w:textDirection w:val="btLr"/>
            <w:vAlign w:val="center"/>
            <w:hideMark/>
          </w:tcPr>
          <w:p w:rsidR="00606D2C" w:rsidRPr="002C70E1" w:rsidRDefault="00606D2C" w:rsidP="00972C41">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minulé</w:t>
            </w:r>
          </w:p>
        </w:tc>
        <w:tc>
          <w:tcPr>
            <w:tcW w:w="12798" w:type="dxa"/>
            <w:gridSpan w:val="7"/>
            <w:tcBorders>
              <w:top w:val="nil"/>
              <w:left w:val="nil"/>
              <w:bottom w:val="nil"/>
              <w:right w:val="single" w:sz="8" w:space="0" w:color="000000"/>
            </w:tcBorders>
            <w:shd w:val="clear" w:color="auto" w:fill="auto"/>
          </w:tcPr>
          <w:p w:rsidR="00606D2C" w:rsidRPr="004E56CF" w:rsidRDefault="00606D2C" w:rsidP="00972C41">
            <w:pPr>
              <w:spacing w:before="0" w:after="0"/>
              <w:rPr>
                <w:rFonts w:eastAsia="Times New Roman" w:cs="Arial"/>
                <w:sz w:val="20"/>
                <w:szCs w:val="24"/>
                <w:lang w:eastAsia="cs-CZ"/>
              </w:rPr>
            </w:pPr>
            <w:r w:rsidRPr="004E56CF">
              <w:rPr>
                <w:rFonts w:eastAsia="Times New Roman" w:cs="Arial"/>
                <w:sz w:val="20"/>
                <w:szCs w:val="24"/>
                <w:lang w:eastAsia="cs-CZ"/>
              </w:rPr>
              <w:t>V prvním pol</w:t>
            </w:r>
            <w:r>
              <w:rPr>
                <w:rFonts w:eastAsia="Times New Roman" w:cs="Arial"/>
                <w:sz w:val="20"/>
                <w:szCs w:val="24"/>
                <w:lang w:eastAsia="cs-CZ"/>
              </w:rPr>
              <w:t>.</w:t>
            </w:r>
            <w:r w:rsidRPr="004E56CF">
              <w:rPr>
                <w:rFonts w:eastAsia="Times New Roman" w:cs="Arial"/>
                <w:sz w:val="20"/>
                <w:szCs w:val="24"/>
                <w:lang w:eastAsia="cs-CZ"/>
              </w:rPr>
              <w:t xml:space="preserve"> 2017 bylo realizováno celkem 1 753 výběrových řízení, na která bylo pozváno 28 658 </w:t>
            </w:r>
            <w:proofErr w:type="spellStart"/>
            <w:r>
              <w:rPr>
                <w:rFonts w:eastAsia="Times New Roman" w:cs="Arial"/>
                <w:sz w:val="20"/>
                <w:szCs w:val="24"/>
                <w:lang w:eastAsia="cs-CZ"/>
              </w:rPr>
              <w:t>UoZ</w:t>
            </w:r>
            <w:proofErr w:type="spellEnd"/>
            <w:r>
              <w:rPr>
                <w:rFonts w:eastAsia="Times New Roman" w:cs="Arial"/>
                <w:sz w:val="20"/>
                <w:szCs w:val="24"/>
                <w:lang w:eastAsia="cs-CZ"/>
              </w:rPr>
              <w:t>, z toho se 21 316 účastnilo,</w:t>
            </w:r>
            <w:r w:rsidRPr="004E56CF">
              <w:rPr>
                <w:rFonts w:eastAsia="Times New Roman" w:cs="Arial"/>
                <w:sz w:val="20"/>
                <w:szCs w:val="24"/>
                <w:lang w:eastAsia="cs-CZ"/>
              </w:rPr>
              <w:t xml:space="preserve"> 3 120 VPM bylo prokazatelně obsazeno prostřednictvím těchto výběrových řízení. </w:t>
            </w:r>
            <w:r>
              <w:rPr>
                <w:rFonts w:eastAsia="Times New Roman" w:cs="Arial"/>
                <w:sz w:val="20"/>
                <w:szCs w:val="24"/>
                <w:lang w:eastAsia="cs-CZ"/>
              </w:rPr>
              <w:t>Ř</w:t>
            </w:r>
            <w:r w:rsidRPr="004E56CF">
              <w:rPr>
                <w:rFonts w:eastAsia="Times New Roman" w:cs="Arial"/>
                <w:sz w:val="20"/>
                <w:szCs w:val="24"/>
                <w:lang w:eastAsia="cs-CZ"/>
              </w:rPr>
              <w:t>ízení jsou realizovaná výhradně na základě požadavku zaměstnavatelů jak na pracovištích ÚP ČR, tak na pracovištích zaměstnavatelů. V</w:t>
            </w:r>
            <w:r>
              <w:rPr>
                <w:rFonts w:eastAsia="Times New Roman" w:cs="Arial"/>
                <w:sz w:val="20"/>
                <w:szCs w:val="24"/>
                <w:lang w:eastAsia="cs-CZ"/>
              </w:rPr>
              <w:t xml:space="preserve"> 1. </w:t>
            </w:r>
            <w:r w:rsidRPr="004E56CF">
              <w:rPr>
                <w:rFonts w:eastAsia="Times New Roman" w:cs="Arial"/>
                <w:sz w:val="20"/>
                <w:szCs w:val="24"/>
                <w:lang w:eastAsia="cs-CZ"/>
              </w:rPr>
              <w:t>pol</w:t>
            </w:r>
            <w:r>
              <w:rPr>
                <w:rFonts w:eastAsia="Times New Roman" w:cs="Arial"/>
                <w:sz w:val="20"/>
                <w:szCs w:val="24"/>
                <w:lang w:eastAsia="cs-CZ"/>
              </w:rPr>
              <w:t>.</w:t>
            </w:r>
            <w:r w:rsidRPr="004E56CF">
              <w:rPr>
                <w:rFonts w:eastAsia="Times New Roman" w:cs="Arial"/>
                <w:sz w:val="20"/>
                <w:szCs w:val="24"/>
                <w:lang w:eastAsia="cs-CZ"/>
              </w:rPr>
              <w:t xml:space="preserve"> 2017 ukončilo ev</w:t>
            </w:r>
            <w:r w:rsidR="00820FB7">
              <w:rPr>
                <w:rFonts w:eastAsia="Times New Roman" w:cs="Arial"/>
                <w:sz w:val="20"/>
                <w:szCs w:val="24"/>
                <w:lang w:eastAsia="cs-CZ"/>
              </w:rPr>
              <w:t xml:space="preserve">idenci 334 689 </w:t>
            </w:r>
            <w:proofErr w:type="spellStart"/>
            <w:r w:rsidR="00820FB7">
              <w:rPr>
                <w:rFonts w:eastAsia="Times New Roman" w:cs="Arial"/>
                <w:sz w:val="20"/>
                <w:szCs w:val="24"/>
                <w:lang w:eastAsia="cs-CZ"/>
              </w:rPr>
              <w:t>UoZ</w:t>
            </w:r>
            <w:proofErr w:type="spellEnd"/>
            <w:r w:rsidR="00820FB7">
              <w:rPr>
                <w:rFonts w:eastAsia="Times New Roman" w:cs="Arial"/>
                <w:sz w:val="20"/>
                <w:szCs w:val="24"/>
                <w:lang w:eastAsia="cs-CZ"/>
              </w:rPr>
              <w:t>, nebo bylo z </w:t>
            </w:r>
            <w:r w:rsidRPr="004E56CF">
              <w:rPr>
                <w:rFonts w:eastAsia="Times New Roman" w:cs="Arial"/>
                <w:sz w:val="20"/>
                <w:szCs w:val="24"/>
                <w:lang w:eastAsia="cs-CZ"/>
              </w:rPr>
              <w:t xml:space="preserve">evidence vyřazeno. Z tohoto počtu odešlo do zaměstnání 224 108 </w:t>
            </w:r>
            <w:proofErr w:type="spellStart"/>
            <w:r w:rsidRPr="004E56CF">
              <w:rPr>
                <w:rFonts w:eastAsia="Times New Roman" w:cs="Arial"/>
                <w:sz w:val="20"/>
                <w:szCs w:val="24"/>
                <w:lang w:eastAsia="cs-CZ"/>
              </w:rPr>
              <w:t>UoZ</w:t>
            </w:r>
            <w:proofErr w:type="spellEnd"/>
            <w:r w:rsidRPr="004E56CF">
              <w:rPr>
                <w:rFonts w:eastAsia="Times New Roman" w:cs="Arial"/>
                <w:sz w:val="20"/>
                <w:szCs w:val="24"/>
                <w:lang w:eastAsia="cs-CZ"/>
              </w:rPr>
              <w:t xml:space="preserve">, z toho 55 645 </w:t>
            </w:r>
            <w:proofErr w:type="spellStart"/>
            <w:r w:rsidRPr="004E56CF">
              <w:rPr>
                <w:rFonts w:eastAsia="Times New Roman" w:cs="Arial"/>
                <w:sz w:val="20"/>
                <w:szCs w:val="24"/>
                <w:lang w:eastAsia="cs-CZ"/>
              </w:rPr>
              <w:t>UoZ</w:t>
            </w:r>
            <w:proofErr w:type="spellEnd"/>
            <w:r w:rsidRPr="004E56CF">
              <w:rPr>
                <w:rFonts w:eastAsia="Times New Roman" w:cs="Arial"/>
                <w:sz w:val="20"/>
                <w:szCs w:val="24"/>
                <w:lang w:eastAsia="cs-CZ"/>
              </w:rPr>
              <w:t xml:space="preserve"> bylo prokazatelně umístěno ÚP ČR.</w:t>
            </w:r>
          </w:p>
        </w:tc>
      </w:tr>
      <w:tr w:rsidR="00606D2C" w:rsidRPr="002C70E1" w:rsidTr="00606D2C">
        <w:trPr>
          <w:trHeight w:val="969"/>
        </w:trPr>
        <w:tc>
          <w:tcPr>
            <w:tcW w:w="718"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581" w:type="dxa"/>
            <w:tcBorders>
              <w:top w:val="single" w:sz="4" w:space="0" w:color="auto"/>
              <w:left w:val="nil"/>
              <w:bottom w:val="single" w:sz="8" w:space="0" w:color="auto"/>
              <w:right w:val="single" w:sz="4" w:space="0" w:color="auto"/>
            </w:tcBorders>
            <w:shd w:val="clear" w:color="auto" w:fill="auto"/>
            <w:textDirection w:val="btLr"/>
            <w:vAlign w:val="center"/>
            <w:hideMark/>
          </w:tcPr>
          <w:p w:rsidR="00606D2C" w:rsidRPr="002C70E1" w:rsidRDefault="00606D2C" w:rsidP="00972C41">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 xml:space="preserve">sledované </w:t>
            </w:r>
          </w:p>
        </w:tc>
        <w:tc>
          <w:tcPr>
            <w:tcW w:w="12798" w:type="dxa"/>
            <w:gridSpan w:val="7"/>
            <w:tcBorders>
              <w:top w:val="single" w:sz="4" w:space="0" w:color="auto"/>
              <w:left w:val="nil"/>
              <w:bottom w:val="single" w:sz="8" w:space="0" w:color="auto"/>
              <w:right w:val="single" w:sz="8" w:space="0" w:color="000000"/>
            </w:tcBorders>
            <w:shd w:val="clear" w:color="auto" w:fill="auto"/>
            <w:hideMark/>
          </w:tcPr>
          <w:p w:rsidR="00606D2C" w:rsidRPr="0075662D" w:rsidRDefault="00606D2C" w:rsidP="00972C41">
            <w:pPr>
              <w:spacing w:before="0" w:after="0"/>
              <w:rPr>
                <w:rFonts w:eastAsia="Times New Roman" w:cs="Arial"/>
                <w:sz w:val="20"/>
                <w:szCs w:val="24"/>
                <w:lang w:eastAsia="cs-CZ"/>
              </w:rPr>
            </w:pPr>
            <w:r w:rsidRPr="00F210E7">
              <w:rPr>
                <w:rFonts w:eastAsia="Times New Roman" w:cs="Arial"/>
                <w:sz w:val="20"/>
                <w:szCs w:val="24"/>
                <w:lang w:eastAsia="cs-CZ"/>
              </w:rPr>
              <w:t xml:space="preserve">V roce 2017 bylo realizováno celkem 2 934 výběrových řízení, pozváno 48 319 </w:t>
            </w:r>
            <w:proofErr w:type="spellStart"/>
            <w:r w:rsidRPr="00F210E7">
              <w:rPr>
                <w:rFonts w:eastAsia="Times New Roman" w:cs="Arial"/>
                <w:sz w:val="20"/>
                <w:szCs w:val="24"/>
                <w:lang w:eastAsia="cs-CZ"/>
              </w:rPr>
              <w:t>U</w:t>
            </w:r>
            <w:r>
              <w:rPr>
                <w:rFonts w:eastAsia="Times New Roman" w:cs="Arial"/>
                <w:sz w:val="20"/>
                <w:szCs w:val="24"/>
                <w:lang w:eastAsia="cs-CZ"/>
              </w:rPr>
              <w:t>oZ</w:t>
            </w:r>
            <w:proofErr w:type="spellEnd"/>
            <w:r>
              <w:rPr>
                <w:rFonts w:eastAsia="Times New Roman" w:cs="Arial"/>
                <w:sz w:val="20"/>
                <w:szCs w:val="24"/>
                <w:lang w:eastAsia="cs-CZ"/>
              </w:rPr>
              <w:t>, z toho se 36 222 účastnilo,</w:t>
            </w:r>
            <w:r w:rsidRPr="00F210E7">
              <w:rPr>
                <w:rFonts w:eastAsia="Times New Roman" w:cs="Arial"/>
                <w:sz w:val="20"/>
                <w:szCs w:val="24"/>
                <w:lang w:eastAsia="cs-CZ"/>
              </w:rPr>
              <w:t xml:space="preserve"> 4 780 VPM bylo prokazatelně obsazeno prostřednictvím těchto výběrových řízení. </w:t>
            </w:r>
            <w:r>
              <w:rPr>
                <w:rFonts w:eastAsia="Times New Roman" w:cs="Arial"/>
                <w:sz w:val="20"/>
                <w:szCs w:val="24"/>
                <w:lang w:eastAsia="cs-CZ"/>
              </w:rPr>
              <w:t>Ř</w:t>
            </w:r>
            <w:r w:rsidRPr="00F210E7">
              <w:rPr>
                <w:rFonts w:eastAsia="Times New Roman" w:cs="Arial"/>
                <w:sz w:val="20"/>
                <w:szCs w:val="24"/>
                <w:lang w:eastAsia="cs-CZ"/>
              </w:rPr>
              <w:t xml:space="preserve">ízení jsou realizovaná výhradně na základě požadavku zaměstnavatelů jak na pracovištích ÚP ČR, tak na pracovištích zaměstnavatelů. V roce 2017 celkem ukončilo evidenci, nebo bylo z evidence vyřazeno 600 937 </w:t>
            </w:r>
            <w:proofErr w:type="spellStart"/>
            <w:r w:rsidRPr="00F210E7">
              <w:rPr>
                <w:rFonts w:eastAsia="Times New Roman" w:cs="Arial"/>
                <w:sz w:val="20"/>
                <w:szCs w:val="24"/>
                <w:lang w:eastAsia="cs-CZ"/>
              </w:rPr>
              <w:t>UoZ</w:t>
            </w:r>
            <w:proofErr w:type="spellEnd"/>
            <w:r w:rsidRPr="00F210E7">
              <w:rPr>
                <w:rFonts w:eastAsia="Times New Roman" w:cs="Arial"/>
                <w:sz w:val="20"/>
                <w:szCs w:val="24"/>
                <w:lang w:eastAsia="cs-CZ"/>
              </w:rPr>
              <w:t xml:space="preserve">. Z tohoto počtu odešlo do zaměstnání 387 820 </w:t>
            </w:r>
            <w:proofErr w:type="spellStart"/>
            <w:r w:rsidRPr="00F210E7">
              <w:rPr>
                <w:rFonts w:eastAsia="Times New Roman" w:cs="Arial"/>
                <w:sz w:val="20"/>
                <w:szCs w:val="24"/>
                <w:lang w:eastAsia="cs-CZ"/>
              </w:rPr>
              <w:t>UoZ</w:t>
            </w:r>
            <w:proofErr w:type="spellEnd"/>
            <w:r w:rsidRPr="00F210E7">
              <w:rPr>
                <w:rFonts w:eastAsia="Times New Roman" w:cs="Arial"/>
                <w:sz w:val="20"/>
                <w:szCs w:val="24"/>
                <w:lang w:eastAsia="cs-CZ"/>
              </w:rPr>
              <w:t xml:space="preserve">, z toho 92 889 </w:t>
            </w:r>
            <w:proofErr w:type="spellStart"/>
            <w:r w:rsidRPr="00F210E7">
              <w:rPr>
                <w:rFonts w:eastAsia="Times New Roman" w:cs="Arial"/>
                <w:sz w:val="20"/>
                <w:szCs w:val="24"/>
                <w:lang w:eastAsia="cs-CZ"/>
              </w:rPr>
              <w:t>UoZ</w:t>
            </w:r>
            <w:proofErr w:type="spellEnd"/>
            <w:r w:rsidRPr="00F210E7">
              <w:rPr>
                <w:rFonts w:eastAsia="Times New Roman" w:cs="Arial"/>
                <w:sz w:val="20"/>
                <w:szCs w:val="24"/>
                <w:lang w:eastAsia="cs-CZ"/>
              </w:rPr>
              <w:t xml:space="preserve"> bylo prokazatelně umístěno ÚP ČR</w:t>
            </w:r>
          </w:p>
        </w:tc>
      </w:tr>
    </w:tbl>
    <w:p w:rsidR="00606D2C" w:rsidRPr="002C70E1" w:rsidRDefault="00606D2C" w:rsidP="00972C41">
      <w:pPr>
        <w:spacing w:before="0" w:after="0"/>
        <w:rPr>
          <w:sz w:val="20"/>
        </w:rPr>
      </w:pPr>
    </w:p>
    <w:tbl>
      <w:tblPr>
        <w:tblW w:w="14097" w:type="dxa"/>
        <w:tblInd w:w="47" w:type="dxa"/>
        <w:tblCellMar>
          <w:left w:w="70" w:type="dxa"/>
          <w:right w:w="70" w:type="dxa"/>
        </w:tblCellMar>
        <w:tblLook w:val="04A0" w:firstRow="1" w:lastRow="0" w:firstColumn="1" w:lastColumn="0" w:noHBand="0" w:noVBand="1"/>
      </w:tblPr>
      <w:tblGrid>
        <w:gridCol w:w="718"/>
        <w:gridCol w:w="581"/>
        <w:gridCol w:w="2355"/>
        <w:gridCol w:w="1145"/>
        <w:gridCol w:w="1028"/>
        <w:gridCol w:w="3628"/>
        <w:gridCol w:w="1624"/>
        <w:gridCol w:w="3018"/>
      </w:tblGrid>
      <w:tr w:rsidR="00606D2C" w:rsidRPr="002C70E1" w:rsidTr="00606D2C">
        <w:trPr>
          <w:trHeight w:val="285"/>
        </w:trPr>
        <w:tc>
          <w:tcPr>
            <w:tcW w:w="718" w:type="dxa"/>
            <w:tcBorders>
              <w:top w:val="single" w:sz="8" w:space="0" w:color="auto"/>
              <w:left w:val="single" w:sz="8" w:space="0" w:color="auto"/>
              <w:bottom w:val="single" w:sz="4" w:space="0" w:color="auto"/>
              <w:right w:val="single" w:sz="12" w:space="0" w:color="auto"/>
            </w:tcBorders>
            <w:shd w:val="clear" w:color="000000" w:fill="FDE9D9"/>
            <w:noWrap/>
            <w:vAlign w:val="bottom"/>
            <w:hideMark/>
          </w:tcPr>
          <w:p w:rsidR="00606D2C" w:rsidRPr="002C70E1" w:rsidRDefault="00606D2C" w:rsidP="00972C41">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3.2</w:t>
            </w:r>
          </w:p>
        </w:tc>
        <w:tc>
          <w:tcPr>
            <w:tcW w:w="581" w:type="dxa"/>
            <w:tcBorders>
              <w:top w:val="single" w:sz="12" w:space="0" w:color="auto"/>
              <w:left w:val="single" w:sz="12" w:space="0" w:color="auto"/>
              <w:bottom w:val="single" w:sz="12" w:space="0" w:color="auto"/>
              <w:right w:val="nil"/>
            </w:tcBorders>
            <w:shd w:val="clear" w:color="auto" w:fill="auto"/>
            <w:noWrap/>
            <w:vAlign w:val="bottom"/>
            <w:hideMark/>
          </w:tcPr>
          <w:p w:rsidR="00606D2C" w:rsidRPr="002C70E1" w:rsidRDefault="00606D2C" w:rsidP="00972C41">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2355" w:type="dxa"/>
            <w:tcBorders>
              <w:top w:val="single" w:sz="12" w:space="0" w:color="auto"/>
              <w:left w:val="nil"/>
              <w:bottom w:val="single" w:sz="12" w:space="0" w:color="auto"/>
              <w:right w:val="nil"/>
            </w:tcBorders>
            <w:shd w:val="clear" w:color="auto" w:fill="auto"/>
            <w:noWrap/>
            <w:vAlign w:val="bottom"/>
            <w:hideMark/>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průběžně</w:t>
            </w:r>
          </w:p>
        </w:tc>
        <w:tc>
          <w:tcPr>
            <w:tcW w:w="1145" w:type="dxa"/>
            <w:tcBorders>
              <w:top w:val="single" w:sz="12" w:space="0" w:color="auto"/>
              <w:left w:val="single" w:sz="12" w:space="0" w:color="auto"/>
              <w:bottom w:val="single" w:sz="12" w:space="0" w:color="auto"/>
              <w:right w:val="nil"/>
            </w:tcBorders>
            <w:shd w:val="clear" w:color="auto" w:fill="auto"/>
            <w:noWrap/>
            <w:vAlign w:val="bottom"/>
            <w:hideMark/>
          </w:tcPr>
          <w:p w:rsidR="00606D2C" w:rsidRPr="002C70E1" w:rsidRDefault="00606D2C" w:rsidP="00972C41">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28" w:type="dxa"/>
            <w:tcBorders>
              <w:top w:val="single" w:sz="12" w:space="0" w:color="auto"/>
              <w:left w:val="nil"/>
              <w:bottom w:val="single" w:sz="12" w:space="0" w:color="auto"/>
              <w:right w:val="single" w:sz="12" w:space="0" w:color="auto"/>
            </w:tcBorders>
            <w:shd w:val="clear" w:color="auto" w:fill="auto"/>
            <w:noWrap/>
            <w:vAlign w:val="bottom"/>
            <w:hideMark/>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3628" w:type="dxa"/>
            <w:tcBorders>
              <w:top w:val="single" w:sz="8" w:space="0" w:color="auto"/>
              <w:left w:val="nil"/>
              <w:right w:val="single" w:sz="12" w:space="0" w:color="auto"/>
            </w:tcBorders>
            <w:shd w:val="clear" w:color="auto" w:fill="auto"/>
            <w:noWrap/>
            <w:vAlign w:val="bottom"/>
          </w:tcPr>
          <w:p w:rsidR="00606D2C" w:rsidRPr="002C70E1" w:rsidRDefault="00606D2C" w:rsidP="00972C41">
            <w:pPr>
              <w:spacing w:before="0" w:after="0"/>
              <w:jc w:val="right"/>
              <w:rPr>
                <w:rFonts w:eastAsia="Times New Roman" w:cs="Arial"/>
                <w:color w:val="000000"/>
                <w:sz w:val="20"/>
                <w:szCs w:val="24"/>
                <w:lang w:eastAsia="cs-CZ"/>
              </w:rPr>
            </w:pPr>
          </w:p>
        </w:tc>
        <w:tc>
          <w:tcPr>
            <w:tcW w:w="1624" w:type="dxa"/>
            <w:tcBorders>
              <w:top w:val="single" w:sz="12" w:space="0" w:color="auto"/>
              <w:left w:val="single" w:sz="12" w:space="0" w:color="auto"/>
              <w:bottom w:val="single" w:sz="12" w:space="0" w:color="auto"/>
            </w:tcBorders>
            <w:shd w:val="clear" w:color="auto" w:fill="auto"/>
            <w:noWrap/>
            <w:vAlign w:val="bottom"/>
          </w:tcPr>
          <w:p w:rsidR="00606D2C" w:rsidRPr="002C70E1" w:rsidRDefault="00606D2C" w:rsidP="00972C41">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18" w:type="dxa"/>
            <w:tcBorders>
              <w:top w:val="single" w:sz="12" w:space="0" w:color="auto"/>
              <w:bottom w:val="single" w:sz="12" w:space="0" w:color="auto"/>
              <w:right w:val="single" w:sz="12" w:space="0" w:color="auto"/>
            </w:tcBorders>
            <w:shd w:val="clear" w:color="auto" w:fill="auto"/>
            <w:noWrap/>
            <w:vAlign w:val="bottom"/>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N</w:t>
            </w:r>
          </w:p>
        </w:tc>
      </w:tr>
      <w:tr w:rsidR="00606D2C" w:rsidRPr="002C70E1" w:rsidTr="00606D2C">
        <w:trPr>
          <w:trHeight w:val="166"/>
        </w:trPr>
        <w:tc>
          <w:tcPr>
            <w:tcW w:w="718" w:type="dxa"/>
            <w:vMerge w:val="restart"/>
            <w:tcBorders>
              <w:top w:val="nil"/>
              <w:left w:val="single" w:sz="8" w:space="0" w:color="auto"/>
              <w:bottom w:val="single" w:sz="8" w:space="0" w:color="000000"/>
              <w:right w:val="single" w:sz="8" w:space="0" w:color="auto"/>
            </w:tcBorders>
            <w:shd w:val="clear" w:color="000000" w:fill="FDE9D9"/>
            <w:noWrap/>
            <w:textDirection w:val="btLr"/>
            <w:vAlign w:val="center"/>
            <w:hideMark/>
          </w:tcPr>
          <w:p w:rsidR="00606D2C" w:rsidRPr="002C70E1" w:rsidRDefault="00606D2C" w:rsidP="00972C41">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 xml:space="preserve">Párování </w:t>
            </w:r>
            <w:proofErr w:type="spellStart"/>
            <w:r>
              <w:rPr>
                <w:rFonts w:eastAsia="Times New Roman" w:cs="Arial"/>
                <w:b/>
                <w:bCs/>
                <w:color w:val="000000"/>
                <w:sz w:val="20"/>
                <w:szCs w:val="24"/>
                <w:lang w:eastAsia="cs-CZ"/>
              </w:rPr>
              <w:t>UoZ</w:t>
            </w:r>
            <w:proofErr w:type="spellEnd"/>
            <w:r w:rsidRPr="002C70E1">
              <w:rPr>
                <w:rFonts w:eastAsia="Times New Roman" w:cs="Arial"/>
                <w:b/>
                <w:bCs/>
                <w:color w:val="000000"/>
                <w:sz w:val="20"/>
                <w:szCs w:val="24"/>
                <w:lang w:eastAsia="cs-CZ"/>
              </w:rPr>
              <w:t xml:space="preserve"> a </w:t>
            </w:r>
            <w:r>
              <w:rPr>
                <w:rFonts w:eastAsia="Times New Roman" w:cs="Arial"/>
                <w:b/>
                <w:bCs/>
                <w:color w:val="000000"/>
                <w:sz w:val="20"/>
                <w:szCs w:val="24"/>
                <w:lang w:eastAsia="cs-CZ"/>
              </w:rPr>
              <w:t>VPM</w:t>
            </w:r>
          </w:p>
        </w:tc>
        <w:tc>
          <w:tcPr>
            <w:tcW w:w="2936" w:type="dxa"/>
            <w:gridSpan w:val="2"/>
            <w:tcBorders>
              <w:top w:val="single" w:sz="12" w:space="0" w:color="auto"/>
              <w:left w:val="nil"/>
            </w:tcBorders>
            <w:shd w:val="clear" w:color="auto" w:fill="auto"/>
            <w:noWrap/>
            <w:vAlign w:val="bottom"/>
          </w:tcPr>
          <w:p w:rsidR="00606D2C" w:rsidRPr="002C70E1" w:rsidRDefault="00606D2C" w:rsidP="00972C41">
            <w:pPr>
              <w:spacing w:before="0" w:after="0"/>
              <w:jc w:val="right"/>
              <w:rPr>
                <w:rFonts w:eastAsia="Times New Roman" w:cs="Arial"/>
                <w:b/>
                <w:bCs/>
                <w:color w:val="000000"/>
                <w:sz w:val="20"/>
                <w:szCs w:val="24"/>
                <w:lang w:eastAsia="cs-CZ"/>
              </w:rPr>
            </w:pPr>
          </w:p>
        </w:tc>
        <w:tc>
          <w:tcPr>
            <w:tcW w:w="1145" w:type="dxa"/>
            <w:tcBorders>
              <w:top w:val="single" w:sz="8" w:space="0" w:color="auto"/>
            </w:tcBorders>
            <w:shd w:val="clear" w:color="auto" w:fill="auto"/>
            <w:noWrap/>
            <w:vAlign w:val="bottom"/>
          </w:tcPr>
          <w:p w:rsidR="00606D2C" w:rsidRPr="002C70E1" w:rsidRDefault="00606D2C" w:rsidP="00972C41">
            <w:pPr>
              <w:spacing w:before="0" w:after="0"/>
              <w:jc w:val="center"/>
              <w:rPr>
                <w:rFonts w:eastAsia="Times New Roman" w:cs="Arial"/>
                <w:b/>
                <w:bCs/>
                <w:color w:val="000000"/>
                <w:sz w:val="20"/>
                <w:szCs w:val="24"/>
                <w:lang w:eastAsia="cs-CZ"/>
              </w:rPr>
            </w:pPr>
          </w:p>
        </w:tc>
        <w:tc>
          <w:tcPr>
            <w:tcW w:w="4656" w:type="dxa"/>
            <w:gridSpan w:val="2"/>
            <w:shd w:val="clear" w:color="auto" w:fill="auto"/>
            <w:noWrap/>
            <w:vAlign w:val="center"/>
            <w:hideMark/>
          </w:tcPr>
          <w:p w:rsidR="00606D2C" w:rsidRPr="002C70E1" w:rsidRDefault="00606D2C" w:rsidP="00972C41">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24" w:type="dxa"/>
            <w:tcBorders>
              <w:top w:val="single" w:sz="12" w:space="0" w:color="auto"/>
            </w:tcBorders>
            <w:shd w:val="clear" w:color="auto" w:fill="auto"/>
            <w:noWrap/>
            <w:vAlign w:val="center"/>
          </w:tcPr>
          <w:p w:rsidR="00606D2C" w:rsidRPr="002C70E1" w:rsidRDefault="00606D2C" w:rsidP="00972C41">
            <w:pPr>
              <w:spacing w:before="0" w:after="0"/>
              <w:jc w:val="center"/>
              <w:rPr>
                <w:rFonts w:eastAsia="Times New Roman" w:cs="Arial"/>
                <w:b/>
                <w:bCs/>
                <w:color w:val="000000"/>
                <w:sz w:val="20"/>
                <w:szCs w:val="24"/>
                <w:u w:val="single"/>
                <w:lang w:eastAsia="cs-CZ"/>
              </w:rPr>
            </w:pPr>
          </w:p>
        </w:tc>
        <w:tc>
          <w:tcPr>
            <w:tcW w:w="3018" w:type="dxa"/>
            <w:tcBorders>
              <w:top w:val="single" w:sz="12" w:space="0" w:color="auto"/>
              <w:right w:val="single" w:sz="8" w:space="0" w:color="auto"/>
            </w:tcBorders>
            <w:shd w:val="clear" w:color="auto" w:fill="auto"/>
            <w:noWrap/>
            <w:vAlign w:val="center"/>
          </w:tcPr>
          <w:p w:rsidR="00606D2C" w:rsidRPr="002C70E1" w:rsidRDefault="00606D2C" w:rsidP="00972C41">
            <w:pPr>
              <w:spacing w:before="0" w:after="0"/>
              <w:jc w:val="center"/>
              <w:rPr>
                <w:rFonts w:eastAsia="Times New Roman" w:cs="Arial"/>
                <w:b/>
                <w:bCs/>
                <w:color w:val="000000"/>
                <w:sz w:val="20"/>
                <w:szCs w:val="24"/>
                <w:u w:val="single"/>
                <w:lang w:eastAsia="cs-CZ"/>
              </w:rPr>
            </w:pPr>
          </w:p>
        </w:tc>
      </w:tr>
      <w:tr w:rsidR="00606D2C" w:rsidRPr="002C70E1" w:rsidTr="00606D2C">
        <w:trPr>
          <w:trHeight w:val="1232"/>
        </w:trPr>
        <w:tc>
          <w:tcPr>
            <w:tcW w:w="718"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13379" w:type="dxa"/>
            <w:gridSpan w:val="7"/>
            <w:tcBorders>
              <w:left w:val="nil"/>
              <w:bottom w:val="double" w:sz="6" w:space="0" w:color="auto"/>
              <w:right w:val="single" w:sz="8" w:space="0" w:color="000000"/>
            </w:tcBorders>
            <w:shd w:val="clear" w:color="auto" w:fill="auto"/>
            <w:hideMark/>
          </w:tcPr>
          <w:p w:rsidR="00606D2C" w:rsidRPr="002C70E1" w:rsidRDefault="00606D2C" w:rsidP="00972C41">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 xml:space="preserve">V rámci individuální práce s </w:t>
            </w:r>
            <w:proofErr w:type="spellStart"/>
            <w:r>
              <w:rPr>
                <w:rFonts w:eastAsia="Times New Roman" w:cs="Arial"/>
                <w:color w:val="000000"/>
                <w:sz w:val="20"/>
                <w:szCs w:val="24"/>
                <w:lang w:eastAsia="cs-CZ"/>
              </w:rPr>
              <w:t>UoZ</w:t>
            </w:r>
            <w:proofErr w:type="spellEnd"/>
            <w:r w:rsidRPr="002C70E1">
              <w:rPr>
                <w:rFonts w:eastAsia="Times New Roman" w:cs="Arial"/>
                <w:color w:val="000000"/>
                <w:sz w:val="20"/>
                <w:szCs w:val="24"/>
                <w:lang w:eastAsia="cs-CZ"/>
              </w:rPr>
              <w:t xml:space="preserve"> se nadále zaměřovat na vydávání konkrétních doporučenek do zaměstnání mís</w:t>
            </w:r>
            <w:r w:rsidR="00820FB7">
              <w:rPr>
                <w:rFonts w:eastAsia="Times New Roman" w:cs="Arial"/>
                <w:color w:val="000000"/>
                <w:sz w:val="20"/>
                <w:szCs w:val="24"/>
                <w:lang w:eastAsia="cs-CZ"/>
              </w:rPr>
              <w:t>to pouhému vydávání informací o </w:t>
            </w:r>
            <w:r>
              <w:rPr>
                <w:rFonts w:eastAsia="Times New Roman" w:cs="Arial"/>
                <w:color w:val="000000"/>
                <w:sz w:val="20"/>
                <w:szCs w:val="24"/>
                <w:lang w:eastAsia="cs-CZ"/>
              </w:rPr>
              <w:t>VPM</w:t>
            </w:r>
            <w:r w:rsidRPr="002C70E1">
              <w:rPr>
                <w:rFonts w:eastAsia="Times New Roman" w:cs="Arial"/>
                <w:color w:val="000000"/>
                <w:sz w:val="20"/>
                <w:szCs w:val="24"/>
                <w:lang w:eastAsia="cs-CZ"/>
              </w:rPr>
              <w:t xml:space="preserve">. Samozřejmě musí jít o kvalitní výběr vhodných </w:t>
            </w:r>
            <w:proofErr w:type="spellStart"/>
            <w:r>
              <w:rPr>
                <w:rFonts w:eastAsia="Times New Roman" w:cs="Arial"/>
                <w:color w:val="000000"/>
                <w:sz w:val="20"/>
                <w:szCs w:val="24"/>
                <w:lang w:eastAsia="cs-CZ"/>
              </w:rPr>
              <w:t>UoZ</w:t>
            </w:r>
            <w:proofErr w:type="spellEnd"/>
            <w:r w:rsidRPr="002C70E1">
              <w:rPr>
                <w:rFonts w:eastAsia="Times New Roman" w:cs="Arial"/>
                <w:color w:val="000000"/>
                <w:sz w:val="20"/>
                <w:szCs w:val="24"/>
                <w:lang w:eastAsia="cs-CZ"/>
              </w:rPr>
              <w:t xml:space="preserve">, doporučovaných na hlášená </w:t>
            </w:r>
            <w:r>
              <w:rPr>
                <w:rFonts w:eastAsia="Times New Roman" w:cs="Arial"/>
                <w:color w:val="000000"/>
                <w:sz w:val="20"/>
                <w:szCs w:val="24"/>
                <w:lang w:eastAsia="cs-CZ"/>
              </w:rPr>
              <w:t>VPM</w:t>
            </w:r>
            <w:r w:rsidRPr="002C70E1">
              <w:rPr>
                <w:rFonts w:eastAsia="Times New Roman" w:cs="Arial"/>
                <w:color w:val="000000"/>
                <w:sz w:val="20"/>
                <w:szCs w:val="24"/>
                <w:lang w:eastAsia="cs-CZ"/>
              </w:rPr>
              <w:t xml:space="preserve">. Zde je důležitá spolupráce ze strany zaměstnavatelů spočívající v pečlivém vyplňování výsledku kontaktu </w:t>
            </w:r>
            <w:proofErr w:type="spellStart"/>
            <w:r>
              <w:rPr>
                <w:rFonts w:eastAsia="Times New Roman" w:cs="Arial"/>
                <w:color w:val="000000"/>
                <w:sz w:val="20"/>
                <w:szCs w:val="24"/>
                <w:lang w:eastAsia="cs-CZ"/>
              </w:rPr>
              <w:t>UoZ</w:t>
            </w:r>
            <w:proofErr w:type="spellEnd"/>
            <w:r w:rsidRPr="002C70E1">
              <w:rPr>
                <w:rFonts w:eastAsia="Times New Roman" w:cs="Arial"/>
                <w:color w:val="000000"/>
                <w:sz w:val="20"/>
                <w:szCs w:val="24"/>
                <w:lang w:eastAsia="cs-CZ"/>
              </w:rPr>
              <w:t xml:space="preserve"> se zaměstnavatelem, zejména pokud jde o zájem </w:t>
            </w:r>
            <w:proofErr w:type="spellStart"/>
            <w:r>
              <w:rPr>
                <w:rFonts w:eastAsia="Times New Roman" w:cs="Arial"/>
                <w:color w:val="000000"/>
                <w:sz w:val="20"/>
                <w:szCs w:val="24"/>
                <w:lang w:eastAsia="cs-CZ"/>
              </w:rPr>
              <w:t>UoZ</w:t>
            </w:r>
            <w:proofErr w:type="spellEnd"/>
            <w:r w:rsidRPr="002C70E1">
              <w:rPr>
                <w:rFonts w:eastAsia="Times New Roman" w:cs="Arial"/>
                <w:color w:val="000000"/>
                <w:sz w:val="20"/>
                <w:szCs w:val="24"/>
                <w:lang w:eastAsia="cs-CZ"/>
              </w:rPr>
              <w:t xml:space="preserve"> nastoupit do zprostředkovaného zaměstnání. Nedílnou částí zprostředkovatelské činnosti ÚP ČR je spolupráce se zaměstnavateli v oblasti zveřejňování nabídek pracovních příležitostí, genderové rovnosti, pořádání burz práce a aktivní působení na pracovní sílu prostřednictvím informačních a poradenských středisek.</w:t>
            </w:r>
          </w:p>
        </w:tc>
      </w:tr>
      <w:tr w:rsidR="001B2FA0" w:rsidRPr="002C70E1" w:rsidTr="00820FB7">
        <w:trPr>
          <w:trHeight w:val="157"/>
        </w:trPr>
        <w:tc>
          <w:tcPr>
            <w:tcW w:w="718" w:type="dxa"/>
            <w:vMerge/>
            <w:tcBorders>
              <w:top w:val="nil"/>
              <w:left w:val="single" w:sz="8" w:space="0" w:color="auto"/>
              <w:bottom w:val="single" w:sz="8" w:space="0" w:color="000000"/>
              <w:right w:val="double" w:sz="6" w:space="0" w:color="auto"/>
            </w:tcBorders>
            <w:vAlign w:val="center"/>
            <w:hideMark/>
          </w:tcPr>
          <w:p w:rsidR="001B2FA0" w:rsidRPr="002C70E1" w:rsidRDefault="001B2FA0" w:rsidP="00972C41">
            <w:pPr>
              <w:spacing w:before="0" w:after="0"/>
              <w:jc w:val="left"/>
              <w:rPr>
                <w:rFonts w:eastAsia="Times New Roman" w:cs="Arial"/>
                <w:b/>
                <w:bCs/>
                <w:color w:val="000000"/>
                <w:sz w:val="20"/>
                <w:szCs w:val="24"/>
                <w:lang w:eastAsia="cs-CZ"/>
              </w:rPr>
            </w:pPr>
          </w:p>
        </w:tc>
        <w:tc>
          <w:tcPr>
            <w:tcW w:w="581" w:type="dxa"/>
            <w:tcBorders>
              <w:top w:val="double" w:sz="6" w:space="0" w:color="auto"/>
              <w:left w:val="double" w:sz="6" w:space="0" w:color="auto"/>
              <w:bottom w:val="double" w:sz="6" w:space="0" w:color="auto"/>
              <w:right w:val="nil"/>
            </w:tcBorders>
            <w:shd w:val="clear" w:color="auto" w:fill="D6E3BC" w:themeFill="accent3" w:themeFillTint="66"/>
            <w:noWrap/>
            <w:vAlign w:val="bottom"/>
            <w:hideMark/>
          </w:tcPr>
          <w:p w:rsidR="001B2FA0" w:rsidRPr="002C70E1" w:rsidRDefault="001B2FA0" w:rsidP="00336F6E">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500" w:type="dxa"/>
            <w:gridSpan w:val="2"/>
            <w:tcBorders>
              <w:top w:val="double" w:sz="6" w:space="0" w:color="auto"/>
              <w:left w:val="nil"/>
              <w:bottom w:val="double" w:sz="6" w:space="0" w:color="auto"/>
              <w:right w:val="double" w:sz="6" w:space="0" w:color="auto"/>
            </w:tcBorders>
            <w:shd w:val="clear" w:color="auto" w:fill="D6E3BC" w:themeFill="accent3" w:themeFillTint="66"/>
            <w:vAlign w:val="bottom"/>
            <w:hideMark/>
          </w:tcPr>
          <w:p w:rsidR="001B2FA0" w:rsidRPr="001B2FA0" w:rsidRDefault="001B2FA0" w:rsidP="00336F6E">
            <w:pPr>
              <w:spacing w:before="0" w:after="0"/>
              <w:jc w:val="left"/>
              <w:rPr>
                <w:rFonts w:eastAsia="Times New Roman" w:cs="Arial"/>
                <w:b/>
                <w:color w:val="000000"/>
                <w:sz w:val="20"/>
                <w:szCs w:val="24"/>
                <w:lang w:eastAsia="cs-CZ"/>
              </w:rPr>
            </w:pPr>
            <w:r w:rsidRPr="001B2FA0">
              <w:rPr>
                <w:rFonts w:eastAsia="Times New Roman" w:cs="Arial"/>
                <w:b/>
                <w:color w:val="000000"/>
                <w:sz w:val="20"/>
                <w:szCs w:val="24"/>
                <w:lang w:eastAsia="cs-CZ"/>
              </w:rPr>
              <w:t>Průběžně plněno</w:t>
            </w:r>
          </w:p>
        </w:tc>
        <w:tc>
          <w:tcPr>
            <w:tcW w:w="4656" w:type="dxa"/>
            <w:gridSpan w:val="2"/>
            <w:tcBorders>
              <w:top w:val="double" w:sz="6" w:space="0" w:color="auto"/>
              <w:left w:val="double" w:sz="6" w:space="0" w:color="auto"/>
            </w:tcBorders>
            <w:shd w:val="clear" w:color="auto" w:fill="auto"/>
            <w:vAlign w:val="center"/>
            <w:hideMark/>
          </w:tcPr>
          <w:p w:rsidR="001B2FA0" w:rsidRPr="002C70E1" w:rsidRDefault="001B2FA0" w:rsidP="00972C41">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24" w:type="dxa"/>
            <w:tcBorders>
              <w:top w:val="nil"/>
            </w:tcBorders>
            <w:shd w:val="clear" w:color="auto" w:fill="auto"/>
            <w:vAlign w:val="center"/>
          </w:tcPr>
          <w:p w:rsidR="001B2FA0" w:rsidRPr="002C70E1" w:rsidRDefault="001B2FA0" w:rsidP="00972C41">
            <w:pPr>
              <w:spacing w:before="0" w:after="0"/>
              <w:jc w:val="right"/>
              <w:rPr>
                <w:rFonts w:eastAsia="Times New Roman" w:cs="Arial"/>
                <w:color w:val="000000"/>
                <w:sz w:val="20"/>
                <w:szCs w:val="24"/>
                <w:lang w:eastAsia="cs-CZ"/>
              </w:rPr>
            </w:pPr>
          </w:p>
        </w:tc>
        <w:tc>
          <w:tcPr>
            <w:tcW w:w="3018" w:type="dxa"/>
            <w:tcBorders>
              <w:top w:val="nil"/>
              <w:right w:val="single" w:sz="8" w:space="0" w:color="auto"/>
            </w:tcBorders>
            <w:shd w:val="clear" w:color="auto" w:fill="auto"/>
            <w:vAlign w:val="center"/>
          </w:tcPr>
          <w:p w:rsidR="001B2FA0" w:rsidRPr="002C70E1" w:rsidRDefault="001B2FA0" w:rsidP="00972C41">
            <w:pPr>
              <w:spacing w:before="0" w:after="0"/>
              <w:jc w:val="center"/>
              <w:rPr>
                <w:rFonts w:eastAsia="Times New Roman" w:cs="Arial"/>
                <w:b/>
                <w:bCs/>
                <w:color w:val="000000"/>
                <w:sz w:val="20"/>
                <w:szCs w:val="24"/>
                <w:u w:val="single"/>
                <w:lang w:eastAsia="cs-CZ"/>
              </w:rPr>
            </w:pPr>
          </w:p>
        </w:tc>
      </w:tr>
      <w:tr w:rsidR="00606D2C" w:rsidRPr="002C70E1" w:rsidTr="00820FB7">
        <w:trPr>
          <w:trHeight w:val="748"/>
        </w:trPr>
        <w:tc>
          <w:tcPr>
            <w:tcW w:w="718"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581" w:type="dxa"/>
            <w:tcBorders>
              <w:top w:val="nil"/>
              <w:left w:val="nil"/>
              <w:bottom w:val="nil"/>
              <w:right w:val="single" w:sz="4" w:space="0" w:color="auto"/>
            </w:tcBorders>
            <w:shd w:val="clear" w:color="auto" w:fill="auto"/>
            <w:textDirection w:val="btLr"/>
            <w:vAlign w:val="center"/>
            <w:hideMark/>
          </w:tcPr>
          <w:p w:rsidR="00606D2C" w:rsidRPr="002C70E1" w:rsidRDefault="00606D2C" w:rsidP="00972C41">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minulé</w:t>
            </w:r>
          </w:p>
        </w:tc>
        <w:tc>
          <w:tcPr>
            <w:tcW w:w="12798" w:type="dxa"/>
            <w:gridSpan w:val="6"/>
            <w:tcBorders>
              <w:top w:val="nil"/>
              <w:left w:val="nil"/>
              <w:bottom w:val="nil"/>
              <w:right w:val="single" w:sz="8" w:space="0" w:color="000000"/>
            </w:tcBorders>
            <w:shd w:val="clear" w:color="auto" w:fill="auto"/>
            <w:hideMark/>
          </w:tcPr>
          <w:p w:rsidR="00606D2C" w:rsidRPr="004E56CF" w:rsidRDefault="00606D2C" w:rsidP="00972C41">
            <w:pPr>
              <w:spacing w:before="0" w:after="0"/>
              <w:rPr>
                <w:rFonts w:eastAsia="Times New Roman" w:cs="Arial"/>
                <w:sz w:val="20"/>
                <w:szCs w:val="24"/>
                <w:lang w:eastAsia="cs-CZ"/>
              </w:rPr>
            </w:pPr>
            <w:r w:rsidRPr="004E56CF">
              <w:rPr>
                <w:rFonts w:eastAsia="Times New Roman" w:cs="Arial"/>
                <w:sz w:val="20"/>
                <w:szCs w:val="24"/>
                <w:lang w:eastAsia="cs-CZ"/>
              </w:rPr>
              <w:t xml:space="preserve">V </w:t>
            </w:r>
            <w:r>
              <w:rPr>
                <w:rFonts w:eastAsia="Times New Roman" w:cs="Arial"/>
                <w:sz w:val="20"/>
                <w:szCs w:val="24"/>
                <w:lang w:eastAsia="cs-CZ"/>
              </w:rPr>
              <w:t xml:space="preserve">1. </w:t>
            </w:r>
            <w:proofErr w:type="gramStart"/>
            <w:r>
              <w:rPr>
                <w:rFonts w:eastAsia="Times New Roman" w:cs="Arial"/>
                <w:sz w:val="20"/>
                <w:szCs w:val="24"/>
                <w:lang w:eastAsia="cs-CZ"/>
              </w:rPr>
              <w:t>pol.</w:t>
            </w:r>
            <w:r w:rsidRPr="004E56CF">
              <w:rPr>
                <w:rFonts w:eastAsia="Times New Roman" w:cs="Arial"/>
                <w:sz w:val="20"/>
                <w:szCs w:val="24"/>
                <w:lang w:eastAsia="cs-CZ"/>
              </w:rPr>
              <w:t>2017</w:t>
            </w:r>
            <w:proofErr w:type="gramEnd"/>
            <w:r w:rsidRPr="004E56CF">
              <w:rPr>
                <w:rFonts w:eastAsia="Times New Roman" w:cs="Arial"/>
                <w:sz w:val="20"/>
                <w:szCs w:val="24"/>
                <w:lang w:eastAsia="cs-CZ"/>
              </w:rPr>
              <w:t xml:space="preserve"> ÚP ČR realizoval 91 seminářů pro zaměstnavatele a </w:t>
            </w:r>
            <w:r>
              <w:rPr>
                <w:rFonts w:eastAsia="Times New Roman" w:cs="Arial"/>
                <w:sz w:val="20"/>
                <w:szCs w:val="24"/>
                <w:lang w:eastAsia="cs-CZ"/>
              </w:rPr>
              <w:t>4</w:t>
            </w:r>
            <w:r w:rsidRPr="004E56CF">
              <w:rPr>
                <w:rFonts w:eastAsia="Times New Roman" w:cs="Arial"/>
                <w:sz w:val="20"/>
                <w:szCs w:val="24"/>
                <w:lang w:eastAsia="cs-CZ"/>
              </w:rPr>
              <w:t xml:space="preserve">6 </w:t>
            </w:r>
            <w:proofErr w:type="spellStart"/>
            <w:r w:rsidRPr="004E56CF">
              <w:rPr>
                <w:rFonts w:eastAsia="Times New Roman" w:cs="Arial"/>
                <w:sz w:val="20"/>
                <w:szCs w:val="24"/>
                <w:lang w:eastAsia="cs-CZ"/>
              </w:rPr>
              <w:t>miniburz</w:t>
            </w:r>
            <w:proofErr w:type="spellEnd"/>
            <w:r w:rsidRPr="004E56CF">
              <w:rPr>
                <w:rFonts w:eastAsia="Times New Roman" w:cs="Arial"/>
                <w:sz w:val="20"/>
                <w:szCs w:val="24"/>
                <w:lang w:eastAsia="cs-CZ"/>
              </w:rPr>
              <w:t xml:space="preserve"> a burz práce. </w:t>
            </w:r>
            <w:proofErr w:type="spellStart"/>
            <w:r w:rsidRPr="004E56CF">
              <w:rPr>
                <w:rFonts w:eastAsia="Times New Roman" w:cs="Arial"/>
                <w:sz w:val="20"/>
                <w:szCs w:val="24"/>
                <w:lang w:eastAsia="cs-CZ"/>
              </w:rPr>
              <w:t>Miniburzy</w:t>
            </w:r>
            <w:proofErr w:type="spellEnd"/>
            <w:r w:rsidRPr="004E56CF">
              <w:rPr>
                <w:rFonts w:eastAsia="Times New Roman" w:cs="Arial"/>
                <w:sz w:val="20"/>
                <w:szCs w:val="24"/>
                <w:lang w:eastAsia="cs-CZ"/>
              </w:rPr>
              <w:t xml:space="preserve"> jsou zaměřené na konkrétní profesi </w:t>
            </w:r>
            <w:r>
              <w:rPr>
                <w:rFonts w:eastAsia="Times New Roman" w:cs="Arial"/>
                <w:sz w:val="20"/>
                <w:szCs w:val="24"/>
                <w:lang w:eastAsia="cs-CZ"/>
              </w:rPr>
              <w:t>či</w:t>
            </w:r>
            <w:r w:rsidRPr="004E56CF">
              <w:rPr>
                <w:rFonts w:eastAsia="Times New Roman" w:cs="Arial"/>
                <w:sz w:val="20"/>
                <w:szCs w:val="24"/>
                <w:lang w:eastAsia="cs-CZ"/>
              </w:rPr>
              <w:t xml:space="preserve"> odvětví</w:t>
            </w:r>
            <w:r>
              <w:rPr>
                <w:rFonts w:eastAsia="Times New Roman" w:cs="Arial"/>
                <w:sz w:val="20"/>
                <w:szCs w:val="24"/>
                <w:lang w:eastAsia="cs-CZ"/>
              </w:rPr>
              <w:t>,</w:t>
            </w:r>
            <w:r w:rsidRPr="004E56CF">
              <w:rPr>
                <w:rFonts w:eastAsia="Times New Roman" w:cs="Arial"/>
                <w:sz w:val="20"/>
                <w:szCs w:val="24"/>
                <w:lang w:eastAsia="cs-CZ"/>
              </w:rPr>
              <w:t xml:space="preserve"> menšího rozsahu než burzy práce. Burzy nebývají omezeny rozsahem ani zaměřením. Na </w:t>
            </w:r>
            <w:proofErr w:type="spellStart"/>
            <w:r w:rsidRPr="004E56CF">
              <w:rPr>
                <w:rFonts w:eastAsia="Times New Roman" w:cs="Arial"/>
                <w:sz w:val="20"/>
                <w:szCs w:val="24"/>
                <w:lang w:eastAsia="cs-CZ"/>
              </w:rPr>
              <w:t>miniburzy</w:t>
            </w:r>
            <w:proofErr w:type="spellEnd"/>
            <w:r w:rsidRPr="004E56CF">
              <w:rPr>
                <w:rFonts w:eastAsia="Times New Roman" w:cs="Arial"/>
                <w:sz w:val="20"/>
                <w:szCs w:val="24"/>
                <w:lang w:eastAsia="cs-CZ"/>
              </w:rPr>
              <w:t xml:space="preserve"> a burzy práce jsou zváni především uchazeči a zájemci o zaměstnání, žáci a absolventi škol, ale i široká veřejnost.</w:t>
            </w:r>
          </w:p>
        </w:tc>
      </w:tr>
      <w:tr w:rsidR="00606D2C" w:rsidRPr="002C70E1" w:rsidTr="00820FB7">
        <w:trPr>
          <w:trHeight w:val="698"/>
        </w:trPr>
        <w:tc>
          <w:tcPr>
            <w:tcW w:w="718"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581" w:type="dxa"/>
            <w:tcBorders>
              <w:top w:val="single" w:sz="4" w:space="0" w:color="auto"/>
              <w:left w:val="nil"/>
              <w:bottom w:val="single" w:sz="8" w:space="0" w:color="auto"/>
              <w:right w:val="single" w:sz="4" w:space="0" w:color="auto"/>
            </w:tcBorders>
            <w:shd w:val="clear" w:color="auto" w:fill="auto"/>
            <w:textDirection w:val="btLr"/>
            <w:vAlign w:val="center"/>
            <w:hideMark/>
          </w:tcPr>
          <w:p w:rsidR="00606D2C" w:rsidRPr="002C70E1" w:rsidRDefault="00606D2C" w:rsidP="00972C41">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Sled</w:t>
            </w:r>
            <w:r>
              <w:rPr>
                <w:rFonts w:eastAsia="Times New Roman" w:cs="Arial"/>
                <w:color w:val="000000"/>
                <w:sz w:val="20"/>
                <w:szCs w:val="24"/>
                <w:lang w:eastAsia="cs-CZ"/>
              </w:rPr>
              <w:t>.</w:t>
            </w:r>
            <w:r w:rsidRPr="002C70E1">
              <w:rPr>
                <w:rFonts w:eastAsia="Times New Roman" w:cs="Arial"/>
                <w:color w:val="000000"/>
                <w:sz w:val="20"/>
                <w:szCs w:val="24"/>
                <w:lang w:eastAsia="cs-CZ"/>
              </w:rPr>
              <w:t xml:space="preserve"> </w:t>
            </w:r>
          </w:p>
        </w:tc>
        <w:tc>
          <w:tcPr>
            <w:tcW w:w="12798" w:type="dxa"/>
            <w:gridSpan w:val="6"/>
            <w:tcBorders>
              <w:top w:val="single" w:sz="4" w:space="0" w:color="auto"/>
              <w:left w:val="nil"/>
              <w:bottom w:val="single" w:sz="8" w:space="0" w:color="auto"/>
              <w:right w:val="single" w:sz="8" w:space="0" w:color="000000"/>
            </w:tcBorders>
            <w:shd w:val="clear" w:color="auto" w:fill="auto"/>
            <w:hideMark/>
          </w:tcPr>
          <w:p w:rsidR="00606D2C" w:rsidRDefault="00606D2C" w:rsidP="00972C41">
            <w:pPr>
              <w:spacing w:before="0" w:after="0"/>
              <w:rPr>
                <w:rFonts w:eastAsia="Times New Roman" w:cs="Arial"/>
                <w:color w:val="000000"/>
                <w:sz w:val="20"/>
                <w:szCs w:val="24"/>
                <w:lang w:eastAsia="cs-CZ"/>
              </w:rPr>
            </w:pPr>
            <w:r w:rsidRPr="00F210E7">
              <w:rPr>
                <w:rFonts w:eastAsia="Times New Roman" w:cs="Arial"/>
                <w:sz w:val="20"/>
                <w:szCs w:val="24"/>
                <w:lang w:eastAsia="cs-CZ"/>
              </w:rPr>
              <w:t xml:space="preserve">V roce 2017 ÚP ČR realizoval 198 seminářů pro zaměstnavatele a 91 </w:t>
            </w:r>
            <w:proofErr w:type="spellStart"/>
            <w:r w:rsidRPr="00F210E7">
              <w:rPr>
                <w:rFonts w:eastAsia="Times New Roman" w:cs="Arial"/>
                <w:sz w:val="20"/>
                <w:szCs w:val="24"/>
                <w:lang w:eastAsia="cs-CZ"/>
              </w:rPr>
              <w:t>miniburz</w:t>
            </w:r>
            <w:proofErr w:type="spellEnd"/>
            <w:r w:rsidRPr="00F210E7">
              <w:rPr>
                <w:rFonts w:eastAsia="Times New Roman" w:cs="Arial"/>
                <w:sz w:val="20"/>
                <w:szCs w:val="24"/>
                <w:lang w:eastAsia="cs-CZ"/>
              </w:rPr>
              <w:t xml:space="preserve"> a burz práce.</w:t>
            </w:r>
          </w:p>
        </w:tc>
      </w:tr>
    </w:tbl>
    <w:p w:rsidR="00606D2C" w:rsidRPr="002C70E1" w:rsidRDefault="00606D2C" w:rsidP="00606D2C">
      <w:pPr>
        <w:rPr>
          <w:sz w:val="20"/>
        </w:rPr>
      </w:pPr>
    </w:p>
    <w:tbl>
      <w:tblPr>
        <w:tblW w:w="14097" w:type="dxa"/>
        <w:tblInd w:w="47" w:type="dxa"/>
        <w:tblCellMar>
          <w:left w:w="70" w:type="dxa"/>
          <w:right w:w="70" w:type="dxa"/>
        </w:tblCellMar>
        <w:tblLook w:val="04A0" w:firstRow="1" w:lastRow="0" w:firstColumn="1" w:lastColumn="0" w:noHBand="0" w:noVBand="1"/>
      </w:tblPr>
      <w:tblGrid>
        <w:gridCol w:w="718"/>
        <w:gridCol w:w="623"/>
        <w:gridCol w:w="100"/>
        <w:gridCol w:w="2213"/>
        <w:gridCol w:w="1145"/>
        <w:gridCol w:w="1028"/>
        <w:gridCol w:w="1892"/>
        <w:gridCol w:w="1736"/>
        <w:gridCol w:w="1624"/>
        <w:gridCol w:w="3018"/>
      </w:tblGrid>
      <w:tr w:rsidR="00606D2C" w:rsidRPr="002C70E1" w:rsidTr="00606D2C">
        <w:trPr>
          <w:trHeight w:val="270"/>
        </w:trPr>
        <w:tc>
          <w:tcPr>
            <w:tcW w:w="718" w:type="dxa"/>
            <w:tcBorders>
              <w:top w:val="nil"/>
              <w:left w:val="nil"/>
              <w:bottom w:val="nil"/>
              <w:right w:val="nil"/>
            </w:tcBorders>
            <w:shd w:val="clear" w:color="auto" w:fill="auto"/>
            <w:noWrap/>
            <w:vAlign w:val="bottom"/>
            <w:hideMark/>
          </w:tcPr>
          <w:p w:rsidR="00606D2C" w:rsidRPr="002C70E1" w:rsidRDefault="00606D2C" w:rsidP="00972C41">
            <w:pPr>
              <w:spacing w:before="0" w:after="0"/>
              <w:jc w:val="left"/>
              <w:rPr>
                <w:rFonts w:eastAsia="Times New Roman" w:cs="Arial"/>
                <w:color w:val="000000"/>
                <w:sz w:val="20"/>
                <w:szCs w:val="24"/>
                <w:lang w:eastAsia="cs-CZ"/>
              </w:rPr>
            </w:pPr>
          </w:p>
        </w:tc>
        <w:tc>
          <w:tcPr>
            <w:tcW w:w="723" w:type="dxa"/>
            <w:gridSpan w:val="2"/>
            <w:tcBorders>
              <w:top w:val="nil"/>
              <w:left w:val="nil"/>
              <w:bottom w:val="single" w:sz="12" w:space="0" w:color="auto"/>
              <w:right w:val="nil"/>
            </w:tcBorders>
            <w:shd w:val="clear" w:color="auto" w:fill="auto"/>
            <w:noWrap/>
            <w:vAlign w:val="bottom"/>
            <w:hideMark/>
          </w:tcPr>
          <w:p w:rsidR="00606D2C" w:rsidRPr="002C70E1" w:rsidRDefault="00606D2C" w:rsidP="00972C41">
            <w:pPr>
              <w:spacing w:before="0" w:after="0"/>
              <w:jc w:val="left"/>
              <w:rPr>
                <w:rFonts w:eastAsia="Times New Roman" w:cs="Arial"/>
                <w:color w:val="000000"/>
                <w:sz w:val="20"/>
                <w:szCs w:val="24"/>
                <w:lang w:eastAsia="cs-CZ"/>
              </w:rPr>
            </w:pPr>
          </w:p>
        </w:tc>
        <w:tc>
          <w:tcPr>
            <w:tcW w:w="2213" w:type="dxa"/>
            <w:tcBorders>
              <w:top w:val="nil"/>
              <w:left w:val="nil"/>
              <w:bottom w:val="single" w:sz="12" w:space="0" w:color="auto"/>
              <w:right w:val="nil"/>
            </w:tcBorders>
            <w:shd w:val="clear" w:color="auto" w:fill="auto"/>
            <w:noWrap/>
            <w:vAlign w:val="bottom"/>
            <w:hideMark/>
          </w:tcPr>
          <w:p w:rsidR="00606D2C" w:rsidRPr="002C70E1" w:rsidRDefault="00606D2C" w:rsidP="00972C41">
            <w:pPr>
              <w:spacing w:before="0" w:after="0"/>
              <w:jc w:val="left"/>
              <w:rPr>
                <w:rFonts w:eastAsia="Times New Roman" w:cs="Arial"/>
                <w:color w:val="000000"/>
                <w:sz w:val="20"/>
                <w:szCs w:val="24"/>
                <w:lang w:eastAsia="cs-CZ"/>
              </w:rPr>
            </w:pPr>
          </w:p>
        </w:tc>
        <w:tc>
          <w:tcPr>
            <w:tcW w:w="1145" w:type="dxa"/>
            <w:tcBorders>
              <w:top w:val="nil"/>
              <w:left w:val="nil"/>
              <w:bottom w:val="single" w:sz="12" w:space="0" w:color="auto"/>
              <w:right w:val="nil"/>
            </w:tcBorders>
            <w:shd w:val="clear" w:color="auto" w:fill="auto"/>
            <w:noWrap/>
            <w:vAlign w:val="bottom"/>
            <w:hideMark/>
          </w:tcPr>
          <w:p w:rsidR="00606D2C" w:rsidRPr="002C70E1" w:rsidRDefault="00606D2C" w:rsidP="00972C41">
            <w:pPr>
              <w:spacing w:before="0" w:after="0"/>
              <w:jc w:val="left"/>
              <w:rPr>
                <w:rFonts w:eastAsia="Times New Roman" w:cs="Arial"/>
                <w:color w:val="000000"/>
                <w:sz w:val="20"/>
                <w:szCs w:val="24"/>
                <w:lang w:eastAsia="cs-CZ"/>
              </w:rPr>
            </w:pPr>
          </w:p>
        </w:tc>
        <w:tc>
          <w:tcPr>
            <w:tcW w:w="1028" w:type="dxa"/>
            <w:tcBorders>
              <w:top w:val="nil"/>
              <w:left w:val="nil"/>
              <w:bottom w:val="single" w:sz="12" w:space="0" w:color="auto"/>
              <w:right w:val="nil"/>
            </w:tcBorders>
            <w:shd w:val="clear" w:color="auto" w:fill="auto"/>
            <w:noWrap/>
            <w:vAlign w:val="bottom"/>
            <w:hideMark/>
          </w:tcPr>
          <w:p w:rsidR="00606D2C" w:rsidRPr="002C70E1" w:rsidRDefault="00606D2C" w:rsidP="00972C41">
            <w:pPr>
              <w:spacing w:before="0" w:after="0"/>
              <w:jc w:val="left"/>
              <w:rPr>
                <w:rFonts w:eastAsia="Times New Roman" w:cs="Arial"/>
                <w:color w:val="000000"/>
                <w:sz w:val="20"/>
                <w:szCs w:val="24"/>
                <w:lang w:eastAsia="cs-CZ"/>
              </w:rPr>
            </w:pPr>
          </w:p>
        </w:tc>
        <w:tc>
          <w:tcPr>
            <w:tcW w:w="1892" w:type="dxa"/>
            <w:tcBorders>
              <w:top w:val="nil"/>
              <w:left w:val="nil"/>
              <w:bottom w:val="nil"/>
              <w:right w:val="nil"/>
            </w:tcBorders>
            <w:shd w:val="clear" w:color="auto" w:fill="auto"/>
            <w:noWrap/>
            <w:vAlign w:val="bottom"/>
            <w:hideMark/>
          </w:tcPr>
          <w:p w:rsidR="00606D2C" w:rsidRPr="002C70E1" w:rsidRDefault="00606D2C" w:rsidP="00972C41">
            <w:pPr>
              <w:spacing w:before="0" w:after="0"/>
              <w:jc w:val="left"/>
              <w:rPr>
                <w:rFonts w:eastAsia="Times New Roman" w:cs="Arial"/>
                <w:color w:val="000000"/>
                <w:sz w:val="20"/>
                <w:szCs w:val="24"/>
                <w:lang w:eastAsia="cs-CZ"/>
              </w:rPr>
            </w:pPr>
          </w:p>
        </w:tc>
        <w:tc>
          <w:tcPr>
            <w:tcW w:w="1736" w:type="dxa"/>
            <w:tcBorders>
              <w:top w:val="nil"/>
              <w:left w:val="nil"/>
              <w:bottom w:val="nil"/>
              <w:right w:val="nil"/>
            </w:tcBorders>
            <w:shd w:val="clear" w:color="auto" w:fill="auto"/>
            <w:noWrap/>
            <w:vAlign w:val="bottom"/>
            <w:hideMark/>
          </w:tcPr>
          <w:p w:rsidR="00606D2C" w:rsidRPr="002C70E1" w:rsidRDefault="00606D2C" w:rsidP="00972C41">
            <w:pPr>
              <w:spacing w:before="0" w:after="0"/>
              <w:jc w:val="left"/>
              <w:rPr>
                <w:rFonts w:eastAsia="Times New Roman" w:cs="Arial"/>
                <w:color w:val="000000"/>
                <w:sz w:val="20"/>
                <w:szCs w:val="24"/>
                <w:lang w:eastAsia="cs-CZ"/>
              </w:rPr>
            </w:pPr>
          </w:p>
        </w:tc>
        <w:tc>
          <w:tcPr>
            <w:tcW w:w="1624" w:type="dxa"/>
            <w:tcBorders>
              <w:top w:val="nil"/>
              <w:left w:val="nil"/>
              <w:bottom w:val="single" w:sz="12" w:space="0" w:color="auto"/>
              <w:right w:val="nil"/>
            </w:tcBorders>
            <w:shd w:val="clear" w:color="auto" w:fill="auto"/>
            <w:noWrap/>
            <w:vAlign w:val="bottom"/>
            <w:hideMark/>
          </w:tcPr>
          <w:p w:rsidR="00606D2C" w:rsidRPr="002C70E1" w:rsidRDefault="00606D2C" w:rsidP="00972C41">
            <w:pPr>
              <w:spacing w:before="0" w:after="0"/>
              <w:jc w:val="left"/>
              <w:rPr>
                <w:rFonts w:eastAsia="Times New Roman" w:cs="Arial"/>
                <w:color w:val="000000"/>
                <w:sz w:val="20"/>
                <w:szCs w:val="24"/>
                <w:lang w:eastAsia="cs-CZ"/>
              </w:rPr>
            </w:pPr>
          </w:p>
        </w:tc>
        <w:tc>
          <w:tcPr>
            <w:tcW w:w="3018" w:type="dxa"/>
            <w:tcBorders>
              <w:top w:val="nil"/>
              <w:left w:val="nil"/>
              <w:bottom w:val="single" w:sz="12" w:space="0" w:color="auto"/>
              <w:right w:val="nil"/>
            </w:tcBorders>
            <w:shd w:val="clear" w:color="auto" w:fill="auto"/>
            <w:noWrap/>
            <w:vAlign w:val="bottom"/>
            <w:hideMark/>
          </w:tcPr>
          <w:p w:rsidR="00606D2C" w:rsidRPr="002C70E1" w:rsidRDefault="00606D2C" w:rsidP="00972C41">
            <w:pPr>
              <w:spacing w:before="0" w:after="0"/>
              <w:jc w:val="left"/>
              <w:rPr>
                <w:rFonts w:eastAsia="Times New Roman" w:cs="Arial"/>
                <w:color w:val="000000"/>
                <w:sz w:val="20"/>
                <w:szCs w:val="24"/>
                <w:lang w:eastAsia="cs-CZ"/>
              </w:rPr>
            </w:pPr>
          </w:p>
        </w:tc>
      </w:tr>
      <w:tr w:rsidR="00606D2C" w:rsidRPr="002C70E1" w:rsidTr="00606D2C">
        <w:trPr>
          <w:trHeight w:val="285"/>
        </w:trPr>
        <w:tc>
          <w:tcPr>
            <w:tcW w:w="718" w:type="dxa"/>
            <w:tcBorders>
              <w:top w:val="single" w:sz="8" w:space="0" w:color="auto"/>
              <w:left w:val="single" w:sz="8" w:space="0" w:color="auto"/>
              <w:bottom w:val="single" w:sz="4" w:space="0" w:color="auto"/>
              <w:right w:val="single" w:sz="12" w:space="0" w:color="auto"/>
            </w:tcBorders>
            <w:shd w:val="clear" w:color="000000" w:fill="FDE9D9"/>
            <w:noWrap/>
            <w:vAlign w:val="bottom"/>
            <w:hideMark/>
          </w:tcPr>
          <w:p w:rsidR="00606D2C" w:rsidRPr="002C70E1" w:rsidRDefault="00606D2C" w:rsidP="00972C41">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3.3</w:t>
            </w:r>
          </w:p>
        </w:tc>
        <w:tc>
          <w:tcPr>
            <w:tcW w:w="723" w:type="dxa"/>
            <w:gridSpan w:val="2"/>
            <w:tcBorders>
              <w:top w:val="single" w:sz="12" w:space="0" w:color="auto"/>
              <w:left w:val="single" w:sz="12" w:space="0" w:color="auto"/>
              <w:bottom w:val="single" w:sz="12" w:space="0" w:color="auto"/>
              <w:right w:val="nil"/>
            </w:tcBorders>
            <w:shd w:val="clear" w:color="auto" w:fill="auto"/>
            <w:noWrap/>
            <w:vAlign w:val="bottom"/>
            <w:hideMark/>
          </w:tcPr>
          <w:p w:rsidR="00606D2C" w:rsidRPr="002C70E1" w:rsidRDefault="00606D2C" w:rsidP="00972C41">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2213" w:type="dxa"/>
            <w:tcBorders>
              <w:top w:val="single" w:sz="12" w:space="0" w:color="auto"/>
              <w:left w:val="nil"/>
              <w:bottom w:val="single" w:sz="12" w:space="0" w:color="auto"/>
              <w:right w:val="nil"/>
            </w:tcBorders>
            <w:shd w:val="clear" w:color="auto" w:fill="auto"/>
            <w:noWrap/>
            <w:vAlign w:val="bottom"/>
            <w:hideMark/>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 xml:space="preserve">průběžně </w:t>
            </w:r>
          </w:p>
        </w:tc>
        <w:tc>
          <w:tcPr>
            <w:tcW w:w="1145" w:type="dxa"/>
            <w:tcBorders>
              <w:top w:val="single" w:sz="12" w:space="0" w:color="auto"/>
              <w:left w:val="single" w:sz="12" w:space="0" w:color="auto"/>
              <w:bottom w:val="single" w:sz="12" w:space="0" w:color="auto"/>
              <w:right w:val="nil"/>
            </w:tcBorders>
            <w:shd w:val="clear" w:color="auto" w:fill="auto"/>
            <w:noWrap/>
            <w:vAlign w:val="bottom"/>
            <w:hideMark/>
          </w:tcPr>
          <w:p w:rsidR="00606D2C" w:rsidRPr="002C70E1" w:rsidRDefault="00606D2C" w:rsidP="00972C41">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28" w:type="dxa"/>
            <w:tcBorders>
              <w:top w:val="single" w:sz="12" w:space="0" w:color="auto"/>
              <w:left w:val="nil"/>
              <w:bottom w:val="single" w:sz="12" w:space="0" w:color="auto"/>
              <w:right w:val="single" w:sz="12" w:space="0" w:color="auto"/>
            </w:tcBorders>
            <w:shd w:val="clear" w:color="auto" w:fill="auto"/>
            <w:noWrap/>
            <w:vAlign w:val="bottom"/>
            <w:hideMark/>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3628" w:type="dxa"/>
            <w:gridSpan w:val="2"/>
            <w:tcBorders>
              <w:top w:val="single" w:sz="8" w:space="0" w:color="auto"/>
              <w:left w:val="nil"/>
              <w:right w:val="single" w:sz="12" w:space="0" w:color="auto"/>
            </w:tcBorders>
            <w:shd w:val="clear" w:color="auto" w:fill="auto"/>
            <w:noWrap/>
            <w:vAlign w:val="bottom"/>
          </w:tcPr>
          <w:p w:rsidR="00606D2C" w:rsidRPr="002C70E1" w:rsidRDefault="00606D2C" w:rsidP="00972C41">
            <w:pPr>
              <w:spacing w:before="0" w:after="0"/>
              <w:jc w:val="right"/>
              <w:rPr>
                <w:rFonts w:eastAsia="Times New Roman" w:cs="Arial"/>
                <w:color w:val="000000"/>
                <w:sz w:val="20"/>
                <w:szCs w:val="24"/>
                <w:lang w:eastAsia="cs-CZ"/>
              </w:rPr>
            </w:pPr>
          </w:p>
        </w:tc>
        <w:tc>
          <w:tcPr>
            <w:tcW w:w="1624" w:type="dxa"/>
            <w:tcBorders>
              <w:top w:val="single" w:sz="12" w:space="0" w:color="auto"/>
              <w:left w:val="single" w:sz="12" w:space="0" w:color="auto"/>
              <w:bottom w:val="single" w:sz="12" w:space="0" w:color="auto"/>
            </w:tcBorders>
            <w:shd w:val="clear" w:color="auto" w:fill="auto"/>
            <w:noWrap/>
            <w:vAlign w:val="bottom"/>
          </w:tcPr>
          <w:p w:rsidR="00606D2C" w:rsidRPr="002C70E1" w:rsidRDefault="00606D2C" w:rsidP="00972C41">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18" w:type="dxa"/>
            <w:tcBorders>
              <w:top w:val="single" w:sz="12" w:space="0" w:color="auto"/>
              <w:bottom w:val="single" w:sz="12" w:space="0" w:color="auto"/>
              <w:right w:val="single" w:sz="12" w:space="0" w:color="auto"/>
            </w:tcBorders>
            <w:shd w:val="clear" w:color="auto" w:fill="auto"/>
            <w:noWrap/>
            <w:vAlign w:val="bottom"/>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N</w:t>
            </w:r>
          </w:p>
        </w:tc>
      </w:tr>
      <w:tr w:rsidR="00606D2C" w:rsidRPr="002C70E1" w:rsidTr="00606D2C">
        <w:trPr>
          <w:trHeight w:val="285"/>
        </w:trPr>
        <w:tc>
          <w:tcPr>
            <w:tcW w:w="718" w:type="dxa"/>
            <w:vMerge w:val="restart"/>
            <w:tcBorders>
              <w:top w:val="single" w:sz="4" w:space="0" w:color="auto"/>
              <w:left w:val="single" w:sz="4" w:space="0" w:color="auto"/>
              <w:bottom w:val="single" w:sz="4" w:space="0" w:color="auto"/>
              <w:right w:val="single" w:sz="4" w:space="0" w:color="auto"/>
            </w:tcBorders>
            <w:shd w:val="clear" w:color="000000" w:fill="FDE9D9"/>
            <w:noWrap/>
            <w:textDirection w:val="btLr"/>
            <w:vAlign w:val="center"/>
            <w:hideMark/>
          </w:tcPr>
          <w:p w:rsidR="00606D2C" w:rsidRPr="002C70E1" w:rsidRDefault="00606D2C" w:rsidP="00972C41">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Koordinace politiky zaměstnanosti a sociální politiky</w:t>
            </w:r>
          </w:p>
        </w:tc>
        <w:tc>
          <w:tcPr>
            <w:tcW w:w="2936" w:type="dxa"/>
            <w:gridSpan w:val="3"/>
            <w:tcBorders>
              <w:top w:val="single" w:sz="12" w:space="0" w:color="auto"/>
              <w:left w:val="single" w:sz="4" w:space="0" w:color="auto"/>
            </w:tcBorders>
            <w:shd w:val="clear" w:color="auto" w:fill="auto"/>
            <w:noWrap/>
            <w:vAlign w:val="bottom"/>
          </w:tcPr>
          <w:p w:rsidR="00606D2C" w:rsidRPr="002C70E1" w:rsidRDefault="00606D2C" w:rsidP="00972C41">
            <w:pPr>
              <w:spacing w:before="0" w:after="0"/>
              <w:jc w:val="right"/>
              <w:rPr>
                <w:rFonts w:eastAsia="Times New Roman" w:cs="Arial"/>
                <w:b/>
                <w:bCs/>
                <w:color w:val="000000"/>
                <w:sz w:val="20"/>
                <w:szCs w:val="24"/>
                <w:lang w:eastAsia="cs-CZ"/>
              </w:rPr>
            </w:pPr>
          </w:p>
        </w:tc>
        <w:tc>
          <w:tcPr>
            <w:tcW w:w="1145" w:type="dxa"/>
            <w:tcBorders>
              <w:top w:val="single" w:sz="8" w:space="0" w:color="auto"/>
            </w:tcBorders>
            <w:shd w:val="clear" w:color="auto" w:fill="auto"/>
            <w:noWrap/>
            <w:vAlign w:val="bottom"/>
          </w:tcPr>
          <w:p w:rsidR="00606D2C" w:rsidRPr="002C70E1" w:rsidRDefault="00606D2C" w:rsidP="00972C41">
            <w:pPr>
              <w:spacing w:before="0" w:after="0"/>
              <w:jc w:val="center"/>
              <w:rPr>
                <w:rFonts w:eastAsia="Times New Roman" w:cs="Arial"/>
                <w:b/>
                <w:bCs/>
                <w:color w:val="000000"/>
                <w:sz w:val="20"/>
                <w:szCs w:val="24"/>
                <w:lang w:eastAsia="cs-CZ"/>
              </w:rPr>
            </w:pPr>
          </w:p>
        </w:tc>
        <w:tc>
          <w:tcPr>
            <w:tcW w:w="4656" w:type="dxa"/>
            <w:gridSpan w:val="3"/>
            <w:shd w:val="clear" w:color="auto" w:fill="auto"/>
            <w:noWrap/>
            <w:vAlign w:val="center"/>
            <w:hideMark/>
          </w:tcPr>
          <w:p w:rsidR="00606D2C" w:rsidRPr="002C70E1" w:rsidRDefault="00606D2C" w:rsidP="00972C41">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24" w:type="dxa"/>
            <w:shd w:val="clear" w:color="auto" w:fill="auto"/>
            <w:noWrap/>
            <w:vAlign w:val="center"/>
          </w:tcPr>
          <w:p w:rsidR="00606D2C" w:rsidRPr="002C70E1" w:rsidRDefault="00606D2C" w:rsidP="00972C41">
            <w:pPr>
              <w:spacing w:before="0" w:after="0"/>
              <w:jc w:val="center"/>
              <w:rPr>
                <w:rFonts w:eastAsia="Times New Roman" w:cs="Arial"/>
                <w:b/>
                <w:bCs/>
                <w:color w:val="000000"/>
                <w:sz w:val="20"/>
                <w:szCs w:val="24"/>
                <w:u w:val="single"/>
                <w:lang w:eastAsia="cs-CZ"/>
              </w:rPr>
            </w:pPr>
          </w:p>
        </w:tc>
        <w:tc>
          <w:tcPr>
            <w:tcW w:w="3018" w:type="dxa"/>
            <w:tcBorders>
              <w:top w:val="single" w:sz="12" w:space="0" w:color="auto"/>
              <w:right w:val="single" w:sz="8" w:space="0" w:color="auto"/>
            </w:tcBorders>
            <w:shd w:val="clear" w:color="auto" w:fill="auto"/>
            <w:noWrap/>
            <w:vAlign w:val="center"/>
          </w:tcPr>
          <w:p w:rsidR="00606D2C" w:rsidRPr="002C70E1" w:rsidRDefault="00606D2C" w:rsidP="00972C41">
            <w:pPr>
              <w:spacing w:before="0" w:after="0"/>
              <w:jc w:val="center"/>
              <w:rPr>
                <w:rFonts w:eastAsia="Times New Roman" w:cs="Arial"/>
                <w:b/>
                <w:bCs/>
                <w:color w:val="000000"/>
                <w:sz w:val="20"/>
                <w:szCs w:val="24"/>
                <w:u w:val="single"/>
                <w:lang w:eastAsia="cs-CZ"/>
              </w:rPr>
            </w:pPr>
          </w:p>
        </w:tc>
      </w:tr>
      <w:tr w:rsidR="00606D2C" w:rsidRPr="002C70E1" w:rsidTr="00606D2C">
        <w:trPr>
          <w:trHeight w:val="630"/>
        </w:trPr>
        <w:tc>
          <w:tcPr>
            <w:tcW w:w="718" w:type="dxa"/>
            <w:vMerge/>
            <w:tcBorders>
              <w:top w:val="nil"/>
              <w:left w:val="single" w:sz="4" w:space="0" w:color="auto"/>
              <w:bottom w:val="single" w:sz="4" w:space="0" w:color="auto"/>
              <w:right w:val="single" w:sz="4"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13379" w:type="dxa"/>
            <w:gridSpan w:val="9"/>
            <w:tcBorders>
              <w:left w:val="single" w:sz="4" w:space="0" w:color="auto"/>
              <w:bottom w:val="double" w:sz="6" w:space="0" w:color="auto"/>
              <w:right w:val="single" w:sz="8" w:space="0" w:color="000000"/>
            </w:tcBorders>
            <w:shd w:val="clear" w:color="auto" w:fill="auto"/>
            <w:hideMark/>
          </w:tcPr>
          <w:p w:rsidR="00606D2C" w:rsidRPr="002C70E1" w:rsidRDefault="00606D2C" w:rsidP="00972C41">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Zvýšit spolupráci v rámci ÚP ČR mezi oblastí zprostředkování zaměstnání a nepojistných sociálních dávek s cílem koordinovat činnost jak na poli politiky zaměstnanosti, tak sociální politiky. Koordinovaně identifikovat a řešit možné bariéry při vstupu na trh práce ze strany pracovní síly.</w:t>
            </w:r>
          </w:p>
        </w:tc>
      </w:tr>
      <w:tr w:rsidR="00606D2C" w:rsidRPr="002C70E1" w:rsidTr="00606D2C">
        <w:trPr>
          <w:trHeight w:val="285"/>
        </w:trPr>
        <w:tc>
          <w:tcPr>
            <w:tcW w:w="718" w:type="dxa"/>
            <w:vMerge/>
            <w:tcBorders>
              <w:top w:val="nil"/>
              <w:left w:val="single" w:sz="4" w:space="0" w:color="auto"/>
              <w:bottom w:val="single" w:sz="4" w:space="0" w:color="auto"/>
              <w:right w:val="single" w:sz="4"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581" w:type="dxa"/>
            <w:tcBorders>
              <w:top w:val="double" w:sz="6" w:space="0" w:color="auto"/>
              <w:left w:val="single" w:sz="4" w:space="0" w:color="auto"/>
              <w:bottom w:val="double" w:sz="6" w:space="0" w:color="auto"/>
              <w:right w:val="nil"/>
            </w:tcBorders>
            <w:shd w:val="clear" w:color="000000" w:fill="F2DCDB"/>
            <w:noWrap/>
            <w:vAlign w:val="bottom"/>
            <w:hideMark/>
          </w:tcPr>
          <w:p w:rsidR="00606D2C" w:rsidRPr="002C70E1" w:rsidRDefault="00606D2C" w:rsidP="00972C41">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500" w:type="dxa"/>
            <w:gridSpan w:val="3"/>
            <w:tcBorders>
              <w:top w:val="double" w:sz="6" w:space="0" w:color="auto"/>
              <w:left w:val="nil"/>
              <w:bottom w:val="double" w:sz="6" w:space="0" w:color="auto"/>
              <w:right w:val="double" w:sz="6" w:space="0" w:color="auto"/>
            </w:tcBorders>
            <w:shd w:val="clear" w:color="000000" w:fill="E6B8B7"/>
            <w:vAlign w:val="bottom"/>
            <w:hideMark/>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Řešeno</w:t>
            </w:r>
          </w:p>
        </w:tc>
        <w:tc>
          <w:tcPr>
            <w:tcW w:w="4656" w:type="dxa"/>
            <w:gridSpan w:val="3"/>
            <w:tcBorders>
              <w:top w:val="double" w:sz="6" w:space="0" w:color="auto"/>
              <w:left w:val="double" w:sz="6" w:space="0" w:color="auto"/>
            </w:tcBorders>
            <w:shd w:val="clear" w:color="auto" w:fill="auto"/>
            <w:vAlign w:val="center"/>
            <w:hideMark/>
          </w:tcPr>
          <w:p w:rsidR="00606D2C" w:rsidRPr="002C70E1" w:rsidRDefault="00606D2C" w:rsidP="00972C41">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24" w:type="dxa"/>
            <w:tcBorders>
              <w:top w:val="nil"/>
              <w:right w:val="nil"/>
            </w:tcBorders>
            <w:shd w:val="clear" w:color="auto" w:fill="auto"/>
            <w:vAlign w:val="center"/>
          </w:tcPr>
          <w:p w:rsidR="00606D2C" w:rsidRPr="002C70E1" w:rsidRDefault="00606D2C" w:rsidP="00972C41">
            <w:pPr>
              <w:spacing w:before="0" w:after="0"/>
              <w:jc w:val="right"/>
              <w:rPr>
                <w:rFonts w:eastAsia="Times New Roman" w:cs="Arial"/>
                <w:color w:val="000000"/>
                <w:sz w:val="20"/>
                <w:szCs w:val="24"/>
                <w:lang w:eastAsia="cs-CZ"/>
              </w:rPr>
            </w:pPr>
          </w:p>
        </w:tc>
        <w:tc>
          <w:tcPr>
            <w:tcW w:w="3018" w:type="dxa"/>
            <w:tcBorders>
              <w:top w:val="nil"/>
              <w:left w:val="nil"/>
              <w:right w:val="single" w:sz="8" w:space="0" w:color="auto"/>
            </w:tcBorders>
            <w:shd w:val="clear" w:color="auto" w:fill="auto"/>
            <w:vAlign w:val="center"/>
          </w:tcPr>
          <w:p w:rsidR="00606D2C" w:rsidRPr="002C70E1" w:rsidRDefault="00606D2C" w:rsidP="00972C41">
            <w:pPr>
              <w:spacing w:before="0" w:after="0"/>
              <w:jc w:val="center"/>
              <w:rPr>
                <w:rFonts w:eastAsia="Times New Roman" w:cs="Arial"/>
                <w:b/>
                <w:bCs/>
                <w:color w:val="000000"/>
                <w:sz w:val="20"/>
                <w:szCs w:val="24"/>
                <w:u w:val="single"/>
                <w:lang w:eastAsia="cs-CZ"/>
              </w:rPr>
            </w:pPr>
          </w:p>
        </w:tc>
      </w:tr>
      <w:tr w:rsidR="00606D2C" w:rsidRPr="002C70E1" w:rsidTr="00606D2C">
        <w:trPr>
          <w:trHeight w:val="3600"/>
        </w:trPr>
        <w:tc>
          <w:tcPr>
            <w:tcW w:w="718" w:type="dxa"/>
            <w:vMerge/>
            <w:tcBorders>
              <w:top w:val="nil"/>
              <w:left w:val="single" w:sz="4" w:space="0" w:color="auto"/>
              <w:bottom w:val="single" w:sz="4" w:space="0" w:color="auto"/>
              <w:right w:val="single" w:sz="4"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581" w:type="dxa"/>
            <w:tcBorders>
              <w:top w:val="nil"/>
              <w:left w:val="single" w:sz="4" w:space="0" w:color="auto"/>
              <w:bottom w:val="single" w:sz="8" w:space="0" w:color="auto"/>
              <w:right w:val="single" w:sz="4" w:space="0" w:color="auto"/>
            </w:tcBorders>
            <w:shd w:val="clear" w:color="auto" w:fill="auto"/>
            <w:textDirection w:val="btLr"/>
            <w:vAlign w:val="center"/>
            <w:hideMark/>
          </w:tcPr>
          <w:p w:rsidR="00606D2C" w:rsidRPr="002C70E1" w:rsidRDefault="00606D2C" w:rsidP="00972C41">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minulé</w:t>
            </w:r>
          </w:p>
        </w:tc>
        <w:tc>
          <w:tcPr>
            <w:tcW w:w="12798" w:type="dxa"/>
            <w:gridSpan w:val="8"/>
            <w:tcBorders>
              <w:top w:val="nil"/>
              <w:left w:val="nil"/>
              <w:bottom w:val="single" w:sz="4" w:space="0" w:color="auto"/>
              <w:right w:val="single" w:sz="4" w:space="0" w:color="auto"/>
            </w:tcBorders>
            <w:shd w:val="clear" w:color="auto" w:fill="auto"/>
            <w:hideMark/>
          </w:tcPr>
          <w:p w:rsidR="00606D2C" w:rsidRPr="004E56CF" w:rsidRDefault="00606D2C" w:rsidP="00972C41">
            <w:pPr>
              <w:spacing w:before="0" w:after="0"/>
              <w:rPr>
                <w:rFonts w:eastAsia="Times New Roman" w:cs="Arial"/>
                <w:sz w:val="20"/>
                <w:szCs w:val="24"/>
                <w:lang w:eastAsia="cs-CZ"/>
              </w:rPr>
            </w:pPr>
            <w:r w:rsidRPr="004E56CF">
              <w:rPr>
                <w:rFonts w:eastAsia="Times New Roman" w:cs="Arial"/>
                <w:sz w:val="20"/>
                <w:szCs w:val="24"/>
                <w:lang w:eastAsia="cs-CZ"/>
              </w:rPr>
              <w:t xml:space="preserve">V polovině roku 2017 byla významná spolupráce zejména při implementaci veřejné služby do praxe, na které se podílejí obě části ÚP ČR. VÚSPV připravuje projekt "Case management", zaměřený na zefektivnění činnosti ÚP ČR ve vztahu k dlouhodobě nezaměstnaným osobám. Cílem je nastavení koordinace činností v rámci UP ČR (zaměstnanost, nepojistné sociální dávky) i s vnějšími subjekty a implementace Doporučení Komise k integraci dlouhodobě nezaměstnaných osob na trhu práce. Aktuálně dostupná data o </w:t>
            </w:r>
            <w:proofErr w:type="spellStart"/>
            <w:r w:rsidRPr="004E56CF">
              <w:rPr>
                <w:rFonts w:eastAsia="Times New Roman" w:cs="Arial"/>
                <w:sz w:val="20"/>
                <w:szCs w:val="24"/>
                <w:lang w:eastAsia="cs-CZ"/>
              </w:rPr>
              <w:t>UoZ</w:t>
            </w:r>
            <w:proofErr w:type="spellEnd"/>
            <w:r w:rsidRPr="004E56CF">
              <w:rPr>
                <w:rFonts w:eastAsia="Times New Roman" w:cs="Arial"/>
                <w:sz w:val="20"/>
                <w:szCs w:val="24"/>
                <w:lang w:eastAsia="cs-CZ"/>
              </w:rPr>
              <w:t xml:space="preserve"> v hmotné nouzi jsou k datu 31. 5. 2017, jejich počet činil 81 046, což činí 27,2 % z celkového počtu </w:t>
            </w:r>
            <w:proofErr w:type="spellStart"/>
            <w:r w:rsidRPr="004E56CF">
              <w:rPr>
                <w:rFonts w:eastAsia="Times New Roman" w:cs="Arial"/>
                <w:sz w:val="20"/>
                <w:szCs w:val="24"/>
                <w:lang w:eastAsia="cs-CZ"/>
              </w:rPr>
              <w:t>UoZ</w:t>
            </w:r>
            <w:proofErr w:type="spellEnd"/>
            <w:r w:rsidRPr="004E56CF">
              <w:rPr>
                <w:rFonts w:eastAsia="Times New Roman" w:cs="Arial"/>
                <w:sz w:val="20"/>
                <w:szCs w:val="24"/>
                <w:lang w:eastAsia="cs-CZ"/>
              </w:rPr>
              <w:t xml:space="preserve">. Průběžně měsíčně je vyhodnocována efektivita spolupráce útvarů hmotné nouze a zprostředkování, v květnu byla učiněna nabídka vhodného zaměstnání nejméně každému 10. </w:t>
            </w:r>
            <w:proofErr w:type="spellStart"/>
            <w:r w:rsidRPr="004E56CF">
              <w:rPr>
                <w:rFonts w:eastAsia="Times New Roman" w:cs="Arial"/>
                <w:sz w:val="20"/>
                <w:szCs w:val="24"/>
                <w:lang w:eastAsia="cs-CZ"/>
              </w:rPr>
              <w:t>UoZ</w:t>
            </w:r>
            <w:proofErr w:type="spellEnd"/>
            <w:r w:rsidRPr="004E56CF">
              <w:rPr>
                <w:rFonts w:eastAsia="Times New Roman" w:cs="Arial"/>
                <w:sz w:val="20"/>
                <w:szCs w:val="24"/>
                <w:lang w:eastAsia="cs-CZ"/>
              </w:rPr>
              <w:t xml:space="preserve"> v hmotné nouzi, umístěno do zaměstnání UP ČR bylo 1 424 </w:t>
            </w:r>
            <w:proofErr w:type="spellStart"/>
            <w:r w:rsidRPr="004E56CF">
              <w:rPr>
                <w:rFonts w:eastAsia="Times New Roman" w:cs="Arial"/>
                <w:sz w:val="20"/>
                <w:szCs w:val="24"/>
                <w:lang w:eastAsia="cs-CZ"/>
              </w:rPr>
              <w:t>UoZ</w:t>
            </w:r>
            <w:proofErr w:type="spellEnd"/>
            <w:r w:rsidRPr="004E56CF">
              <w:rPr>
                <w:rFonts w:eastAsia="Times New Roman" w:cs="Arial"/>
                <w:sz w:val="20"/>
                <w:szCs w:val="24"/>
                <w:lang w:eastAsia="cs-CZ"/>
              </w:rPr>
              <w:t xml:space="preserve"> v hmotné nouzi, tj. 17 % z těch, kterým bylo nabídnuto vhodné zaměstnání, rekvalifikace byla nabídnuta 839 </w:t>
            </w:r>
            <w:proofErr w:type="spellStart"/>
            <w:r w:rsidRPr="004E56CF">
              <w:rPr>
                <w:rFonts w:eastAsia="Times New Roman" w:cs="Arial"/>
                <w:sz w:val="20"/>
                <w:szCs w:val="24"/>
                <w:lang w:eastAsia="cs-CZ"/>
              </w:rPr>
              <w:t>UoZ</w:t>
            </w:r>
            <w:proofErr w:type="spellEnd"/>
            <w:r w:rsidRPr="004E56CF">
              <w:rPr>
                <w:rFonts w:eastAsia="Times New Roman" w:cs="Arial"/>
                <w:sz w:val="20"/>
                <w:szCs w:val="24"/>
                <w:lang w:eastAsia="cs-CZ"/>
              </w:rPr>
              <w:t xml:space="preserve"> v hmotné nouzi. Na opětovně zaváděný výkon veřejné služby (VS) u příjemců dávek pomoci v hmotné nouzi je třeba nahlížet jako </w:t>
            </w:r>
            <w:r w:rsidR="00551CC6">
              <w:rPr>
                <w:rFonts w:eastAsia="Times New Roman" w:cs="Arial"/>
                <w:sz w:val="20"/>
                <w:szCs w:val="24"/>
                <w:lang w:eastAsia="cs-CZ"/>
              </w:rPr>
              <w:t>na předstupeň zaměstnání VPP, SÚ</w:t>
            </w:r>
            <w:r w:rsidRPr="004E56CF">
              <w:rPr>
                <w:rFonts w:eastAsia="Times New Roman" w:cs="Arial"/>
                <w:sz w:val="20"/>
                <w:szCs w:val="24"/>
                <w:lang w:eastAsia="cs-CZ"/>
              </w:rPr>
              <w:t xml:space="preserve">PM a na volném trhu práce. Hlavní využití VS spočívá v motivaci k získání pracovních návyků. Spolupráce odd. </w:t>
            </w:r>
            <w:proofErr w:type="gramStart"/>
            <w:r w:rsidRPr="004E56CF">
              <w:rPr>
                <w:rFonts w:eastAsia="Times New Roman" w:cs="Arial"/>
                <w:sz w:val="20"/>
                <w:szCs w:val="24"/>
                <w:lang w:eastAsia="cs-CZ"/>
              </w:rPr>
              <w:t>nepojistných</w:t>
            </w:r>
            <w:proofErr w:type="gramEnd"/>
            <w:r w:rsidRPr="004E56CF">
              <w:rPr>
                <w:rFonts w:eastAsia="Times New Roman" w:cs="Arial"/>
                <w:sz w:val="20"/>
                <w:szCs w:val="24"/>
                <w:lang w:eastAsia="cs-CZ"/>
              </w:rPr>
              <w:t xml:space="preserve"> sociálních dávek – hmotné nouze (odd. NSD – HN) a odd. </w:t>
            </w:r>
            <w:proofErr w:type="gramStart"/>
            <w:r w:rsidRPr="004E56CF">
              <w:rPr>
                <w:rFonts w:eastAsia="Times New Roman" w:cs="Arial"/>
                <w:sz w:val="20"/>
                <w:szCs w:val="24"/>
                <w:lang w:eastAsia="cs-CZ"/>
              </w:rPr>
              <w:t>zprostředkování</w:t>
            </w:r>
            <w:proofErr w:type="gramEnd"/>
            <w:r w:rsidRPr="004E56CF">
              <w:rPr>
                <w:rFonts w:eastAsia="Times New Roman" w:cs="Arial"/>
                <w:sz w:val="20"/>
                <w:szCs w:val="24"/>
                <w:lang w:eastAsia="cs-CZ"/>
              </w:rPr>
              <w:t xml:space="preserve"> a poradenství (odd. </w:t>
            </w:r>
            <w:proofErr w:type="spellStart"/>
            <w:r w:rsidRPr="004E56CF">
              <w:rPr>
                <w:rFonts w:eastAsia="Times New Roman" w:cs="Arial"/>
                <w:sz w:val="20"/>
                <w:szCs w:val="24"/>
                <w:lang w:eastAsia="cs-CZ"/>
              </w:rPr>
              <w:t>ZaP</w:t>
            </w:r>
            <w:proofErr w:type="spellEnd"/>
            <w:r w:rsidRPr="004E56CF">
              <w:rPr>
                <w:rFonts w:eastAsia="Times New Roman" w:cs="Arial"/>
                <w:sz w:val="20"/>
                <w:szCs w:val="24"/>
                <w:lang w:eastAsia="cs-CZ"/>
              </w:rPr>
              <w:t xml:space="preserve">) slouží k zjištění informací o </w:t>
            </w:r>
            <w:proofErr w:type="spellStart"/>
            <w:r w:rsidRPr="004E56CF">
              <w:rPr>
                <w:rFonts w:eastAsia="Times New Roman" w:cs="Arial"/>
                <w:sz w:val="20"/>
                <w:szCs w:val="24"/>
                <w:lang w:eastAsia="cs-CZ"/>
              </w:rPr>
              <w:t>UoZ</w:t>
            </w:r>
            <w:proofErr w:type="spellEnd"/>
            <w:r w:rsidRPr="004E56CF">
              <w:rPr>
                <w:rFonts w:eastAsia="Times New Roman" w:cs="Arial"/>
                <w:sz w:val="20"/>
                <w:szCs w:val="24"/>
                <w:lang w:eastAsia="cs-CZ"/>
              </w:rPr>
              <w:t xml:space="preserve"> vedoucích k nastavení cílené zejména poradenské a zprostředkovatelské práce s </w:t>
            </w:r>
            <w:proofErr w:type="spellStart"/>
            <w:r w:rsidRPr="004E56CF">
              <w:rPr>
                <w:rFonts w:eastAsia="Times New Roman" w:cs="Arial"/>
                <w:sz w:val="20"/>
                <w:szCs w:val="24"/>
                <w:lang w:eastAsia="cs-CZ"/>
              </w:rPr>
              <w:t>UoZ</w:t>
            </w:r>
            <w:proofErr w:type="spellEnd"/>
            <w:r w:rsidRPr="004E56CF">
              <w:rPr>
                <w:rFonts w:eastAsia="Times New Roman" w:cs="Arial"/>
                <w:sz w:val="20"/>
                <w:szCs w:val="24"/>
                <w:lang w:eastAsia="cs-CZ"/>
              </w:rPr>
              <w:t xml:space="preserve">, specifikace jednotlivých kroků k dosažení zvýšení jeho zaměstnatelnosti nebo přímo nástupu do zaměstnání. V rámci součinnosti </w:t>
            </w:r>
            <w:proofErr w:type="spellStart"/>
            <w:r w:rsidRPr="004E56CF">
              <w:rPr>
                <w:rFonts w:eastAsia="Times New Roman" w:cs="Arial"/>
                <w:sz w:val="20"/>
                <w:szCs w:val="24"/>
                <w:lang w:eastAsia="cs-CZ"/>
              </w:rPr>
              <w:t>KrP</w:t>
            </w:r>
            <w:proofErr w:type="spellEnd"/>
            <w:r w:rsidRPr="004E56CF">
              <w:rPr>
                <w:rFonts w:eastAsia="Times New Roman" w:cs="Arial"/>
                <w:sz w:val="20"/>
                <w:szCs w:val="24"/>
                <w:lang w:eastAsia="cs-CZ"/>
              </w:rPr>
              <w:t>/</w:t>
            </w:r>
            <w:proofErr w:type="spellStart"/>
            <w:r w:rsidRPr="004E56CF">
              <w:rPr>
                <w:rFonts w:eastAsia="Times New Roman" w:cs="Arial"/>
                <w:sz w:val="20"/>
                <w:szCs w:val="24"/>
                <w:lang w:eastAsia="cs-CZ"/>
              </w:rPr>
              <w:t>KoP</w:t>
            </w:r>
            <w:proofErr w:type="spellEnd"/>
            <w:r w:rsidRPr="004E56CF">
              <w:rPr>
                <w:rFonts w:eastAsia="Times New Roman" w:cs="Arial"/>
                <w:sz w:val="20"/>
                <w:szCs w:val="24"/>
                <w:lang w:eastAsia="cs-CZ"/>
              </w:rPr>
              <w:t xml:space="preserve"> je důležitá průběžná a komplexní výměna informací o </w:t>
            </w:r>
            <w:proofErr w:type="spellStart"/>
            <w:r w:rsidRPr="004E56CF">
              <w:rPr>
                <w:rFonts w:eastAsia="Times New Roman" w:cs="Arial"/>
                <w:sz w:val="20"/>
                <w:szCs w:val="24"/>
                <w:lang w:eastAsia="cs-CZ"/>
              </w:rPr>
              <w:t>UoZ</w:t>
            </w:r>
            <w:proofErr w:type="spellEnd"/>
            <w:r w:rsidRPr="004E56CF">
              <w:rPr>
                <w:rFonts w:eastAsia="Times New Roman" w:cs="Arial"/>
                <w:sz w:val="20"/>
                <w:szCs w:val="24"/>
                <w:lang w:eastAsia="cs-CZ"/>
              </w:rPr>
              <w:t xml:space="preserve">, efektivní a komplexní řešení situace </w:t>
            </w:r>
            <w:proofErr w:type="spellStart"/>
            <w:r w:rsidRPr="004E56CF">
              <w:rPr>
                <w:rFonts w:eastAsia="Times New Roman" w:cs="Arial"/>
                <w:sz w:val="20"/>
                <w:szCs w:val="24"/>
                <w:lang w:eastAsia="cs-CZ"/>
              </w:rPr>
              <w:t>UoZ</w:t>
            </w:r>
            <w:proofErr w:type="spellEnd"/>
            <w:r w:rsidRPr="004E56CF">
              <w:rPr>
                <w:rFonts w:eastAsia="Times New Roman" w:cs="Arial"/>
                <w:sz w:val="20"/>
                <w:szCs w:val="24"/>
                <w:lang w:eastAsia="cs-CZ"/>
              </w:rPr>
              <w:t xml:space="preserve"> v souvislosti s poskytovanými službami ÚP ČR prostřednictvím individuální práce. </w:t>
            </w:r>
            <w:proofErr w:type="gramStart"/>
            <w:r w:rsidRPr="004E56CF">
              <w:rPr>
                <w:rFonts w:eastAsia="Times New Roman" w:cs="Arial"/>
                <w:sz w:val="20"/>
                <w:szCs w:val="24"/>
                <w:lang w:eastAsia="cs-CZ"/>
              </w:rPr>
              <w:t>odd</w:t>
            </w:r>
            <w:proofErr w:type="gramEnd"/>
            <w:r w:rsidRPr="004E56CF">
              <w:rPr>
                <w:rFonts w:eastAsia="Times New Roman" w:cs="Arial"/>
                <w:sz w:val="20"/>
                <w:szCs w:val="24"/>
                <w:lang w:eastAsia="cs-CZ"/>
              </w:rPr>
              <w:t xml:space="preserve">. NSD – HN shromáždí k vytipovaným </w:t>
            </w:r>
            <w:proofErr w:type="spellStart"/>
            <w:r w:rsidRPr="004E56CF">
              <w:rPr>
                <w:rFonts w:eastAsia="Times New Roman" w:cs="Arial"/>
                <w:sz w:val="20"/>
                <w:szCs w:val="24"/>
                <w:lang w:eastAsia="cs-CZ"/>
              </w:rPr>
              <w:t>UoZ</w:t>
            </w:r>
            <w:proofErr w:type="spellEnd"/>
            <w:r w:rsidRPr="004E56CF">
              <w:rPr>
                <w:rFonts w:eastAsia="Times New Roman" w:cs="Arial"/>
                <w:sz w:val="20"/>
                <w:szCs w:val="24"/>
                <w:lang w:eastAsia="cs-CZ"/>
              </w:rPr>
              <w:t xml:space="preserve"> informace vhodné pro práci s </w:t>
            </w:r>
            <w:proofErr w:type="spellStart"/>
            <w:r w:rsidRPr="004E56CF">
              <w:rPr>
                <w:rFonts w:eastAsia="Times New Roman" w:cs="Arial"/>
                <w:sz w:val="20"/>
                <w:szCs w:val="24"/>
                <w:lang w:eastAsia="cs-CZ"/>
              </w:rPr>
              <w:t>UoZ</w:t>
            </w:r>
            <w:proofErr w:type="spellEnd"/>
            <w:r w:rsidRPr="004E56CF">
              <w:rPr>
                <w:rFonts w:eastAsia="Times New Roman" w:cs="Arial"/>
                <w:sz w:val="20"/>
                <w:szCs w:val="24"/>
                <w:lang w:eastAsia="cs-CZ"/>
              </w:rPr>
              <w:t xml:space="preserve"> vedoucí ke zprostředkování zaměstnání. Identifikuje subjektivní důvody, bránící </w:t>
            </w:r>
            <w:proofErr w:type="spellStart"/>
            <w:r w:rsidRPr="004E56CF">
              <w:rPr>
                <w:rFonts w:eastAsia="Times New Roman" w:cs="Arial"/>
                <w:sz w:val="20"/>
                <w:szCs w:val="24"/>
                <w:lang w:eastAsia="cs-CZ"/>
              </w:rPr>
              <w:t>UoZ</w:t>
            </w:r>
            <w:proofErr w:type="spellEnd"/>
            <w:r w:rsidRPr="004E56CF">
              <w:rPr>
                <w:rFonts w:eastAsia="Times New Roman" w:cs="Arial"/>
                <w:sz w:val="20"/>
                <w:szCs w:val="24"/>
                <w:lang w:eastAsia="cs-CZ"/>
              </w:rPr>
              <w:t xml:space="preserve"> uplatnění na trhu práce. Např. o bydlení, exekuce (odd. NSD – HN ho seznámí s institutem tzv. nezabavitelného minima atd.), rodinné zázemí apod. Následně odd. </w:t>
            </w:r>
            <w:proofErr w:type="spellStart"/>
            <w:r w:rsidRPr="004E56CF">
              <w:rPr>
                <w:rFonts w:eastAsia="Times New Roman" w:cs="Arial"/>
                <w:sz w:val="20"/>
                <w:szCs w:val="24"/>
                <w:lang w:eastAsia="cs-CZ"/>
              </w:rPr>
              <w:t>ZaP</w:t>
            </w:r>
            <w:proofErr w:type="spellEnd"/>
            <w:r w:rsidRPr="004E56CF">
              <w:rPr>
                <w:rFonts w:eastAsia="Times New Roman" w:cs="Arial"/>
                <w:sz w:val="20"/>
                <w:szCs w:val="24"/>
                <w:lang w:eastAsia="cs-CZ"/>
              </w:rPr>
              <w:t xml:space="preserve"> shromáždí údaje o pracovních návycích, pracovní historii, zdravotní způsobilosti a další relevantní údaje. Při společném jednání obě odd. </w:t>
            </w:r>
            <w:proofErr w:type="gramStart"/>
            <w:r w:rsidRPr="004E56CF">
              <w:rPr>
                <w:rFonts w:eastAsia="Times New Roman" w:cs="Arial"/>
                <w:sz w:val="20"/>
                <w:szCs w:val="24"/>
                <w:lang w:eastAsia="cs-CZ"/>
              </w:rPr>
              <w:t>zhodnotí</w:t>
            </w:r>
            <w:proofErr w:type="gramEnd"/>
            <w:r w:rsidRPr="004E56CF">
              <w:rPr>
                <w:rFonts w:eastAsia="Times New Roman" w:cs="Arial"/>
                <w:sz w:val="20"/>
                <w:szCs w:val="24"/>
                <w:lang w:eastAsia="cs-CZ"/>
              </w:rPr>
              <w:t xml:space="preserve"> možnosti řešení situace </w:t>
            </w:r>
            <w:proofErr w:type="spellStart"/>
            <w:r w:rsidRPr="004E56CF">
              <w:rPr>
                <w:rFonts w:eastAsia="Times New Roman" w:cs="Arial"/>
                <w:sz w:val="20"/>
                <w:szCs w:val="24"/>
                <w:lang w:eastAsia="cs-CZ"/>
              </w:rPr>
              <w:t>UoZ</w:t>
            </w:r>
            <w:proofErr w:type="spellEnd"/>
            <w:r w:rsidRPr="004E56CF">
              <w:rPr>
                <w:rFonts w:eastAsia="Times New Roman" w:cs="Arial"/>
                <w:sz w:val="20"/>
                <w:szCs w:val="24"/>
                <w:lang w:eastAsia="cs-CZ"/>
              </w:rPr>
              <w:t xml:space="preserve">. Vznikne-li potřeba provedení rozšířeného kontaktu s </w:t>
            </w:r>
            <w:proofErr w:type="spellStart"/>
            <w:r w:rsidRPr="004E56CF">
              <w:rPr>
                <w:rFonts w:eastAsia="Times New Roman" w:cs="Arial"/>
                <w:sz w:val="20"/>
                <w:szCs w:val="24"/>
                <w:lang w:eastAsia="cs-CZ"/>
              </w:rPr>
              <w:t>UoZ</w:t>
            </w:r>
            <w:proofErr w:type="spellEnd"/>
            <w:r w:rsidRPr="004E56CF">
              <w:rPr>
                <w:rFonts w:eastAsia="Times New Roman" w:cs="Arial"/>
                <w:sz w:val="20"/>
                <w:szCs w:val="24"/>
                <w:lang w:eastAsia="cs-CZ"/>
              </w:rPr>
              <w:t xml:space="preserve">, realizuje se za účasti zástupců odd. </w:t>
            </w:r>
            <w:proofErr w:type="spellStart"/>
            <w:r w:rsidRPr="004E56CF">
              <w:rPr>
                <w:rFonts w:eastAsia="Times New Roman" w:cs="Arial"/>
                <w:sz w:val="20"/>
                <w:szCs w:val="24"/>
                <w:lang w:eastAsia="cs-CZ"/>
              </w:rPr>
              <w:t>ZaP</w:t>
            </w:r>
            <w:proofErr w:type="spellEnd"/>
            <w:r w:rsidRPr="004E56CF">
              <w:rPr>
                <w:rFonts w:eastAsia="Times New Roman" w:cs="Arial"/>
                <w:sz w:val="20"/>
                <w:szCs w:val="24"/>
                <w:lang w:eastAsia="cs-CZ"/>
              </w:rPr>
              <w:t xml:space="preserve"> a odd. NSD – HN. Je projednán další postup práce s </w:t>
            </w:r>
            <w:proofErr w:type="spellStart"/>
            <w:r w:rsidRPr="004E56CF">
              <w:rPr>
                <w:rFonts w:eastAsia="Times New Roman" w:cs="Arial"/>
                <w:sz w:val="20"/>
                <w:szCs w:val="24"/>
                <w:lang w:eastAsia="cs-CZ"/>
              </w:rPr>
              <w:t>UoZ</w:t>
            </w:r>
            <w:proofErr w:type="spellEnd"/>
            <w:r w:rsidRPr="004E56CF">
              <w:rPr>
                <w:rFonts w:eastAsia="Times New Roman" w:cs="Arial"/>
                <w:sz w:val="20"/>
                <w:szCs w:val="24"/>
                <w:lang w:eastAsia="cs-CZ"/>
              </w:rPr>
              <w:t xml:space="preserve"> – zapojení do poradenských aktivit, zařazení do rekvalifikačního kurzu, upřesnění pracovních pozic, na které bude doporučován, případně vydání konkrétního doporučení na vybranou pracovní pozici. </w:t>
            </w:r>
            <w:proofErr w:type="spellStart"/>
            <w:r w:rsidRPr="004E56CF">
              <w:rPr>
                <w:rFonts w:eastAsia="Times New Roman" w:cs="Arial"/>
                <w:sz w:val="20"/>
                <w:szCs w:val="24"/>
                <w:lang w:eastAsia="cs-CZ"/>
              </w:rPr>
              <w:t>UoZ</w:t>
            </w:r>
            <w:proofErr w:type="spellEnd"/>
            <w:r w:rsidRPr="004E56CF">
              <w:rPr>
                <w:rFonts w:eastAsia="Times New Roman" w:cs="Arial"/>
                <w:sz w:val="20"/>
                <w:szCs w:val="24"/>
                <w:lang w:eastAsia="cs-CZ"/>
              </w:rPr>
              <w:t xml:space="preserve"> je instruován jednotlivými kroky, které je nutné následně realizovat (např. pomoc při sepsání životopisu) a současně s následky nesplnění povinností (např. odmítnutí vhodného zaměstnání). Poté odd. </w:t>
            </w:r>
            <w:proofErr w:type="spellStart"/>
            <w:r w:rsidRPr="004E56CF">
              <w:rPr>
                <w:rFonts w:eastAsia="Times New Roman" w:cs="Arial"/>
                <w:sz w:val="20"/>
                <w:szCs w:val="24"/>
                <w:lang w:eastAsia="cs-CZ"/>
              </w:rPr>
              <w:t>ZaP</w:t>
            </w:r>
            <w:proofErr w:type="spellEnd"/>
            <w:r w:rsidRPr="004E56CF">
              <w:rPr>
                <w:rFonts w:eastAsia="Times New Roman" w:cs="Arial"/>
                <w:sz w:val="20"/>
                <w:szCs w:val="24"/>
                <w:lang w:eastAsia="cs-CZ"/>
              </w:rPr>
              <w:t xml:space="preserve"> zhodnotí úspěšnost </w:t>
            </w:r>
            <w:proofErr w:type="spellStart"/>
            <w:r w:rsidRPr="004E56CF">
              <w:rPr>
                <w:rFonts w:eastAsia="Times New Roman" w:cs="Arial"/>
                <w:sz w:val="20"/>
                <w:szCs w:val="24"/>
                <w:lang w:eastAsia="cs-CZ"/>
              </w:rPr>
              <w:t>UoZ</w:t>
            </w:r>
            <w:proofErr w:type="spellEnd"/>
            <w:r w:rsidRPr="004E56CF">
              <w:rPr>
                <w:rFonts w:eastAsia="Times New Roman" w:cs="Arial"/>
                <w:sz w:val="20"/>
                <w:szCs w:val="24"/>
                <w:lang w:eastAsia="cs-CZ"/>
              </w:rPr>
              <w:t xml:space="preserve"> na trhu práce, výsledek projednaných doporučenek sdělí odd. NSD – HN. Jedná se o sehrávání údajů mezi informačními systémy, ve kterých je zaznamenáno např. ukončení evidence, sankční vyřazení atd., zařazení do projektů organizovaných ÚP ČR a dalších aktivit jako jsou JOB kluby, skupinová, motivační, individuální a jiná poradenství atd. Na základě sdělených informací projednají obě oddělení další možná opatření např. účast v rekvalifikačních kurzech, poradenských aktivitách atd. Mezi odd. </w:t>
            </w:r>
            <w:proofErr w:type="spellStart"/>
            <w:r w:rsidRPr="004E56CF">
              <w:rPr>
                <w:rFonts w:eastAsia="Times New Roman" w:cs="Arial"/>
                <w:sz w:val="20"/>
                <w:szCs w:val="24"/>
                <w:lang w:eastAsia="cs-CZ"/>
              </w:rPr>
              <w:t>ZaP</w:t>
            </w:r>
            <w:proofErr w:type="spellEnd"/>
            <w:r w:rsidRPr="004E56CF">
              <w:rPr>
                <w:rFonts w:eastAsia="Times New Roman" w:cs="Arial"/>
                <w:sz w:val="20"/>
                <w:szCs w:val="24"/>
                <w:lang w:eastAsia="cs-CZ"/>
              </w:rPr>
              <w:t xml:space="preserve"> a odd. NSD – HN je zachována zpětná vazba ve vztahu k průběhu a výsledku úspěšnosti aktivit </w:t>
            </w:r>
            <w:proofErr w:type="spellStart"/>
            <w:r w:rsidRPr="004E56CF">
              <w:rPr>
                <w:rFonts w:eastAsia="Times New Roman" w:cs="Arial"/>
                <w:sz w:val="20"/>
                <w:szCs w:val="24"/>
                <w:lang w:eastAsia="cs-CZ"/>
              </w:rPr>
              <w:t>UoZ</w:t>
            </w:r>
            <w:proofErr w:type="spellEnd"/>
            <w:r w:rsidRPr="004E56CF">
              <w:rPr>
                <w:rFonts w:eastAsia="Times New Roman" w:cs="Arial"/>
                <w:sz w:val="20"/>
                <w:szCs w:val="24"/>
                <w:lang w:eastAsia="cs-CZ"/>
              </w:rPr>
              <w:t xml:space="preserve"> a eliminaci závislosti na dávkách pomoci v hmotné nouzi.</w:t>
            </w:r>
          </w:p>
        </w:tc>
      </w:tr>
      <w:tr w:rsidR="00606D2C" w:rsidRPr="002C70E1" w:rsidTr="00606D2C">
        <w:trPr>
          <w:trHeight w:val="6960"/>
        </w:trPr>
        <w:tc>
          <w:tcPr>
            <w:tcW w:w="718" w:type="dxa"/>
            <w:vMerge/>
            <w:tcBorders>
              <w:top w:val="nil"/>
              <w:left w:val="single" w:sz="4" w:space="0" w:color="auto"/>
              <w:bottom w:val="single" w:sz="4" w:space="0" w:color="auto"/>
              <w:right w:val="single" w:sz="4" w:space="0" w:color="auto"/>
            </w:tcBorders>
            <w:vAlign w:val="center"/>
            <w:hideMark/>
          </w:tcPr>
          <w:p w:rsidR="00606D2C" w:rsidRPr="002C70E1" w:rsidRDefault="00606D2C" w:rsidP="00606D2C">
            <w:pPr>
              <w:jc w:val="left"/>
              <w:rPr>
                <w:rFonts w:eastAsia="Times New Roman" w:cs="Arial"/>
                <w:b/>
                <w:bCs/>
                <w:color w:val="000000"/>
                <w:sz w:val="20"/>
                <w:szCs w:val="24"/>
                <w:lang w:eastAsia="cs-CZ"/>
              </w:rPr>
            </w:pPr>
          </w:p>
        </w:tc>
        <w:tc>
          <w:tcPr>
            <w:tcW w:w="581" w:type="dxa"/>
            <w:tcBorders>
              <w:top w:val="single" w:sz="8" w:space="0" w:color="auto"/>
              <w:left w:val="single" w:sz="4" w:space="0" w:color="auto"/>
              <w:bottom w:val="single" w:sz="8" w:space="0" w:color="auto"/>
              <w:right w:val="single" w:sz="8" w:space="0" w:color="auto"/>
            </w:tcBorders>
            <w:shd w:val="clear" w:color="auto" w:fill="auto"/>
            <w:textDirection w:val="btLr"/>
            <w:vAlign w:val="center"/>
            <w:hideMark/>
          </w:tcPr>
          <w:p w:rsidR="00606D2C" w:rsidRPr="002C70E1" w:rsidRDefault="00606D2C" w:rsidP="00606D2C">
            <w:pPr>
              <w:jc w:val="center"/>
              <w:rPr>
                <w:rFonts w:eastAsia="Times New Roman" w:cs="Arial"/>
                <w:color w:val="000000"/>
                <w:sz w:val="20"/>
                <w:szCs w:val="24"/>
                <w:lang w:eastAsia="cs-CZ"/>
              </w:rPr>
            </w:pPr>
            <w:r w:rsidRPr="002C70E1">
              <w:rPr>
                <w:rFonts w:eastAsia="Times New Roman" w:cs="Arial"/>
                <w:color w:val="000000"/>
                <w:sz w:val="20"/>
                <w:szCs w:val="24"/>
                <w:lang w:eastAsia="cs-CZ"/>
              </w:rPr>
              <w:t>sledované</w:t>
            </w:r>
          </w:p>
        </w:tc>
        <w:tc>
          <w:tcPr>
            <w:tcW w:w="12798" w:type="dxa"/>
            <w:gridSpan w:val="8"/>
            <w:tcBorders>
              <w:top w:val="single" w:sz="4" w:space="0" w:color="auto"/>
              <w:left w:val="single" w:sz="8" w:space="0" w:color="auto"/>
              <w:bottom w:val="single" w:sz="8" w:space="0" w:color="auto"/>
              <w:right w:val="single" w:sz="8" w:space="0" w:color="000000"/>
            </w:tcBorders>
            <w:shd w:val="clear" w:color="auto" w:fill="auto"/>
            <w:hideMark/>
          </w:tcPr>
          <w:p w:rsidR="00606D2C" w:rsidRDefault="00606D2C" w:rsidP="00606D2C">
            <w:pPr>
              <w:rPr>
                <w:rFonts w:eastAsia="Times New Roman" w:cs="Arial"/>
                <w:color w:val="000000"/>
                <w:sz w:val="20"/>
                <w:szCs w:val="24"/>
                <w:lang w:eastAsia="cs-CZ"/>
              </w:rPr>
            </w:pPr>
            <w:r w:rsidRPr="0075662D">
              <w:rPr>
                <w:rFonts w:eastAsia="Times New Roman" w:cs="Arial"/>
                <w:color w:val="000000"/>
                <w:sz w:val="20"/>
                <w:szCs w:val="24"/>
                <w:lang w:eastAsia="cs-CZ"/>
              </w:rPr>
              <w:t xml:space="preserve">Spolupráce odd. </w:t>
            </w:r>
            <w:proofErr w:type="gramStart"/>
            <w:r w:rsidRPr="0075662D">
              <w:rPr>
                <w:rFonts w:eastAsia="Times New Roman" w:cs="Arial"/>
                <w:color w:val="000000"/>
                <w:sz w:val="20"/>
                <w:szCs w:val="24"/>
                <w:lang w:eastAsia="cs-CZ"/>
              </w:rPr>
              <w:t>nepojistných</w:t>
            </w:r>
            <w:proofErr w:type="gramEnd"/>
            <w:r w:rsidRPr="0075662D">
              <w:rPr>
                <w:rFonts w:eastAsia="Times New Roman" w:cs="Arial"/>
                <w:color w:val="000000"/>
                <w:sz w:val="20"/>
                <w:szCs w:val="24"/>
                <w:lang w:eastAsia="cs-CZ"/>
              </w:rPr>
              <w:t xml:space="preserve"> sociálních dávek – hmotné nouze (odd. NSD – HN) a odd. </w:t>
            </w:r>
            <w:proofErr w:type="gramStart"/>
            <w:r w:rsidRPr="0075662D">
              <w:rPr>
                <w:rFonts w:eastAsia="Times New Roman" w:cs="Arial"/>
                <w:color w:val="000000"/>
                <w:sz w:val="20"/>
                <w:szCs w:val="24"/>
                <w:lang w:eastAsia="cs-CZ"/>
              </w:rPr>
              <w:t>zprostředkování</w:t>
            </w:r>
            <w:proofErr w:type="gramEnd"/>
            <w:r w:rsidRPr="0075662D">
              <w:rPr>
                <w:rFonts w:eastAsia="Times New Roman" w:cs="Arial"/>
                <w:color w:val="000000"/>
                <w:sz w:val="20"/>
                <w:szCs w:val="24"/>
                <w:lang w:eastAsia="cs-CZ"/>
              </w:rPr>
              <w:t xml:space="preserve"> a </w:t>
            </w:r>
            <w:r w:rsidR="00820FB7">
              <w:rPr>
                <w:rFonts w:eastAsia="Times New Roman" w:cs="Arial"/>
                <w:color w:val="000000"/>
                <w:sz w:val="20"/>
                <w:szCs w:val="24"/>
                <w:lang w:eastAsia="cs-CZ"/>
              </w:rPr>
              <w:t xml:space="preserve">poradenství (odd. </w:t>
            </w:r>
            <w:proofErr w:type="spellStart"/>
            <w:r w:rsidR="00820FB7">
              <w:rPr>
                <w:rFonts w:eastAsia="Times New Roman" w:cs="Arial"/>
                <w:color w:val="000000"/>
                <w:sz w:val="20"/>
                <w:szCs w:val="24"/>
                <w:lang w:eastAsia="cs-CZ"/>
              </w:rPr>
              <w:t>ZaP</w:t>
            </w:r>
            <w:proofErr w:type="spellEnd"/>
            <w:r w:rsidR="00820FB7">
              <w:rPr>
                <w:rFonts w:eastAsia="Times New Roman" w:cs="Arial"/>
                <w:color w:val="000000"/>
                <w:sz w:val="20"/>
                <w:szCs w:val="24"/>
                <w:lang w:eastAsia="cs-CZ"/>
              </w:rPr>
              <w:t>) slouží k </w:t>
            </w:r>
            <w:r w:rsidRPr="0075662D">
              <w:rPr>
                <w:rFonts w:eastAsia="Times New Roman" w:cs="Arial"/>
                <w:color w:val="000000"/>
                <w:sz w:val="20"/>
                <w:szCs w:val="24"/>
                <w:lang w:eastAsia="cs-CZ"/>
              </w:rPr>
              <w:t xml:space="preserve">zjištění informací o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vedoucích k nastavení cílené zejména poradenské a zprostředkovatelské práce s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specifikace jednotlivých kroků k dosažení zvýšení jeho zaměstnatelnosti nebo přímo nástupu do zaměstnání. V rámci součinnosti</w:t>
            </w:r>
            <w:r w:rsidR="00820FB7">
              <w:rPr>
                <w:rFonts w:eastAsia="Times New Roman" w:cs="Arial"/>
                <w:color w:val="000000"/>
                <w:sz w:val="20"/>
                <w:szCs w:val="24"/>
                <w:lang w:eastAsia="cs-CZ"/>
              </w:rPr>
              <w:t xml:space="preserve"> </w:t>
            </w:r>
            <w:proofErr w:type="spellStart"/>
            <w:r w:rsidR="00820FB7">
              <w:rPr>
                <w:rFonts w:eastAsia="Times New Roman" w:cs="Arial"/>
                <w:color w:val="000000"/>
                <w:sz w:val="20"/>
                <w:szCs w:val="24"/>
                <w:lang w:eastAsia="cs-CZ"/>
              </w:rPr>
              <w:t>KrP</w:t>
            </w:r>
            <w:proofErr w:type="spellEnd"/>
            <w:r w:rsidR="00820FB7">
              <w:rPr>
                <w:rFonts w:eastAsia="Times New Roman" w:cs="Arial"/>
                <w:color w:val="000000"/>
                <w:sz w:val="20"/>
                <w:szCs w:val="24"/>
                <w:lang w:eastAsia="cs-CZ"/>
              </w:rPr>
              <w:t>/</w:t>
            </w:r>
            <w:proofErr w:type="spellStart"/>
            <w:r w:rsidR="00820FB7">
              <w:rPr>
                <w:rFonts w:eastAsia="Times New Roman" w:cs="Arial"/>
                <w:color w:val="000000"/>
                <w:sz w:val="20"/>
                <w:szCs w:val="24"/>
                <w:lang w:eastAsia="cs-CZ"/>
              </w:rPr>
              <w:t>KoP</w:t>
            </w:r>
            <w:proofErr w:type="spellEnd"/>
            <w:r w:rsidR="00820FB7">
              <w:rPr>
                <w:rFonts w:eastAsia="Times New Roman" w:cs="Arial"/>
                <w:color w:val="000000"/>
                <w:sz w:val="20"/>
                <w:szCs w:val="24"/>
                <w:lang w:eastAsia="cs-CZ"/>
              </w:rPr>
              <w:t xml:space="preserve"> je důležitá průběžná a </w:t>
            </w:r>
            <w:r w:rsidRPr="0075662D">
              <w:rPr>
                <w:rFonts w:eastAsia="Times New Roman" w:cs="Arial"/>
                <w:color w:val="000000"/>
                <w:sz w:val="20"/>
                <w:szCs w:val="24"/>
                <w:lang w:eastAsia="cs-CZ"/>
              </w:rPr>
              <w:t xml:space="preserve">komplexní výměna informací o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efektivní a komplexní řešení situace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v souvislosti s poskytovanými službami ÚP ČR prostřednictvím individuální práce. </w:t>
            </w:r>
            <w:proofErr w:type="gramStart"/>
            <w:r w:rsidRPr="0075662D">
              <w:rPr>
                <w:rFonts w:eastAsia="Times New Roman" w:cs="Arial"/>
                <w:color w:val="000000"/>
                <w:sz w:val="20"/>
                <w:szCs w:val="24"/>
                <w:lang w:eastAsia="cs-CZ"/>
              </w:rPr>
              <w:t>odd</w:t>
            </w:r>
            <w:proofErr w:type="gramEnd"/>
            <w:r w:rsidRPr="0075662D">
              <w:rPr>
                <w:rFonts w:eastAsia="Times New Roman" w:cs="Arial"/>
                <w:color w:val="000000"/>
                <w:sz w:val="20"/>
                <w:szCs w:val="24"/>
                <w:lang w:eastAsia="cs-CZ"/>
              </w:rPr>
              <w:t xml:space="preserve">. NSD – HN shromáždí k vytipovaným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informace vhodné pro práci s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vedoucí ke zprostředkování zaměstnání. Identifikuje subjektivní důvody, bránící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uplatnění na trhu práce. Např. o bydlení, exekuce (odd. NSD – HN ho seznámí s institutem tzv. nezabavitelného minima atd.), rodinné zázemí apod. Následně odd. </w:t>
            </w:r>
            <w:proofErr w:type="spellStart"/>
            <w:r w:rsidRPr="0075662D">
              <w:rPr>
                <w:rFonts w:eastAsia="Times New Roman" w:cs="Arial"/>
                <w:color w:val="000000"/>
                <w:sz w:val="20"/>
                <w:szCs w:val="24"/>
                <w:lang w:eastAsia="cs-CZ"/>
              </w:rPr>
              <w:t>ZaP</w:t>
            </w:r>
            <w:proofErr w:type="spellEnd"/>
            <w:r w:rsidRPr="0075662D">
              <w:rPr>
                <w:rFonts w:eastAsia="Times New Roman" w:cs="Arial"/>
                <w:color w:val="000000"/>
                <w:sz w:val="20"/>
                <w:szCs w:val="24"/>
                <w:lang w:eastAsia="cs-CZ"/>
              </w:rPr>
              <w:t xml:space="preserve"> shromáždí údaje o pracovních návycích, pracovní historii, zdravotní způsobilosti a další relevantní údaje. Při společném jednání obě odd. </w:t>
            </w:r>
            <w:proofErr w:type="gramStart"/>
            <w:r w:rsidRPr="0075662D">
              <w:rPr>
                <w:rFonts w:eastAsia="Times New Roman" w:cs="Arial"/>
                <w:color w:val="000000"/>
                <w:sz w:val="20"/>
                <w:szCs w:val="24"/>
                <w:lang w:eastAsia="cs-CZ"/>
              </w:rPr>
              <w:t>zhodnotí</w:t>
            </w:r>
            <w:proofErr w:type="gramEnd"/>
            <w:r w:rsidRPr="0075662D">
              <w:rPr>
                <w:rFonts w:eastAsia="Times New Roman" w:cs="Arial"/>
                <w:color w:val="000000"/>
                <w:sz w:val="20"/>
                <w:szCs w:val="24"/>
                <w:lang w:eastAsia="cs-CZ"/>
              </w:rPr>
              <w:t xml:space="preserve"> možnosti řešení situace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Vznikne-li potřeba provedení rozšířeného kontaktu s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realizuje se za účasti zástupců odd. </w:t>
            </w:r>
            <w:proofErr w:type="spellStart"/>
            <w:r w:rsidRPr="0075662D">
              <w:rPr>
                <w:rFonts w:eastAsia="Times New Roman" w:cs="Arial"/>
                <w:color w:val="000000"/>
                <w:sz w:val="20"/>
                <w:szCs w:val="24"/>
                <w:lang w:eastAsia="cs-CZ"/>
              </w:rPr>
              <w:t>ZaP</w:t>
            </w:r>
            <w:proofErr w:type="spellEnd"/>
            <w:r w:rsidRPr="0075662D">
              <w:rPr>
                <w:rFonts w:eastAsia="Times New Roman" w:cs="Arial"/>
                <w:color w:val="000000"/>
                <w:sz w:val="20"/>
                <w:szCs w:val="24"/>
                <w:lang w:eastAsia="cs-CZ"/>
              </w:rPr>
              <w:t xml:space="preserve"> a odd. NSD – HN. Je projednán další postup práce s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 zapojení do poradenských aktivit, zařazení do rekvalifikačního kurzu, upřesnění pracovních pozic, na které bude doporučován, případně vydání konkrétního doporučení na vybranou pracovní pozici.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je instruován jednotlivými kroky, které je nutné následně realizovat (např. pomoc při sepsání životopisu) a současně s následky nesplnění povinností (např. odmítnutí vhodného zaměstnání). Poté odd. </w:t>
            </w:r>
            <w:proofErr w:type="spellStart"/>
            <w:r w:rsidRPr="0075662D">
              <w:rPr>
                <w:rFonts w:eastAsia="Times New Roman" w:cs="Arial"/>
                <w:color w:val="000000"/>
                <w:sz w:val="20"/>
                <w:szCs w:val="24"/>
                <w:lang w:eastAsia="cs-CZ"/>
              </w:rPr>
              <w:t>ZaP</w:t>
            </w:r>
            <w:proofErr w:type="spellEnd"/>
            <w:r w:rsidRPr="0075662D">
              <w:rPr>
                <w:rFonts w:eastAsia="Times New Roman" w:cs="Arial"/>
                <w:color w:val="000000"/>
                <w:sz w:val="20"/>
                <w:szCs w:val="24"/>
                <w:lang w:eastAsia="cs-CZ"/>
              </w:rPr>
              <w:t xml:space="preserve"> zhodnotí úspěšnost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na trhu práce, výsledek projednaných doporučenek sdělí odd. NSD – HN. Jedná se o sehrávání údajů mezi informačními systémy, ve kterých je zaznamenáno např. ukončení evidence, sankční vyřazení atd., zařazení do projektů organizovaných ÚP ČR a dalších aktivit jako jsou JOB kluby, skupinová, motivační, individuální a jiná poradenství atd. Na základě sdělených informací projednají obě oddělení další možná opatření např. účast v rekvalifikačních kurzech, poradenských aktivitách atd. Mezi odd. </w:t>
            </w:r>
            <w:proofErr w:type="spellStart"/>
            <w:r w:rsidRPr="0075662D">
              <w:rPr>
                <w:rFonts w:eastAsia="Times New Roman" w:cs="Arial"/>
                <w:color w:val="000000"/>
                <w:sz w:val="20"/>
                <w:szCs w:val="24"/>
                <w:lang w:eastAsia="cs-CZ"/>
              </w:rPr>
              <w:t>ZaP</w:t>
            </w:r>
            <w:proofErr w:type="spellEnd"/>
            <w:r w:rsidRPr="0075662D">
              <w:rPr>
                <w:rFonts w:eastAsia="Times New Roman" w:cs="Arial"/>
                <w:color w:val="000000"/>
                <w:sz w:val="20"/>
                <w:szCs w:val="24"/>
                <w:lang w:eastAsia="cs-CZ"/>
              </w:rPr>
              <w:t xml:space="preserve"> a odd. NSD – HN je zachována zpětná vazba ve vztahu k průběhu a výsledku úspěšnosti aktivit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a eliminaci závislosti na dávkách pomoci v hmotné nouzi.</w:t>
            </w:r>
            <w:r>
              <w:rPr>
                <w:rFonts w:eastAsia="Times New Roman" w:cs="Arial"/>
                <w:color w:val="000000"/>
                <w:sz w:val="20"/>
                <w:szCs w:val="24"/>
                <w:lang w:eastAsia="cs-CZ"/>
              </w:rPr>
              <w:t xml:space="preserve"> </w:t>
            </w:r>
            <w:r w:rsidRPr="0075662D">
              <w:rPr>
                <w:rFonts w:eastAsia="Times New Roman" w:cs="Arial"/>
                <w:color w:val="000000"/>
                <w:sz w:val="20"/>
                <w:szCs w:val="24"/>
                <w:lang w:eastAsia="cs-CZ"/>
              </w:rPr>
              <w:t xml:space="preserve">Aktuálně dostupná data o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v hmotné nouzi jsou k datu 31. 12. 2017, jejich počet činil 67 </w:t>
            </w:r>
            <w:r>
              <w:rPr>
                <w:rFonts w:eastAsia="Times New Roman" w:cs="Arial"/>
                <w:color w:val="000000"/>
                <w:sz w:val="20"/>
                <w:szCs w:val="24"/>
                <w:lang w:eastAsia="cs-CZ"/>
              </w:rPr>
              <w:t>749</w:t>
            </w:r>
            <w:r w:rsidRPr="0075662D">
              <w:rPr>
                <w:rFonts w:eastAsia="Times New Roman" w:cs="Arial"/>
                <w:color w:val="000000"/>
                <w:sz w:val="20"/>
                <w:szCs w:val="24"/>
                <w:lang w:eastAsia="cs-CZ"/>
              </w:rPr>
              <w:t>, což činí 24,</w:t>
            </w:r>
            <w:r>
              <w:rPr>
                <w:rFonts w:eastAsia="Times New Roman" w:cs="Arial"/>
                <w:color w:val="000000"/>
                <w:sz w:val="20"/>
                <w:szCs w:val="24"/>
                <w:lang w:eastAsia="cs-CZ"/>
              </w:rPr>
              <w:t>14</w:t>
            </w:r>
            <w:r w:rsidRPr="0075662D">
              <w:rPr>
                <w:rFonts w:eastAsia="Times New Roman" w:cs="Arial"/>
                <w:color w:val="000000"/>
                <w:sz w:val="20"/>
                <w:szCs w:val="24"/>
                <w:lang w:eastAsia="cs-CZ"/>
              </w:rPr>
              <w:t xml:space="preserve"> % z celkového počtu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Ve srovnání s pol. 2017 se jedná </w:t>
            </w:r>
            <w:r>
              <w:rPr>
                <w:rFonts w:eastAsia="Times New Roman" w:cs="Arial"/>
                <w:color w:val="000000"/>
                <w:sz w:val="20"/>
                <w:szCs w:val="24"/>
                <w:lang w:eastAsia="cs-CZ"/>
              </w:rPr>
              <w:t xml:space="preserve">o snížení o 3,11%, respektive o zhruba </w:t>
            </w:r>
            <w:r w:rsidRPr="0075662D">
              <w:rPr>
                <w:rFonts w:eastAsia="Times New Roman" w:cs="Arial"/>
                <w:color w:val="000000"/>
                <w:sz w:val="20"/>
                <w:szCs w:val="24"/>
                <w:lang w:eastAsia="cs-CZ"/>
              </w:rPr>
              <w:t>13</w:t>
            </w:r>
            <w:r>
              <w:rPr>
                <w:rFonts w:eastAsia="Times New Roman" w:cs="Arial"/>
                <w:color w:val="000000"/>
                <w:sz w:val="20"/>
                <w:szCs w:val="24"/>
                <w:lang w:eastAsia="cs-CZ"/>
              </w:rPr>
              <w:t>,5</w:t>
            </w:r>
            <w:r w:rsidRPr="0075662D">
              <w:rPr>
                <w:rFonts w:eastAsia="Times New Roman" w:cs="Arial"/>
                <w:color w:val="000000"/>
                <w:sz w:val="20"/>
                <w:szCs w:val="24"/>
                <w:lang w:eastAsia="cs-CZ"/>
              </w:rPr>
              <w:t xml:space="preserve"> </w:t>
            </w:r>
            <w:r>
              <w:rPr>
                <w:rFonts w:eastAsia="Times New Roman" w:cs="Arial"/>
                <w:color w:val="000000"/>
                <w:sz w:val="20"/>
                <w:szCs w:val="24"/>
                <w:lang w:eastAsia="cs-CZ"/>
              </w:rPr>
              <w:t>tis.</w:t>
            </w:r>
            <w:r w:rsidRPr="0075662D">
              <w:rPr>
                <w:rFonts w:eastAsia="Times New Roman" w:cs="Arial"/>
                <w:color w:val="000000"/>
                <w:sz w:val="20"/>
                <w:szCs w:val="24"/>
                <w:lang w:eastAsia="cs-CZ"/>
              </w:rPr>
              <w:t xml:space="preserve">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v hmotné nouzi. Průběžně měsíčně je vyhodnocována efektivita spolupráce útvarů hmotné nouze a zprostředkování.</w:t>
            </w:r>
          </w:p>
          <w:p w:rsidR="00606D2C" w:rsidRPr="0075662D" w:rsidRDefault="00606D2C" w:rsidP="00606D2C">
            <w:pPr>
              <w:rPr>
                <w:rFonts w:eastAsia="Times New Roman" w:cs="Arial"/>
                <w:color w:val="000000"/>
                <w:sz w:val="20"/>
                <w:szCs w:val="24"/>
                <w:lang w:eastAsia="cs-CZ"/>
              </w:rPr>
            </w:pPr>
            <w:r w:rsidRPr="0075662D">
              <w:rPr>
                <w:rFonts w:eastAsia="Times New Roman" w:cs="Arial"/>
                <w:color w:val="000000"/>
                <w:sz w:val="20"/>
                <w:szCs w:val="24"/>
                <w:lang w:eastAsia="cs-CZ"/>
              </w:rPr>
              <w:t xml:space="preserve">Osoby evidované na ÚP ČR jako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jsou často osobami pobírající dávky pomoci v hmotné nouzi. Ve spolupráci s útvary zaměstnanosti bylo nezbytné se na tyto osoby více zaměřit a věnovat jim zvýšenou péči při zprostředkování zaměstnání. Pro efektivní spolupráci byly vydány vnitřní řídící akty</w:t>
            </w:r>
            <w:r>
              <w:rPr>
                <w:rFonts w:eastAsia="Times New Roman" w:cs="Arial"/>
                <w:color w:val="000000"/>
                <w:sz w:val="20"/>
                <w:szCs w:val="24"/>
                <w:lang w:eastAsia="cs-CZ"/>
              </w:rPr>
              <w:t xml:space="preserve">: </w:t>
            </w:r>
            <w:r w:rsidRPr="0075662D">
              <w:rPr>
                <w:rFonts w:eastAsia="Times New Roman" w:cs="Arial"/>
                <w:color w:val="000000"/>
                <w:sz w:val="20"/>
                <w:szCs w:val="24"/>
                <w:lang w:eastAsia="cs-CZ"/>
              </w:rPr>
              <w:t>Směrnice č. 2/2016 Pravidla spolupráce útvarů zaměstnanosti a útvarů NSD (hmotné nouze</w:t>
            </w:r>
            <w:r w:rsidR="00820FB7">
              <w:rPr>
                <w:rFonts w:eastAsia="Times New Roman" w:cs="Arial"/>
                <w:color w:val="000000"/>
                <w:sz w:val="20"/>
                <w:szCs w:val="24"/>
                <w:lang w:eastAsia="cs-CZ"/>
              </w:rPr>
              <w:t>) Úřadu práce České republiky a </w:t>
            </w:r>
            <w:r w:rsidRPr="0075662D">
              <w:rPr>
                <w:rFonts w:eastAsia="Times New Roman" w:cs="Arial"/>
                <w:color w:val="000000"/>
                <w:sz w:val="20"/>
                <w:szCs w:val="24"/>
                <w:lang w:eastAsia="cs-CZ"/>
              </w:rPr>
              <w:t xml:space="preserve">Sdělení č. 7/2017 Realizace rozšířených kontaktů s uchazeči o zaměstnání pobírajícími dávky pomoci v hmotné nouzi. Podstatou součinnosti je průběžná a komplexní výměna informací o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efektivní a komplexní řešení situace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v rámci poskytovaných služeb ÚP ČR prostřednictvím individuální práce s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nastavení přijatelného prostředí vedoucí k odstranění zejména psychických bariér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při jednání, zlepšení schopnosti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sdělit osobní informace a představy o řešení jeho současného stavu, získání důvěry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ohledně skutečného zájmu </w:t>
            </w:r>
            <w:proofErr w:type="spellStart"/>
            <w:r w:rsidRPr="0075662D">
              <w:rPr>
                <w:rFonts w:eastAsia="Times New Roman" w:cs="Arial"/>
                <w:color w:val="000000"/>
                <w:sz w:val="20"/>
                <w:szCs w:val="24"/>
                <w:lang w:eastAsia="cs-CZ"/>
              </w:rPr>
              <w:t>KoP</w:t>
            </w:r>
            <w:proofErr w:type="spellEnd"/>
            <w:r w:rsidRPr="0075662D">
              <w:rPr>
                <w:rFonts w:eastAsia="Times New Roman" w:cs="Arial"/>
                <w:color w:val="000000"/>
                <w:sz w:val="20"/>
                <w:szCs w:val="24"/>
                <w:lang w:eastAsia="cs-CZ"/>
              </w:rPr>
              <w:t xml:space="preserve"> řešit jeho situaci. Uvedené aktivity mají za cíl vést ke zvýšené uplatnitelnosti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na trhu práce, případně přímo k umístění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do zaměstnání.</w:t>
            </w:r>
          </w:p>
          <w:p w:rsidR="00606D2C" w:rsidRPr="002C70E1" w:rsidRDefault="00606D2C" w:rsidP="00606D2C">
            <w:pPr>
              <w:rPr>
                <w:rFonts w:eastAsia="Times New Roman" w:cs="Arial"/>
                <w:color w:val="000000"/>
                <w:sz w:val="20"/>
                <w:szCs w:val="24"/>
                <w:lang w:eastAsia="cs-CZ"/>
              </w:rPr>
            </w:pPr>
            <w:r w:rsidRPr="0075662D">
              <w:rPr>
                <w:rFonts w:eastAsia="Times New Roman" w:cs="Arial"/>
                <w:color w:val="000000"/>
                <w:sz w:val="20"/>
                <w:szCs w:val="24"/>
                <w:lang w:eastAsia="cs-CZ"/>
              </w:rPr>
              <w:t xml:space="preserve">Krajské pobočky ÚP ČR v pravidelných měsíčních intervalech vykazují oddělení zprostředkování počet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pobírající dávky pomoci v hmotné nouzi. Pro přehlednost jsou osoby členěny do jednotlivých kategorií – mladí do věku 25 let, muži ve věku od 25 do 49 let, ženy ve věku od 25 do 49 let bez péče o děti do věku 15 let a ostatní. V měsíci lednu 2018 bylo za účelem zvýšené péče při zprostředkování zaměstnání oddělením HN na oddělení ZAM předáno celkem 2 217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xml:space="preserve"> pobírající dávky pomoci v hmotné nouzi. Nejpočetnější skupinu, v počtu 828 </w:t>
            </w:r>
            <w:proofErr w:type="spellStart"/>
            <w:r w:rsidRPr="0075662D">
              <w:rPr>
                <w:rFonts w:eastAsia="Times New Roman" w:cs="Arial"/>
                <w:color w:val="000000"/>
                <w:sz w:val="20"/>
                <w:szCs w:val="24"/>
                <w:lang w:eastAsia="cs-CZ"/>
              </w:rPr>
              <w:t>UoZ</w:t>
            </w:r>
            <w:proofErr w:type="spellEnd"/>
            <w:r w:rsidRPr="0075662D">
              <w:rPr>
                <w:rFonts w:eastAsia="Times New Roman" w:cs="Arial"/>
                <w:color w:val="000000"/>
                <w:sz w:val="20"/>
                <w:szCs w:val="24"/>
                <w:lang w:eastAsia="cs-CZ"/>
              </w:rPr>
              <w:t>, tvořili muži ve věku 25 – 49 let</w:t>
            </w:r>
            <w:r>
              <w:rPr>
                <w:rFonts w:eastAsia="Times New Roman" w:cs="Arial"/>
                <w:color w:val="000000"/>
                <w:sz w:val="20"/>
                <w:szCs w:val="24"/>
                <w:lang w:eastAsia="cs-CZ"/>
              </w:rPr>
              <w:t>-</w:t>
            </w:r>
          </w:p>
        </w:tc>
      </w:tr>
    </w:tbl>
    <w:p w:rsidR="00606D2C" w:rsidRDefault="00606D2C" w:rsidP="00606D2C">
      <w:pPr>
        <w:rPr>
          <w:sz w:val="20"/>
        </w:rPr>
      </w:pPr>
    </w:p>
    <w:tbl>
      <w:tblPr>
        <w:tblW w:w="14097" w:type="dxa"/>
        <w:tblInd w:w="47" w:type="dxa"/>
        <w:tblCellMar>
          <w:left w:w="70" w:type="dxa"/>
          <w:right w:w="70" w:type="dxa"/>
        </w:tblCellMar>
        <w:tblLook w:val="04A0" w:firstRow="1" w:lastRow="0" w:firstColumn="1" w:lastColumn="0" w:noHBand="0" w:noVBand="1"/>
      </w:tblPr>
      <w:tblGrid>
        <w:gridCol w:w="590"/>
        <w:gridCol w:w="623"/>
        <w:gridCol w:w="125"/>
        <w:gridCol w:w="669"/>
        <w:gridCol w:w="1679"/>
        <w:gridCol w:w="1142"/>
        <w:gridCol w:w="1025"/>
        <w:gridCol w:w="3616"/>
        <w:gridCol w:w="1619"/>
        <w:gridCol w:w="3009"/>
      </w:tblGrid>
      <w:tr w:rsidR="00606D2C" w:rsidRPr="002C70E1" w:rsidTr="00820FB7">
        <w:trPr>
          <w:trHeight w:val="285"/>
        </w:trPr>
        <w:tc>
          <w:tcPr>
            <w:tcW w:w="590" w:type="dxa"/>
            <w:tcBorders>
              <w:top w:val="single" w:sz="8" w:space="0" w:color="auto"/>
              <w:left w:val="single" w:sz="8" w:space="0" w:color="auto"/>
              <w:bottom w:val="single" w:sz="4" w:space="0" w:color="auto"/>
              <w:right w:val="single" w:sz="12" w:space="0" w:color="auto"/>
            </w:tcBorders>
            <w:shd w:val="clear" w:color="000000" w:fill="FDE9D9"/>
            <w:noWrap/>
            <w:vAlign w:val="bottom"/>
            <w:hideMark/>
          </w:tcPr>
          <w:p w:rsidR="00606D2C" w:rsidRPr="002C70E1" w:rsidRDefault="00606D2C" w:rsidP="00972C41">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3.4</w:t>
            </w:r>
          </w:p>
        </w:tc>
        <w:tc>
          <w:tcPr>
            <w:tcW w:w="748" w:type="dxa"/>
            <w:gridSpan w:val="2"/>
            <w:tcBorders>
              <w:top w:val="single" w:sz="12" w:space="0" w:color="auto"/>
              <w:left w:val="single" w:sz="12" w:space="0" w:color="auto"/>
              <w:bottom w:val="single" w:sz="12" w:space="0" w:color="auto"/>
              <w:right w:val="nil"/>
            </w:tcBorders>
            <w:shd w:val="clear" w:color="auto" w:fill="auto"/>
            <w:noWrap/>
            <w:vAlign w:val="bottom"/>
            <w:hideMark/>
          </w:tcPr>
          <w:p w:rsidR="00606D2C" w:rsidRPr="002C70E1" w:rsidRDefault="00606D2C" w:rsidP="00972C41">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2348" w:type="dxa"/>
            <w:gridSpan w:val="2"/>
            <w:tcBorders>
              <w:top w:val="single" w:sz="12" w:space="0" w:color="auto"/>
              <w:left w:val="nil"/>
              <w:bottom w:val="single" w:sz="12" w:space="0" w:color="auto"/>
              <w:right w:val="nil"/>
            </w:tcBorders>
            <w:shd w:val="clear" w:color="auto" w:fill="auto"/>
            <w:noWrap/>
            <w:vAlign w:val="bottom"/>
            <w:hideMark/>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průběžně</w:t>
            </w:r>
          </w:p>
        </w:tc>
        <w:tc>
          <w:tcPr>
            <w:tcW w:w="1142" w:type="dxa"/>
            <w:tcBorders>
              <w:top w:val="single" w:sz="12" w:space="0" w:color="auto"/>
              <w:left w:val="single" w:sz="12" w:space="0" w:color="auto"/>
              <w:bottom w:val="single" w:sz="12" w:space="0" w:color="auto"/>
              <w:right w:val="nil"/>
            </w:tcBorders>
            <w:shd w:val="clear" w:color="auto" w:fill="auto"/>
            <w:noWrap/>
            <w:vAlign w:val="bottom"/>
            <w:hideMark/>
          </w:tcPr>
          <w:p w:rsidR="00606D2C" w:rsidRPr="002C70E1" w:rsidRDefault="00606D2C" w:rsidP="00972C41">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25" w:type="dxa"/>
            <w:tcBorders>
              <w:top w:val="single" w:sz="12" w:space="0" w:color="auto"/>
              <w:left w:val="nil"/>
              <w:bottom w:val="single" w:sz="12" w:space="0" w:color="auto"/>
              <w:right w:val="single" w:sz="12" w:space="0" w:color="auto"/>
            </w:tcBorders>
            <w:shd w:val="clear" w:color="auto" w:fill="auto"/>
            <w:noWrap/>
            <w:vAlign w:val="bottom"/>
            <w:hideMark/>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3616" w:type="dxa"/>
            <w:tcBorders>
              <w:top w:val="single" w:sz="8" w:space="0" w:color="auto"/>
              <w:left w:val="nil"/>
              <w:right w:val="single" w:sz="12" w:space="0" w:color="auto"/>
            </w:tcBorders>
            <w:shd w:val="clear" w:color="auto" w:fill="auto"/>
            <w:noWrap/>
            <w:vAlign w:val="bottom"/>
            <w:hideMark/>
          </w:tcPr>
          <w:p w:rsidR="00606D2C" w:rsidRPr="002C70E1" w:rsidRDefault="00606D2C" w:rsidP="00972C41">
            <w:pPr>
              <w:spacing w:before="0" w:after="0"/>
              <w:jc w:val="right"/>
              <w:rPr>
                <w:rFonts w:eastAsia="Times New Roman" w:cs="Arial"/>
                <w:color w:val="000000"/>
                <w:sz w:val="20"/>
                <w:szCs w:val="24"/>
                <w:lang w:eastAsia="cs-CZ"/>
              </w:rPr>
            </w:pPr>
            <w:r w:rsidRPr="002C70E1">
              <w:rPr>
                <w:rFonts w:eastAsia="Times New Roman" w:cs="Arial"/>
                <w:color w:val="000000"/>
                <w:sz w:val="20"/>
                <w:szCs w:val="24"/>
                <w:lang w:eastAsia="cs-CZ"/>
              </w:rPr>
              <w:t> </w:t>
            </w:r>
          </w:p>
        </w:tc>
        <w:tc>
          <w:tcPr>
            <w:tcW w:w="1619" w:type="dxa"/>
            <w:tcBorders>
              <w:top w:val="single" w:sz="12" w:space="0" w:color="auto"/>
              <w:left w:val="single" w:sz="12" w:space="0" w:color="auto"/>
              <w:bottom w:val="single" w:sz="12" w:space="0" w:color="auto"/>
            </w:tcBorders>
            <w:shd w:val="clear" w:color="auto" w:fill="auto"/>
            <w:noWrap/>
            <w:vAlign w:val="bottom"/>
          </w:tcPr>
          <w:p w:rsidR="00606D2C" w:rsidRPr="002C70E1" w:rsidRDefault="00606D2C" w:rsidP="00972C41">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09" w:type="dxa"/>
            <w:tcBorders>
              <w:top w:val="single" w:sz="12" w:space="0" w:color="auto"/>
              <w:bottom w:val="single" w:sz="12" w:space="0" w:color="auto"/>
              <w:right w:val="single" w:sz="12" w:space="0" w:color="auto"/>
            </w:tcBorders>
            <w:shd w:val="clear" w:color="auto" w:fill="auto"/>
            <w:noWrap/>
            <w:vAlign w:val="bottom"/>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N</w:t>
            </w:r>
          </w:p>
        </w:tc>
      </w:tr>
      <w:tr w:rsidR="00606D2C" w:rsidRPr="002C70E1" w:rsidTr="00820FB7">
        <w:trPr>
          <w:trHeight w:val="285"/>
        </w:trPr>
        <w:tc>
          <w:tcPr>
            <w:tcW w:w="590" w:type="dxa"/>
            <w:vMerge w:val="restart"/>
            <w:tcBorders>
              <w:top w:val="nil"/>
              <w:left w:val="single" w:sz="8" w:space="0" w:color="auto"/>
              <w:bottom w:val="single" w:sz="8" w:space="0" w:color="000000"/>
              <w:right w:val="single" w:sz="8" w:space="0" w:color="auto"/>
            </w:tcBorders>
            <w:shd w:val="clear" w:color="000000" w:fill="FDE9D9"/>
            <w:noWrap/>
            <w:textDirection w:val="btLr"/>
            <w:vAlign w:val="center"/>
            <w:hideMark/>
          </w:tcPr>
          <w:p w:rsidR="00606D2C" w:rsidRPr="002C70E1" w:rsidRDefault="00606D2C" w:rsidP="00972C41">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Potírání diskriminace na trhu práce a nelegálního zaměstnávání</w:t>
            </w:r>
          </w:p>
        </w:tc>
        <w:tc>
          <w:tcPr>
            <w:tcW w:w="3096" w:type="dxa"/>
            <w:gridSpan w:val="4"/>
            <w:tcBorders>
              <w:top w:val="single" w:sz="12" w:space="0" w:color="auto"/>
              <w:left w:val="nil"/>
            </w:tcBorders>
            <w:shd w:val="clear" w:color="auto" w:fill="auto"/>
            <w:noWrap/>
            <w:vAlign w:val="bottom"/>
          </w:tcPr>
          <w:p w:rsidR="00606D2C" w:rsidRPr="002C70E1" w:rsidRDefault="00606D2C" w:rsidP="00972C41">
            <w:pPr>
              <w:spacing w:before="0" w:after="0"/>
              <w:jc w:val="right"/>
              <w:rPr>
                <w:rFonts w:eastAsia="Times New Roman" w:cs="Arial"/>
                <w:b/>
                <w:bCs/>
                <w:color w:val="000000"/>
                <w:sz w:val="20"/>
                <w:szCs w:val="24"/>
                <w:lang w:eastAsia="cs-CZ"/>
              </w:rPr>
            </w:pPr>
          </w:p>
        </w:tc>
        <w:tc>
          <w:tcPr>
            <w:tcW w:w="1142" w:type="dxa"/>
            <w:tcBorders>
              <w:top w:val="single" w:sz="8" w:space="0" w:color="auto"/>
            </w:tcBorders>
            <w:shd w:val="clear" w:color="auto" w:fill="auto"/>
            <w:noWrap/>
            <w:vAlign w:val="bottom"/>
          </w:tcPr>
          <w:p w:rsidR="00606D2C" w:rsidRPr="002C70E1" w:rsidRDefault="00606D2C" w:rsidP="00972C41">
            <w:pPr>
              <w:spacing w:before="0" w:after="0"/>
              <w:jc w:val="center"/>
              <w:rPr>
                <w:rFonts w:eastAsia="Times New Roman" w:cs="Arial"/>
                <w:b/>
                <w:bCs/>
                <w:color w:val="000000"/>
                <w:sz w:val="20"/>
                <w:szCs w:val="24"/>
                <w:lang w:eastAsia="cs-CZ"/>
              </w:rPr>
            </w:pPr>
          </w:p>
        </w:tc>
        <w:tc>
          <w:tcPr>
            <w:tcW w:w="4641" w:type="dxa"/>
            <w:gridSpan w:val="2"/>
            <w:shd w:val="clear" w:color="auto" w:fill="auto"/>
            <w:noWrap/>
            <w:vAlign w:val="center"/>
            <w:hideMark/>
          </w:tcPr>
          <w:p w:rsidR="00606D2C" w:rsidRPr="002C70E1" w:rsidRDefault="00606D2C" w:rsidP="00972C41">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19" w:type="dxa"/>
            <w:tcBorders>
              <w:top w:val="single" w:sz="12" w:space="0" w:color="auto"/>
            </w:tcBorders>
            <w:shd w:val="clear" w:color="auto" w:fill="auto"/>
            <w:noWrap/>
            <w:vAlign w:val="center"/>
          </w:tcPr>
          <w:p w:rsidR="00606D2C" w:rsidRPr="002C70E1" w:rsidRDefault="00606D2C" w:rsidP="00972C41">
            <w:pPr>
              <w:spacing w:before="0" w:after="0"/>
              <w:jc w:val="center"/>
              <w:rPr>
                <w:rFonts w:eastAsia="Times New Roman" w:cs="Arial"/>
                <w:b/>
                <w:bCs/>
                <w:color w:val="000000"/>
                <w:sz w:val="20"/>
                <w:szCs w:val="24"/>
                <w:u w:val="single"/>
                <w:lang w:eastAsia="cs-CZ"/>
              </w:rPr>
            </w:pPr>
          </w:p>
        </w:tc>
        <w:tc>
          <w:tcPr>
            <w:tcW w:w="3009" w:type="dxa"/>
            <w:tcBorders>
              <w:top w:val="single" w:sz="12" w:space="0" w:color="auto"/>
              <w:right w:val="single" w:sz="8" w:space="0" w:color="auto"/>
            </w:tcBorders>
            <w:shd w:val="clear" w:color="auto" w:fill="auto"/>
            <w:noWrap/>
            <w:vAlign w:val="center"/>
          </w:tcPr>
          <w:p w:rsidR="00606D2C" w:rsidRPr="002C70E1" w:rsidRDefault="00606D2C" w:rsidP="00972C41">
            <w:pPr>
              <w:spacing w:before="0" w:after="0"/>
              <w:jc w:val="center"/>
              <w:rPr>
                <w:rFonts w:eastAsia="Times New Roman" w:cs="Arial"/>
                <w:b/>
                <w:bCs/>
                <w:color w:val="000000"/>
                <w:sz w:val="20"/>
                <w:szCs w:val="24"/>
                <w:u w:val="single"/>
                <w:lang w:eastAsia="cs-CZ"/>
              </w:rPr>
            </w:pPr>
          </w:p>
        </w:tc>
      </w:tr>
      <w:tr w:rsidR="00606D2C" w:rsidRPr="002C70E1" w:rsidTr="00820FB7">
        <w:trPr>
          <w:trHeight w:val="285"/>
        </w:trPr>
        <w:tc>
          <w:tcPr>
            <w:tcW w:w="590"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13507" w:type="dxa"/>
            <w:gridSpan w:val="9"/>
            <w:tcBorders>
              <w:left w:val="nil"/>
              <w:bottom w:val="double" w:sz="6" w:space="0" w:color="auto"/>
              <w:right w:val="single" w:sz="8" w:space="0" w:color="000000"/>
            </w:tcBorders>
            <w:shd w:val="clear" w:color="auto" w:fill="auto"/>
            <w:hideMark/>
          </w:tcPr>
          <w:p w:rsidR="00606D2C" w:rsidRPr="002C70E1" w:rsidRDefault="00606D2C" w:rsidP="00972C41">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Zintenzivnění činnosti SUIP v oblasti kontroly nelegální práce a potírání diskriminace na trhu práce</w:t>
            </w:r>
          </w:p>
        </w:tc>
      </w:tr>
      <w:tr w:rsidR="00606D2C" w:rsidRPr="002C70E1" w:rsidTr="00820FB7">
        <w:trPr>
          <w:trHeight w:val="285"/>
        </w:trPr>
        <w:tc>
          <w:tcPr>
            <w:tcW w:w="590" w:type="dxa"/>
            <w:vMerge/>
            <w:tcBorders>
              <w:top w:val="nil"/>
              <w:left w:val="single" w:sz="8" w:space="0" w:color="auto"/>
              <w:bottom w:val="single" w:sz="8" w:space="0" w:color="000000"/>
              <w:right w:val="double" w:sz="6"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748" w:type="dxa"/>
            <w:gridSpan w:val="2"/>
            <w:tcBorders>
              <w:top w:val="double" w:sz="6" w:space="0" w:color="auto"/>
              <w:left w:val="double" w:sz="6" w:space="0" w:color="auto"/>
              <w:bottom w:val="double" w:sz="6" w:space="0" w:color="auto"/>
              <w:right w:val="nil"/>
            </w:tcBorders>
            <w:shd w:val="clear" w:color="000000" w:fill="F2DCDB"/>
            <w:noWrap/>
            <w:vAlign w:val="bottom"/>
            <w:hideMark/>
          </w:tcPr>
          <w:p w:rsidR="00606D2C" w:rsidRPr="002C70E1" w:rsidRDefault="00606D2C" w:rsidP="00972C41">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490" w:type="dxa"/>
            <w:gridSpan w:val="3"/>
            <w:tcBorders>
              <w:top w:val="double" w:sz="6" w:space="0" w:color="auto"/>
              <w:left w:val="nil"/>
              <w:bottom w:val="double" w:sz="6" w:space="0" w:color="auto"/>
              <w:right w:val="double" w:sz="6" w:space="0" w:color="auto"/>
            </w:tcBorders>
            <w:shd w:val="clear" w:color="000000" w:fill="E6B8B7"/>
            <w:vAlign w:val="bottom"/>
            <w:hideMark/>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Řešeno</w:t>
            </w:r>
          </w:p>
        </w:tc>
        <w:tc>
          <w:tcPr>
            <w:tcW w:w="4641" w:type="dxa"/>
            <w:gridSpan w:val="2"/>
            <w:tcBorders>
              <w:top w:val="double" w:sz="6" w:space="0" w:color="auto"/>
              <w:left w:val="double" w:sz="6" w:space="0" w:color="auto"/>
            </w:tcBorders>
            <w:shd w:val="clear" w:color="auto" w:fill="auto"/>
            <w:vAlign w:val="center"/>
            <w:hideMark/>
          </w:tcPr>
          <w:p w:rsidR="00606D2C" w:rsidRPr="002C70E1" w:rsidRDefault="00606D2C" w:rsidP="00972C41">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19" w:type="dxa"/>
            <w:tcBorders>
              <w:top w:val="nil"/>
            </w:tcBorders>
            <w:shd w:val="clear" w:color="auto" w:fill="auto"/>
            <w:vAlign w:val="center"/>
          </w:tcPr>
          <w:p w:rsidR="00606D2C" w:rsidRPr="002C70E1" w:rsidRDefault="00606D2C" w:rsidP="00972C41">
            <w:pPr>
              <w:spacing w:before="0" w:after="0"/>
              <w:jc w:val="right"/>
              <w:rPr>
                <w:rFonts w:eastAsia="Times New Roman" w:cs="Arial"/>
                <w:color w:val="000000"/>
                <w:sz w:val="20"/>
                <w:szCs w:val="24"/>
                <w:lang w:eastAsia="cs-CZ"/>
              </w:rPr>
            </w:pPr>
          </w:p>
        </w:tc>
        <w:tc>
          <w:tcPr>
            <w:tcW w:w="3009" w:type="dxa"/>
            <w:tcBorders>
              <w:top w:val="nil"/>
              <w:right w:val="single" w:sz="8" w:space="0" w:color="auto"/>
            </w:tcBorders>
            <w:shd w:val="clear" w:color="auto" w:fill="auto"/>
            <w:vAlign w:val="center"/>
          </w:tcPr>
          <w:p w:rsidR="00606D2C" w:rsidRPr="002C70E1" w:rsidRDefault="00606D2C" w:rsidP="00972C41">
            <w:pPr>
              <w:spacing w:before="0" w:after="0"/>
              <w:jc w:val="center"/>
              <w:rPr>
                <w:rFonts w:eastAsia="Times New Roman" w:cs="Arial"/>
                <w:b/>
                <w:bCs/>
                <w:color w:val="000000"/>
                <w:sz w:val="20"/>
                <w:szCs w:val="24"/>
                <w:u w:val="single"/>
                <w:lang w:eastAsia="cs-CZ"/>
              </w:rPr>
            </w:pPr>
          </w:p>
        </w:tc>
      </w:tr>
      <w:tr w:rsidR="00606D2C" w:rsidRPr="002C70E1" w:rsidTr="00820FB7">
        <w:trPr>
          <w:trHeight w:val="4363"/>
        </w:trPr>
        <w:tc>
          <w:tcPr>
            <w:tcW w:w="590"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748" w:type="dxa"/>
            <w:gridSpan w:val="2"/>
            <w:tcBorders>
              <w:top w:val="nil"/>
              <w:left w:val="nil"/>
              <w:bottom w:val="nil"/>
              <w:right w:val="single" w:sz="4" w:space="0" w:color="auto"/>
            </w:tcBorders>
            <w:shd w:val="clear" w:color="auto" w:fill="auto"/>
            <w:textDirection w:val="btLr"/>
            <w:vAlign w:val="center"/>
            <w:hideMark/>
          </w:tcPr>
          <w:p w:rsidR="00606D2C" w:rsidRPr="002C70E1" w:rsidRDefault="00606D2C" w:rsidP="00972C41">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minulé</w:t>
            </w:r>
          </w:p>
        </w:tc>
        <w:tc>
          <w:tcPr>
            <w:tcW w:w="12759" w:type="dxa"/>
            <w:gridSpan w:val="7"/>
            <w:tcBorders>
              <w:top w:val="nil"/>
              <w:left w:val="nil"/>
              <w:bottom w:val="nil"/>
              <w:right w:val="single" w:sz="8" w:space="0" w:color="000000"/>
            </w:tcBorders>
            <w:shd w:val="clear" w:color="auto" w:fill="auto"/>
            <w:hideMark/>
          </w:tcPr>
          <w:p w:rsidR="00606D2C" w:rsidRPr="004E56CF" w:rsidRDefault="00606D2C" w:rsidP="00E15FBC">
            <w:pPr>
              <w:spacing w:before="0" w:after="0"/>
              <w:rPr>
                <w:rFonts w:eastAsia="Times New Roman" w:cs="Arial"/>
                <w:sz w:val="20"/>
                <w:szCs w:val="24"/>
                <w:lang w:eastAsia="cs-CZ"/>
              </w:rPr>
            </w:pPr>
            <w:r w:rsidRPr="004E56CF">
              <w:rPr>
                <w:rFonts w:eastAsia="Times New Roman" w:cs="Arial"/>
                <w:sz w:val="20"/>
                <w:szCs w:val="24"/>
                <w:lang w:eastAsia="cs-CZ"/>
              </w:rPr>
              <w:t xml:space="preserve">V roce 2016 bylo souhrnně ve všech oblastech kontrolní činnosti SÚIP  provedeno 26 620 kontrol. Z tohoto počtu bylo v oblasti dodržování ustanovení </w:t>
            </w:r>
            <w:proofErr w:type="spellStart"/>
            <w:r w:rsidRPr="004E56CF">
              <w:rPr>
                <w:rFonts w:eastAsia="Times New Roman" w:cs="Arial"/>
                <w:sz w:val="20"/>
                <w:szCs w:val="24"/>
                <w:lang w:eastAsia="cs-CZ"/>
              </w:rPr>
              <w:t>ZoZ</w:t>
            </w:r>
            <w:proofErr w:type="spellEnd"/>
            <w:r w:rsidRPr="004E56CF">
              <w:rPr>
                <w:rFonts w:eastAsia="Times New Roman" w:cs="Arial"/>
                <w:sz w:val="20"/>
                <w:szCs w:val="24"/>
                <w:lang w:eastAsia="cs-CZ"/>
              </w:rPr>
              <w:t xml:space="preserve"> provedeno celkem 9 632 kontrol (9 308 zaměřeno na nelegální zaměstnávání). Nelegální zaměstnávání bylo zjištěno u 845 kontrol. Z celkového počtu 2 290 zjištěných nelegálně zaměstnaných osob se v 760 případech jednalo </w:t>
            </w:r>
            <w:r w:rsidR="00820FB7">
              <w:rPr>
                <w:rFonts w:eastAsia="Times New Roman" w:cs="Arial"/>
                <w:sz w:val="20"/>
                <w:szCs w:val="24"/>
                <w:lang w:eastAsia="cs-CZ"/>
              </w:rPr>
              <w:t xml:space="preserve">o občany ČR, </w:t>
            </w:r>
            <w:proofErr w:type="gramStart"/>
            <w:r w:rsidR="00820FB7">
              <w:rPr>
                <w:rFonts w:eastAsia="Times New Roman" w:cs="Arial"/>
                <w:sz w:val="20"/>
                <w:szCs w:val="24"/>
                <w:lang w:eastAsia="cs-CZ"/>
              </w:rPr>
              <w:t>ve 193</w:t>
            </w:r>
            <w:proofErr w:type="gramEnd"/>
            <w:r w:rsidR="00820FB7">
              <w:rPr>
                <w:rFonts w:eastAsia="Times New Roman" w:cs="Arial"/>
                <w:sz w:val="20"/>
                <w:szCs w:val="24"/>
                <w:lang w:eastAsia="cs-CZ"/>
              </w:rPr>
              <w:t xml:space="preserve"> případech o </w:t>
            </w:r>
            <w:r w:rsidRPr="004E56CF">
              <w:rPr>
                <w:rFonts w:eastAsia="Times New Roman" w:cs="Arial"/>
                <w:sz w:val="20"/>
                <w:szCs w:val="24"/>
                <w:lang w:eastAsia="cs-CZ"/>
              </w:rPr>
              <w:t>občany EU a v 1 337 případech o občany třecích zemí. V případě výkonu nelegální práce občanů třetích zem</w:t>
            </w:r>
            <w:r w:rsidR="00820FB7">
              <w:rPr>
                <w:rFonts w:eastAsia="Times New Roman" w:cs="Arial"/>
                <w:sz w:val="20"/>
                <w:szCs w:val="24"/>
                <w:lang w:eastAsia="cs-CZ"/>
              </w:rPr>
              <w:t>í, se v 343 případech jednalo o </w:t>
            </w:r>
            <w:r w:rsidRPr="004E56CF">
              <w:rPr>
                <w:rFonts w:eastAsia="Times New Roman" w:cs="Arial"/>
                <w:sz w:val="20"/>
                <w:szCs w:val="24"/>
                <w:lang w:eastAsia="cs-CZ"/>
              </w:rPr>
              <w:t>výkon práce mimo pracovněprávní vztah, v 785 případech o výkon práce bez či v rozporu s vydaným povolením k zaměstnání, zaměstnaneckou či modrou kartou a v 209 případech o výkon práce bez povolení k pobytu (někteří i v kombinaci více těchto nedostatků). Oproti roku 2015 byl zaznamenán výrazný nárůst počtu nelegálně zaměstnaných cizinců ze třetích zemí. Nejčastěji se jednalo o státní příslušníky Ukrajiny (997 osob), Moldavska (143 osob), Vietnamu (73 osob), Srbska (37 osob), Albánie (12</w:t>
            </w:r>
            <w:r w:rsidR="00820FB7">
              <w:rPr>
                <w:rFonts w:eastAsia="Times New Roman" w:cs="Arial"/>
                <w:sz w:val="20"/>
                <w:szCs w:val="24"/>
                <w:lang w:eastAsia="cs-CZ"/>
              </w:rPr>
              <w:t xml:space="preserve"> osob), Uzbekistánu (10 osob) a </w:t>
            </w:r>
            <w:r w:rsidRPr="004E56CF">
              <w:rPr>
                <w:rFonts w:eastAsia="Times New Roman" w:cs="Arial"/>
                <w:sz w:val="20"/>
                <w:szCs w:val="24"/>
                <w:lang w:eastAsia="cs-CZ"/>
              </w:rPr>
              <w:t xml:space="preserve">Ruska (9 osob). V roce 2016 obdržel SÚIP celkem 7 351 podnětů ke kontrole. Z tohoto počtu směřovalo do dodržování </w:t>
            </w:r>
            <w:proofErr w:type="spellStart"/>
            <w:r w:rsidRPr="004E56CF">
              <w:rPr>
                <w:rFonts w:eastAsia="Times New Roman" w:cs="Arial"/>
                <w:sz w:val="20"/>
                <w:szCs w:val="24"/>
                <w:lang w:eastAsia="cs-CZ"/>
              </w:rPr>
              <w:t>ZoZ</w:t>
            </w:r>
            <w:proofErr w:type="spellEnd"/>
            <w:r w:rsidRPr="004E56CF">
              <w:rPr>
                <w:rFonts w:eastAsia="Times New Roman" w:cs="Arial"/>
                <w:sz w:val="20"/>
                <w:szCs w:val="24"/>
                <w:lang w:eastAsia="cs-CZ"/>
              </w:rPr>
              <w:t xml:space="preserve"> v roce 2016 celkem 2 254 podnětů, z nichž 1 925 podnětů poukazovalo porušování v oblasti nelegálního zaměstnávání. V úseku nelegálního zaměstnávání pak upozorňovalo 1 702 podnětů na výkon nelegální práce občanů ČR, v 306 případech na nelegální práci občanů EU mimo ČR a v 449 případech na výkon nelegální práce cizinců mimo EU. Přičemž jeden objekt může směřovat do více oblastí a je v každé z nich započítán. Na základě přijatých podnětů bylo provedeno celkem 5 664 kontrol, z nichž 1 460 kontrol směřovalo do oblasti nelegálního zaměstnávání. Za porušení právních předpisů v oblasti nelegálního zaměstnávání bylo uloženo v roce 2016 714 pokut a jejich celková výše dosáhla částky 73 152 500 Kč. V loňském roce obdržel Státní úřad inspekce práce 390 podnětů směřujících do oblasti uplatňování práva na zaměstnání a v zaměstnání. V roce 2016 bylo provedeno 683 kontrol zaměřených na diskriminaci při upla</w:t>
            </w:r>
            <w:r w:rsidR="00820FB7">
              <w:rPr>
                <w:rFonts w:eastAsia="Times New Roman" w:cs="Arial"/>
                <w:sz w:val="20"/>
                <w:szCs w:val="24"/>
                <w:lang w:eastAsia="cs-CZ"/>
              </w:rPr>
              <w:t>tňování práva na zaměstnání a v </w:t>
            </w:r>
            <w:r w:rsidRPr="004E56CF">
              <w:rPr>
                <w:rFonts w:eastAsia="Times New Roman" w:cs="Arial"/>
                <w:sz w:val="20"/>
                <w:szCs w:val="24"/>
                <w:lang w:eastAsia="cs-CZ"/>
              </w:rPr>
              <w:t>zaměstnání, z toho 431 přímo v rámci hlavního úkolu zaměřeného na diskriminaci a při dalších 252 kontrolách byla oblast diskriminace jednou z kontrolovaných oblastí. Při těchto kontrolách bylo zjištěno 152 nedostatků. Za zjištěné nedostatky bylo ulože</w:t>
            </w:r>
            <w:r w:rsidR="00972C41">
              <w:rPr>
                <w:rFonts w:eastAsia="Times New Roman" w:cs="Arial"/>
                <w:sz w:val="20"/>
                <w:szCs w:val="24"/>
                <w:lang w:eastAsia="cs-CZ"/>
              </w:rPr>
              <w:t>no 46 pokut v souhrnné výši 836 </w:t>
            </w:r>
            <w:r w:rsidRPr="004E56CF">
              <w:rPr>
                <w:rFonts w:eastAsia="Times New Roman" w:cs="Arial"/>
                <w:sz w:val="20"/>
                <w:szCs w:val="24"/>
                <w:lang w:eastAsia="cs-CZ"/>
              </w:rPr>
              <w:t>000 Kč.</w:t>
            </w:r>
          </w:p>
        </w:tc>
      </w:tr>
      <w:tr w:rsidR="00606D2C" w:rsidRPr="002C70E1" w:rsidTr="00820FB7">
        <w:trPr>
          <w:trHeight w:val="2670"/>
        </w:trPr>
        <w:tc>
          <w:tcPr>
            <w:tcW w:w="590"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606D2C">
            <w:pPr>
              <w:jc w:val="left"/>
              <w:rPr>
                <w:rFonts w:eastAsia="Times New Roman" w:cs="Arial"/>
                <w:b/>
                <w:bCs/>
                <w:color w:val="000000"/>
                <w:sz w:val="20"/>
                <w:szCs w:val="24"/>
                <w:lang w:eastAsia="cs-CZ"/>
              </w:rPr>
            </w:pPr>
          </w:p>
        </w:tc>
        <w:tc>
          <w:tcPr>
            <w:tcW w:w="748" w:type="dxa"/>
            <w:gridSpan w:val="2"/>
            <w:tcBorders>
              <w:top w:val="single" w:sz="4" w:space="0" w:color="auto"/>
              <w:left w:val="nil"/>
              <w:bottom w:val="single" w:sz="8" w:space="0" w:color="auto"/>
              <w:right w:val="single" w:sz="4" w:space="0" w:color="auto"/>
            </w:tcBorders>
            <w:shd w:val="clear" w:color="auto" w:fill="auto"/>
            <w:textDirection w:val="btLr"/>
            <w:vAlign w:val="center"/>
            <w:hideMark/>
          </w:tcPr>
          <w:p w:rsidR="00606D2C" w:rsidRPr="002C70E1" w:rsidRDefault="00606D2C" w:rsidP="00606D2C">
            <w:pPr>
              <w:jc w:val="center"/>
              <w:rPr>
                <w:rFonts w:eastAsia="Times New Roman" w:cs="Arial"/>
                <w:color w:val="000000"/>
                <w:sz w:val="20"/>
                <w:szCs w:val="24"/>
                <w:lang w:eastAsia="cs-CZ"/>
              </w:rPr>
            </w:pPr>
            <w:r w:rsidRPr="002C70E1">
              <w:rPr>
                <w:rFonts w:eastAsia="Times New Roman" w:cs="Arial"/>
                <w:color w:val="000000"/>
                <w:sz w:val="20"/>
                <w:szCs w:val="24"/>
                <w:lang w:eastAsia="cs-CZ"/>
              </w:rPr>
              <w:t xml:space="preserve">sled. </w:t>
            </w:r>
          </w:p>
        </w:tc>
        <w:tc>
          <w:tcPr>
            <w:tcW w:w="12759" w:type="dxa"/>
            <w:gridSpan w:val="7"/>
            <w:tcBorders>
              <w:top w:val="single" w:sz="4" w:space="0" w:color="auto"/>
              <w:left w:val="nil"/>
              <w:bottom w:val="single" w:sz="8" w:space="0" w:color="auto"/>
              <w:right w:val="single" w:sz="8" w:space="0" w:color="000000"/>
            </w:tcBorders>
            <w:shd w:val="clear" w:color="auto" w:fill="auto"/>
            <w:hideMark/>
          </w:tcPr>
          <w:p w:rsidR="00606D2C" w:rsidRPr="002C70E1" w:rsidRDefault="001B2FA0" w:rsidP="00E15FBC">
            <w:pPr>
              <w:spacing w:before="0" w:after="0"/>
              <w:rPr>
                <w:rFonts w:eastAsia="Times New Roman" w:cs="Arial"/>
                <w:color w:val="000000"/>
                <w:sz w:val="20"/>
                <w:szCs w:val="24"/>
                <w:lang w:eastAsia="cs-CZ"/>
              </w:rPr>
            </w:pPr>
            <w:r w:rsidRPr="001B2FA0">
              <w:rPr>
                <w:rFonts w:eastAsia="Times New Roman" w:cs="Arial"/>
                <w:color w:val="000000"/>
                <w:sz w:val="20"/>
                <w:szCs w:val="24"/>
                <w:lang w:eastAsia="cs-CZ"/>
              </w:rPr>
              <w:t xml:space="preserve">V roce </w:t>
            </w:r>
            <w:r>
              <w:rPr>
                <w:rFonts w:eastAsia="Times New Roman" w:cs="Arial"/>
                <w:color w:val="000000"/>
                <w:sz w:val="20"/>
                <w:szCs w:val="24"/>
                <w:lang w:eastAsia="cs-CZ"/>
              </w:rPr>
              <w:t xml:space="preserve">2017 </w:t>
            </w:r>
            <w:r w:rsidRPr="001B2FA0">
              <w:rPr>
                <w:rFonts w:eastAsia="Times New Roman" w:cs="Arial"/>
                <w:color w:val="000000"/>
                <w:sz w:val="20"/>
                <w:szCs w:val="24"/>
                <w:lang w:eastAsia="cs-CZ"/>
              </w:rPr>
              <w:t xml:space="preserve">provedly orgány inspekce práce u zaměstnavatelů celkem 24 945 kontrol. Z tohoto počtu se 6 158 kontrol se věnovalo dodržování pracovních vztahů a podmínek, na odhalování nelegálního zaměstnávání směřovalo 9 707 kontrol a na oblast zaměstnanosti bylo zaměřeno 457 kontrol. </w:t>
            </w:r>
            <w:r w:rsidR="00E15FBC" w:rsidRPr="00E15FBC">
              <w:rPr>
                <w:rFonts w:eastAsia="Times New Roman" w:cs="Arial"/>
                <w:color w:val="000000"/>
                <w:sz w:val="20"/>
                <w:szCs w:val="24"/>
                <w:lang w:eastAsia="cs-CZ"/>
              </w:rPr>
              <w:t>Celkem bylo u zaměstnavatelů při kontrolách zjištěno 35 777 nedostatků, přičemž 9 160 nedostatků bylo zjištěno při kontrolách v oblasti pracovních vztahů a podmínek. Při kontrolách dodržování pracovněprávních předpisů oblastní inspektoráty práce nejčastěji zjišťovaly u zaměstnavatelů porušování povinností při sjednávání a ukončování pracovního</w:t>
            </w:r>
            <w:r w:rsidR="00820FB7">
              <w:rPr>
                <w:rFonts w:eastAsia="Times New Roman" w:cs="Arial"/>
                <w:color w:val="000000"/>
                <w:sz w:val="20"/>
                <w:szCs w:val="24"/>
                <w:lang w:eastAsia="cs-CZ"/>
              </w:rPr>
              <w:t xml:space="preserve"> poměru, v oblasti odměňování a </w:t>
            </w:r>
            <w:r w:rsidR="00E15FBC" w:rsidRPr="00E15FBC">
              <w:rPr>
                <w:rFonts w:eastAsia="Times New Roman" w:cs="Arial"/>
                <w:color w:val="000000"/>
                <w:sz w:val="20"/>
                <w:szCs w:val="24"/>
                <w:lang w:eastAsia="cs-CZ"/>
              </w:rPr>
              <w:t>dodržování pracovní doby zaměstnanců a v oblasti agenturního zaměstnávání.</w:t>
            </w:r>
            <w:r w:rsidR="00E15FBC">
              <w:rPr>
                <w:rFonts w:eastAsia="Times New Roman" w:cs="Arial"/>
                <w:color w:val="000000"/>
                <w:sz w:val="20"/>
                <w:szCs w:val="24"/>
                <w:lang w:eastAsia="cs-CZ"/>
              </w:rPr>
              <w:t xml:space="preserve"> </w:t>
            </w:r>
            <w:r w:rsidR="00E15FBC" w:rsidRPr="00E15FBC">
              <w:rPr>
                <w:rFonts w:eastAsia="Times New Roman" w:cs="Arial"/>
                <w:color w:val="000000"/>
                <w:sz w:val="20"/>
                <w:szCs w:val="24"/>
                <w:lang w:eastAsia="cs-CZ"/>
              </w:rPr>
              <w:t>Při kontrolách zaměřených na nelegální zaměstnávání odhalily oblastní inspektoráty práce 2 918 nelegálně zaměstnaných osob. Jednalo se o 767 občanů České republiky, 1 917 cizinců a 234 občanů EU.</w:t>
            </w:r>
            <w:r w:rsidR="00E15FBC">
              <w:rPr>
                <w:rFonts w:eastAsia="Times New Roman" w:cs="Arial"/>
                <w:color w:val="000000"/>
                <w:sz w:val="20"/>
                <w:szCs w:val="24"/>
                <w:lang w:eastAsia="cs-CZ"/>
              </w:rPr>
              <w:t xml:space="preserve"> </w:t>
            </w:r>
            <w:r w:rsidR="00E15FBC" w:rsidRPr="00E15FBC">
              <w:rPr>
                <w:rFonts w:eastAsia="Times New Roman" w:cs="Arial"/>
                <w:color w:val="000000"/>
                <w:sz w:val="20"/>
                <w:szCs w:val="24"/>
                <w:lang w:eastAsia="cs-CZ"/>
              </w:rPr>
              <w:t>V roce 2017 přijaly orgány inspekce práce celkem 6 870 podnětů ke kontrole. Z tohoto počtu 4 286 podnětů upozorňovalo na možné porušování právních předpisů v oblasti pracovních vztahů a podmínek, v 2 027 případech upozorňoval</w:t>
            </w:r>
            <w:r w:rsidR="00820FB7">
              <w:rPr>
                <w:rFonts w:eastAsia="Times New Roman" w:cs="Arial"/>
                <w:color w:val="000000"/>
                <w:sz w:val="20"/>
                <w:szCs w:val="24"/>
                <w:lang w:eastAsia="cs-CZ"/>
              </w:rPr>
              <w:t>i podatelé na nelegální práci a </w:t>
            </w:r>
            <w:r w:rsidR="00E15FBC" w:rsidRPr="00E15FBC">
              <w:rPr>
                <w:rFonts w:eastAsia="Times New Roman" w:cs="Arial"/>
                <w:color w:val="000000"/>
                <w:sz w:val="20"/>
                <w:szCs w:val="24"/>
                <w:lang w:eastAsia="cs-CZ"/>
              </w:rPr>
              <w:t>možné porušení právních předpisů v oblasti zaměstnanosti a 876 podnětů ke kontrole směřovalo do oblasti bezpečnosti práce.</w:t>
            </w:r>
            <w:r w:rsidR="00E15FBC">
              <w:rPr>
                <w:rFonts w:eastAsia="Times New Roman" w:cs="Arial"/>
                <w:color w:val="000000"/>
                <w:sz w:val="20"/>
                <w:szCs w:val="24"/>
                <w:lang w:eastAsia="cs-CZ"/>
              </w:rPr>
              <w:t xml:space="preserve"> </w:t>
            </w:r>
            <w:r w:rsidR="00E15FBC" w:rsidRPr="00E15FBC">
              <w:rPr>
                <w:rFonts w:eastAsia="Times New Roman" w:cs="Arial"/>
                <w:color w:val="000000"/>
                <w:sz w:val="20"/>
                <w:szCs w:val="24"/>
                <w:lang w:eastAsia="cs-CZ"/>
              </w:rPr>
              <w:t>V roce 2017 oblastní inspektoráty práce uložily zaměstnavatelům za porušení právních předpisů spadajících do kontrolní působnosti Státního úřadu inspekce práce celkem 3 516 pokut v souhrnné výši 218 796 800 Kč.</w:t>
            </w:r>
          </w:p>
        </w:tc>
      </w:tr>
      <w:tr w:rsidR="00606D2C" w:rsidRPr="002C70E1" w:rsidTr="00820FB7">
        <w:trPr>
          <w:trHeight w:val="330"/>
        </w:trPr>
        <w:tc>
          <w:tcPr>
            <w:tcW w:w="590" w:type="dxa"/>
            <w:tcBorders>
              <w:top w:val="double" w:sz="6" w:space="0" w:color="auto"/>
              <w:left w:val="double" w:sz="6" w:space="0" w:color="auto"/>
              <w:bottom w:val="double" w:sz="6" w:space="0" w:color="auto"/>
              <w:right w:val="nil"/>
            </w:tcBorders>
            <w:shd w:val="clear" w:color="000000" w:fill="B1A0C7"/>
            <w:noWrap/>
            <w:vAlign w:val="center"/>
            <w:hideMark/>
          </w:tcPr>
          <w:p w:rsidR="00606D2C" w:rsidRPr="002C70E1" w:rsidRDefault="00606D2C" w:rsidP="00972C41">
            <w:pPr>
              <w:spacing w:before="0" w:after="0"/>
              <w:jc w:val="center"/>
              <w:rPr>
                <w:rFonts w:eastAsia="Times New Roman" w:cs="Arial"/>
                <w:b/>
                <w:bCs/>
                <w:color w:val="000000"/>
                <w:sz w:val="20"/>
                <w:szCs w:val="24"/>
                <w:lang w:eastAsia="cs-CZ"/>
              </w:rPr>
            </w:pPr>
          </w:p>
        </w:tc>
        <w:tc>
          <w:tcPr>
            <w:tcW w:w="13507" w:type="dxa"/>
            <w:gridSpan w:val="9"/>
            <w:tcBorders>
              <w:top w:val="double" w:sz="6" w:space="0" w:color="auto"/>
              <w:left w:val="nil"/>
              <w:bottom w:val="double" w:sz="6" w:space="0" w:color="auto"/>
              <w:right w:val="double" w:sz="6" w:space="0" w:color="000000"/>
            </w:tcBorders>
            <w:shd w:val="clear" w:color="000000" w:fill="B1A0C7"/>
            <w:vAlign w:val="center"/>
            <w:hideMark/>
          </w:tcPr>
          <w:p w:rsidR="00606D2C" w:rsidRPr="002C70E1" w:rsidRDefault="00606D2C" w:rsidP="00972C41">
            <w:pPr>
              <w:pStyle w:val="Nadpis2"/>
              <w:numPr>
                <w:ilvl w:val="0"/>
                <w:numId w:val="0"/>
              </w:numPr>
              <w:spacing w:before="0" w:after="0"/>
              <w:rPr>
                <w:rFonts w:eastAsia="Times New Roman"/>
                <w:lang w:eastAsia="cs-CZ"/>
              </w:rPr>
            </w:pPr>
            <w:bookmarkStart w:id="155" w:name="_Toc492628609"/>
            <w:bookmarkStart w:id="156" w:name="_Toc509474160"/>
            <w:r w:rsidRPr="002C70E1">
              <w:rPr>
                <w:rFonts w:eastAsia="Times New Roman"/>
                <w:lang w:eastAsia="cs-CZ"/>
              </w:rPr>
              <w:t xml:space="preserve">Sk. 4 Zvýšení kvalifikačního </w:t>
            </w:r>
            <w:r w:rsidRPr="00972C41">
              <w:t>souladu</w:t>
            </w:r>
            <w:r w:rsidRPr="002C70E1">
              <w:rPr>
                <w:rFonts w:eastAsia="Times New Roman"/>
                <w:lang w:eastAsia="cs-CZ"/>
              </w:rPr>
              <w:t xml:space="preserve"> na trhu práce</w:t>
            </w:r>
            <w:bookmarkEnd w:id="155"/>
            <w:bookmarkEnd w:id="156"/>
          </w:p>
        </w:tc>
      </w:tr>
      <w:tr w:rsidR="00606D2C" w:rsidRPr="002C70E1" w:rsidTr="00820FB7">
        <w:trPr>
          <w:trHeight w:val="285"/>
        </w:trPr>
        <w:tc>
          <w:tcPr>
            <w:tcW w:w="590" w:type="dxa"/>
            <w:tcBorders>
              <w:top w:val="single" w:sz="8" w:space="0" w:color="auto"/>
              <w:left w:val="single" w:sz="8" w:space="0" w:color="auto"/>
              <w:bottom w:val="single" w:sz="4" w:space="0" w:color="auto"/>
              <w:right w:val="single" w:sz="12" w:space="0" w:color="auto"/>
            </w:tcBorders>
            <w:shd w:val="clear" w:color="000000" w:fill="E4DFEC"/>
            <w:noWrap/>
            <w:vAlign w:val="bottom"/>
            <w:hideMark/>
          </w:tcPr>
          <w:p w:rsidR="00606D2C" w:rsidRPr="002C70E1" w:rsidRDefault="00606D2C" w:rsidP="00972C41">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4.1</w:t>
            </w:r>
          </w:p>
        </w:tc>
        <w:tc>
          <w:tcPr>
            <w:tcW w:w="1417" w:type="dxa"/>
            <w:gridSpan w:val="3"/>
            <w:tcBorders>
              <w:top w:val="single" w:sz="8" w:space="0" w:color="auto"/>
              <w:left w:val="single" w:sz="12" w:space="0" w:color="auto"/>
              <w:bottom w:val="single" w:sz="12" w:space="0" w:color="auto"/>
              <w:right w:val="nil"/>
            </w:tcBorders>
            <w:shd w:val="clear" w:color="auto" w:fill="auto"/>
            <w:noWrap/>
            <w:vAlign w:val="bottom"/>
            <w:hideMark/>
          </w:tcPr>
          <w:p w:rsidR="00606D2C" w:rsidRPr="002C70E1" w:rsidRDefault="00606D2C" w:rsidP="00972C41">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1679" w:type="dxa"/>
            <w:tcBorders>
              <w:top w:val="single" w:sz="8" w:space="0" w:color="auto"/>
              <w:left w:val="nil"/>
              <w:bottom w:val="single" w:sz="12" w:space="0" w:color="auto"/>
              <w:right w:val="nil"/>
            </w:tcBorders>
            <w:shd w:val="clear" w:color="auto" w:fill="auto"/>
            <w:noWrap/>
            <w:vAlign w:val="bottom"/>
            <w:hideMark/>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průběžně</w:t>
            </w:r>
          </w:p>
        </w:tc>
        <w:tc>
          <w:tcPr>
            <w:tcW w:w="1142" w:type="dxa"/>
            <w:tcBorders>
              <w:top w:val="single" w:sz="12" w:space="0" w:color="auto"/>
              <w:left w:val="single" w:sz="12" w:space="0" w:color="auto"/>
              <w:bottom w:val="single" w:sz="12" w:space="0" w:color="auto"/>
              <w:right w:val="nil"/>
            </w:tcBorders>
            <w:shd w:val="clear" w:color="auto" w:fill="auto"/>
            <w:noWrap/>
            <w:vAlign w:val="bottom"/>
            <w:hideMark/>
          </w:tcPr>
          <w:p w:rsidR="00606D2C" w:rsidRPr="002C70E1" w:rsidRDefault="00606D2C" w:rsidP="00972C41">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25" w:type="dxa"/>
            <w:tcBorders>
              <w:top w:val="single" w:sz="12" w:space="0" w:color="auto"/>
              <w:left w:val="nil"/>
              <w:bottom w:val="single" w:sz="12" w:space="0" w:color="auto"/>
              <w:right w:val="single" w:sz="12" w:space="0" w:color="auto"/>
            </w:tcBorders>
            <w:shd w:val="clear" w:color="auto" w:fill="auto"/>
            <w:noWrap/>
            <w:vAlign w:val="bottom"/>
            <w:hideMark/>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3616" w:type="dxa"/>
            <w:tcBorders>
              <w:top w:val="single" w:sz="8" w:space="0" w:color="auto"/>
              <w:left w:val="nil"/>
              <w:right w:val="single" w:sz="12" w:space="0" w:color="auto"/>
            </w:tcBorders>
            <w:shd w:val="clear" w:color="auto" w:fill="auto"/>
            <w:noWrap/>
            <w:vAlign w:val="bottom"/>
          </w:tcPr>
          <w:p w:rsidR="00606D2C" w:rsidRPr="002C70E1" w:rsidRDefault="00606D2C" w:rsidP="00972C41">
            <w:pPr>
              <w:spacing w:before="0" w:after="0"/>
              <w:jc w:val="right"/>
              <w:rPr>
                <w:rFonts w:eastAsia="Times New Roman" w:cs="Arial"/>
                <w:color w:val="000000"/>
                <w:sz w:val="20"/>
                <w:szCs w:val="24"/>
                <w:lang w:eastAsia="cs-CZ"/>
              </w:rPr>
            </w:pPr>
          </w:p>
        </w:tc>
        <w:tc>
          <w:tcPr>
            <w:tcW w:w="1619" w:type="dxa"/>
            <w:tcBorders>
              <w:top w:val="single" w:sz="8" w:space="0" w:color="auto"/>
              <w:left w:val="single" w:sz="12" w:space="0" w:color="auto"/>
              <w:bottom w:val="single" w:sz="12" w:space="0" w:color="auto"/>
            </w:tcBorders>
            <w:shd w:val="clear" w:color="auto" w:fill="auto"/>
            <w:noWrap/>
            <w:vAlign w:val="bottom"/>
          </w:tcPr>
          <w:p w:rsidR="00606D2C" w:rsidRPr="002C70E1" w:rsidRDefault="00606D2C" w:rsidP="00972C41">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09" w:type="dxa"/>
            <w:tcBorders>
              <w:top w:val="single" w:sz="8" w:space="0" w:color="auto"/>
              <w:bottom w:val="single" w:sz="12" w:space="0" w:color="auto"/>
              <w:right w:val="single" w:sz="12" w:space="0" w:color="auto"/>
            </w:tcBorders>
            <w:shd w:val="clear" w:color="auto" w:fill="auto"/>
            <w:noWrap/>
            <w:vAlign w:val="bottom"/>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N</w:t>
            </w:r>
          </w:p>
        </w:tc>
      </w:tr>
      <w:tr w:rsidR="00606D2C" w:rsidRPr="002C70E1" w:rsidTr="00820FB7">
        <w:trPr>
          <w:trHeight w:val="285"/>
        </w:trPr>
        <w:tc>
          <w:tcPr>
            <w:tcW w:w="590" w:type="dxa"/>
            <w:vMerge w:val="restart"/>
            <w:tcBorders>
              <w:top w:val="nil"/>
              <w:left w:val="single" w:sz="8" w:space="0" w:color="auto"/>
              <w:bottom w:val="single" w:sz="8" w:space="0" w:color="000000"/>
              <w:right w:val="single" w:sz="8" w:space="0" w:color="auto"/>
            </w:tcBorders>
            <w:shd w:val="clear" w:color="000000" w:fill="E4DFEC"/>
            <w:noWrap/>
            <w:textDirection w:val="btLr"/>
            <w:vAlign w:val="center"/>
            <w:hideMark/>
          </w:tcPr>
          <w:p w:rsidR="00606D2C" w:rsidRPr="002C70E1" w:rsidRDefault="00606D2C" w:rsidP="00972C41">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Kariérové poradenství</w:t>
            </w:r>
          </w:p>
        </w:tc>
        <w:tc>
          <w:tcPr>
            <w:tcW w:w="3096" w:type="dxa"/>
            <w:gridSpan w:val="4"/>
            <w:tcBorders>
              <w:top w:val="single" w:sz="8" w:space="0" w:color="auto"/>
              <w:left w:val="nil"/>
            </w:tcBorders>
            <w:shd w:val="clear" w:color="auto" w:fill="auto"/>
            <w:noWrap/>
            <w:vAlign w:val="bottom"/>
          </w:tcPr>
          <w:p w:rsidR="00606D2C" w:rsidRPr="002C70E1" w:rsidRDefault="00606D2C" w:rsidP="00972C41">
            <w:pPr>
              <w:spacing w:before="0" w:after="0"/>
              <w:jc w:val="right"/>
              <w:rPr>
                <w:rFonts w:eastAsia="Times New Roman" w:cs="Arial"/>
                <w:b/>
                <w:bCs/>
                <w:color w:val="000000"/>
                <w:sz w:val="20"/>
                <w:szCs w:val="24"/>
                <w:lang w:eastAsia="cs-CZ"/>
              </w:rPr>
            </w:pPr>
          </w:p>
        </w:tc>
        <w:tc>
          <w:tcPr>
            <w:tcW w:w="1142" w:type="dxa"/>
            <w:tcBorders>
              <w:top w:val="single" w:sz="8" w:space="0" w:color="auto"/>
            </w:tcBorders>
            <w:shd w:val="clear" w:color="auto" w:fill="auto"/>
            <w:noWrap/>
            <w:vAlign w:val="bottom"/>
          </w:tcPr>
          <w:p w:rsidR="00606D2C" w:rsidRPr="002C70E1" w:rsidRDefault="00606D2C" w:rsidP="00972C41">
            <w:pPr>
              <w:spacing w:before="0" w:after="0"/>
              <w:jc w:val="center"/>
              <w:rPr>
                <w:rFonts w:eastAsia="Times New Roman" w:cs="Arial"/>
                <w:b/>
                <w:bCs/>
                <w:color w:val="000000"/>
                <w:sz w:val="20"/>
                <w:szCs w:val="24"/>
                <w:lang w:eastAsia="cs-CZ"/>
              </w:rPr>
            </w:pPr>
          </w:p>
        </w:tc>
        <w:tc>
          <w:tcPr>
            <w:tcW w:w="4641" w:type="dxa"/>
            <w:gridSpan w:val="2"/>
            <w:shd w:val="clear" w:color="auto" w:fill="auto"/>
            <w:noWrap/>
            <w:vAlign w:val="center"/>
            <w:hideMark/>
          </w:tcPr>
          <w:p w:rsidR="00606D2C" w:rsidRPr="002C70E1" w:rsidRDefault="00606D2C" w:rsidP="00972C41">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19" w:type="dxa"/>
            <w:shd w:val="clear" w:color="auto" w:fill="auto"/>
            <w:noWrap/>
            <w:vAlign w:val="center"/>
          </w:tcPr>
          <w:p w:rsidR="00606D2C" w:rsidRPr="002C70E1" w:rsidRDefault="00606D2C" w:rsidP="00972C41">
            <w:pPr>
              <w:spacing w:before="0" w:after="0"/>
              <w:jc w:val="center"/>
              <w:rPr>
                <w:rFonts w:eastAsia="Times New Roman" w:cs="Arial"/>
                <w:b/>
                <w:bCs/>
                <w:color w:val="000000"/>
                <w:sz w:val="20"/>
                <w:szCs w:val="24"/>
                <w:u w:val="single"/>
                <w:lang w:eastAsia="cs-CZ"/>
              </w:rPr>
            </w:pPr>
          </w:p>
        </w:tc>
        <w:tc>
          <w:tcPr>
            <w:tcW w:w="3009" w:type="dxa"/>
            <w:tcBorders>
              <w:top w:val="single" w:sz="8" w:space="0" w:color="auto"/>
              <w:right w:val="single" w:sz="8" w:space="0" w:color="auto"/>
            </w:tcBorders>
            <w:shd w:val="clear" w:color="auto" w:fill="auto"/>
            <w:noWrap/>
            <w:vAlign w:val="center"/>
          </w:tcPr>
          <w:p w:rsidR="00606D2C" w:rsidRPr="002C70E1" w:rsidRDefault="00606D2C" w:rsidP="00972C41">
            <w:pPr>
              <w:spacing w:before="0" w:after="0"/>
              <w:jc w:val="center"/>
              <w:rPr>
                <w:rFonts w:eastAsia="Times New Roman" w:cs="Arial"/>
                <w:b/>
                <w:bCs/>
                <w:color w:val="000000"/>
                <w:sz w:val="20"/>
                <w:szCs w:val="24"/>
                <w:u w:val="single"/>
                <w:lang w:eastAsia="cs-CZ"/>
              </w:rPr>
            </w:pPr>
          </w:p>
        </w:tc>
      </w:tr>
      <w:tr w:rsidR="00606D2C" w:rsidRPr="002C70E1" w:rsidTr="00820FB7">
        <w:trPr>
          <w:trHeight w:val="546"/>
        </w:trPr>
        <w:tc>
          <w:tcPr>
            <w:tcW w:w="590"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13507" w:type="dxa"/>
            <w:gridSpan w:val="9"/>
            <w:tcBorders>
              <w:left w:val="nil"/>
              <w:bottom w:val="double" w:sz="6" w:space="0" w:color="auto"/>
              <w:right w:val="single" w:sz="8" w:space="0" w:color="000000"/>
            </w:tcBorders>
            <w:shd w:val="clear" w:color="auto" w:fill="auto"/>
            <w:hideMark/>
          </w:tcPr>
          <w:p w:rsidR="00606D2C" w:rsidRPr="002C70E1" w:rsidRDefault="00606D2C" w:rsidP="00972C41">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 xml:space="preserve">V rámci individualizované práce s klienty ÚP ČR budou posíleny </w:t>
            </w:r>
            <w:r>
              <w:rPr>
                <w:rFonts w:eastAsia="Times New Roman" w:cs="Arial"/>
                <w:color w:val="000000"/>
                <w:sz w:val="20"/>
                <w:szCs w:val="24"/>
                <w:lang w:eastAsia="cs-CZ"/>
              </w:rPr>
              <w:t>IPS</w:t>
            </w:r>
            <w:r w:rsidRPr="002C70E1">
              <w:rPr>
                <w:rFonts w:eastAsia="Times New Roman" w:cs="Arial"/>
                <w:color w:val="000000"/>
                <w:sz w:val="20"/>
                <w:szCs w:val="24"/>
                <w:lang w:eastAsia="cs-CZ"/>
              </w:rPr>
              <w:t xml:space="preserve"> s cílem zintenzivnit činnost ÚP ČR v ob</w:t>
            </w:r>
            <w:r w:rsidR="00820FB7">
              <w:rPr>
                <w:rFonts w:eastAsia="Times New Roman" w:cs="Arial"/>
                <w:color w:val="000000"/>
                <w:sz w:val="20"/>
                <w:szCs w:val="24"/>
                <w:lang w:eastAsia="cs-CZ"/>
              </w:rPr>
              <w:t>lasti kariérového poradenství a </w:t>
            </w:r>
            <w:r w:rsidRPr="002C70E1">
              <w:rPr>
                <w:rFonts w:eastAsia="Times New Roman" w:cs="Arial"/>
                <w:color w:val="000000"/>
                <w:sz w:val="20"/>
                <w:szCs w:val="24"/>
                <w:lang w:eastAsia="cs-CZ"/>
              </w:rPr>
              <w:t>poradenství k volbě povolání s cílem směřovat volnou (a potenciální) prac</w:t>
            </w:r>
            <w:r>
              <w:rPr>
                <w:rFonts w:eastAsia="Times New Roman" w:cs="Arial"/>
                <w:color w:val="000000"/>
                <w:sz w:val="20"/>
                <w:szCs w:val="24"/>
                <w:lang w:eastAsia="cs-CZ"/>
              </w:rPr>
              <w:t>ovní</w:t>
            </w:r>
            <w:r w:rsidRPr="002C70E1">
              <w:rPr>
                <w:rFonts w:eastAsia="Times New Roman" w:cs="Arial"/>
                <w:color w:val="000000"/>
                <w:sz w:val="20"/>
                <w:szCs w:val="24"/>
                <w:lang w:eastAsia="cs-CZ"/>
              </w:rPr>
              <w:t xml:space="preserve"> sílu do těch oblastí hospodářství, kde je nedostatek </w:t>
            </w:r>
            <w:r>
              <w:rPr>
                <w:rFonts w:eastAsia="Times New Roman" w:cs="Arial"/>
                <w:color w:val="000000"/>
                <w:sz w:val="20"/>
                <w:szCs w:val="24"/>
                <w:lang w:eastAsia="cs-CZ"/>
              </w:rPr>
              <w:t>pracovníků</w:t>
            </w:r>
          </w:p>
        </w:tc>
      </w:tr>
      <w:tr w:rsidR="00606D2C" w:rsidRPr="002C70E1" w:rsidTr="00820FB7">
        <w:trPr>
          <w:trHeight w:val="285"/>
        </w:trPr>
        <w:tc>
          <w:tcPr>
            <w:tcW w:w="590" w:type="dxa"/>
            <w:vMerge/>
            <w:tcBorders>
              <w:top w:val="nil"/>
              <w:left w:val="single" w:sz="8" w:space="0" w:color="auto"/>
              <w:bottom w:val="single" w:sz="8" w:space="0" w:color="000000"/>
              <w:right w:val="double" w:sz="6"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748" w:type="dxa"/>
            <w:gridSpan w:val="2"/>
            <w:tcBorders>
              <w:top w:val="double" w:sz="6" w:space="0" w:color="auto"/>
              <w:left w:val="double" w:sz="6" w:space="0" w:color="auto"/>
              <w:bottom w:val="double" w:sz="6" w:space="0" w:color="auto"/>
              <w:right w:val="nil"/>
            </w:tcBorders>
            <w:shd w:val="clear" w:color="000000" w:fill="F2DCDB"/>
            <w:noWrap/>
            <w:vAlign w:val="bottom"/>
            <w:hideMark/>
          </w:tcPr>
          <w:p w:rsidR="00606D2C" w:rsidRPr="002C70E1" w:rsidRDefault="00606D2C" w:rsidP="00972C41">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490" w:type="dxa"/>
            <w:gridSpan w:val="3"/>
            <w:tcBorders>
              <w:top w:val="double" w:sz="6" w:space="0" w:color="auto"/>
              <w:left w:val="nil"/>
              <w:bottom w:val="double" w:sz="6" w:space="0" w:color="auto"/>
              <w:right w:val="double" w:sz="6" w:space="0" w:color="auto"/>
            </w:tcBorders>
            <w:shd w:val="clear" w:color="000000" w:fill="E6B8B7"/>
            <w:vAlign w:val="bottom"/>
            <w:hideMark/>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Řešeno</w:t>
            </w:r>
          </w:p>
        </w:tc>
        <w:tc>
          <w:tcPr>
            <w:tcW w:w="4641" w:type="dxa"/>
            <w:gridSpan w:val="2"/>
            <w:tcBorders>
              <w:top w:val="double" w:sz="6" w:space="0" w:color="auto"/>
              <w:left w:val="double" w:sz="6" w:space="0" w:color="auto"/>
              <w:bottom w:val="double" w:sz="6" w:space="0" w:color="auto"/>
            </w:tcBorders>
            <w:shd w:val="clear" w:color="auto" w:fill="auto"/>
            <w:vAlign w:val="center"/>
            <w:hideMark/>
          </w:tcPr>
          <w:p w:rsidR="00606D2C" w:rsidRPr="002C70E1" w:rsidRDefault="00606D2C" w:rsidP="00972C41">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19" w:type="dxa"/>
            <w:tcBorders>
              <w:top w:val="nil"/>
              <w:bottom w:val="double" w:sz="6" w:space="0" w:color="auto"/>
              <w:right w:val="nil"/>
            </w:tcBorders>
            <w:shd w:val="clear" w:color="auto" w:fill="auto"/>
            <w:vAlign w:val="center"/>
          </w:tcPr>
          <w:p w:rsidR="00606D2C" w:rsidRPr="002C70E1" w:rsidRDefault="00606D2C" w:rsidP="00972C41">
            <w:pPr>
              <w:spacing w:before="0" w:after="0"/>
              <w:jc w:val="right"/>
              <w:rPr>
                <w:rFonts w:eastAsia="Times New Roman" w:cs="Arial"/>
                <w:color w:val="000000"/>
                <w:sz w:val="20"/>
                <w:szCs w:val="24"/>
                <w:lang w:eastAsia="cs-CZ"/>
              </w:rPr>
            </w:pPr>
          </w:p>
        </w:tc>
        <w:tc>
          <w:tcPr>
            <w:tcW w:w="3009" w:type="dxa"/>
            <w:tcBorders>
              <w:top w:val="nil"/>
              <w:left w:val="nil"/>
              <w:bottom w:val="double" w:sz="6" w:space="0" w:color="auto"/>
              <w:right w:val="single" w:sz="8" w:space="0" w:color="auto"/>
            </w:tcBorders>
            <w:shd w:val="clear" w:color="auto" w:fill="auto"/>
            <w:vAlign w:val="center"/>
          </w:tcPr>
          <w:p w:rsidR="00606D2C" w:rsidRPr="002C70E1" w:rsidRDefault="00606D2C" w:rsidP="00972C41">
            <w:pPr>
              <w:spacing w:before="0" w:after="0"/>
              <w:jc w:val="center"/>
              <w:rPr>
                <w:rFonts w:eastAsia="Times New Roman" w:cs="Arial"/>
                <w:b/>
                <w:bCs/>
                <w:color w:val="000000"/>
                <w:sz w:val="20"/>
                <w:szCs w:val="24"/>
                <w:u w:val="single"/>
                <w:lang w:eastAsia="cs-CZ"/>
              </w:rPr>
            </w:pPr>
          </w:p>
        </w:tc>
      </w:tr>
      <w:tr w:rsidR="00606D2C" w:rsidRPr="002C70E1" w:rsidTr="00820FB7">
        <w:trPr>
          <w:trHeight w:val="3028"/>
        </w:trPr>
        <w:tc>
          <w:tcPr>
            <w:tcW w:w="590"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748" w:type="dxa"/>
            <w:gridSpan w:val="2"/>
            <w:tcBorders>
              <w:top w:val="nil"/>
              <w:left w:val="nil"/>
              <w:bottom w:val="nil"/>
              <w:right w:val="single" w:sz="4" w:space="0" w:color="auto"/>
            </w:tcBorders>
            <w:shd w:val="clear" w:color="auto" w:fill="auto"/>
            <w:textDirection w:val="btLr"/>
            <w:vAlign w:val="center"/>
            <w:hideMark/>
          </w:tcPr>
          <w:p w:rsidR="00606D2C" w:rsidRPr="002C70E1" w:rsidRDefault="00606D2C" w:rsidP="00972C41">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minulé</w:t>
            </w:r>
          </w:p>
        </w:tc>
        <w:tc>
          <w:tcPr>
            <w:tcW w:w="12759" w:type="dxa"/>
            <w:gridSpan w:val="7"/>
            <w:tcBorders>
              <w:top w:val="double" w:sz="6" w:space="0" w:color="auto"/>
              <w:left w:val="nil"/>
              <w:bottom w:val="single" w:sz="4" w:space="0" w:color="auto"/>
              <w:right w:val="single" w:sz="4" w:space="0" w:color="auto"/>
            </w:tcBorders>
            <w:shd w:val="clear" w:color="auto" w:fill="auto"/>
            <w:hideMark/>
          </w:tcPr>
          <w:p w:rsidR="00606D2C" w:rsidRPr="004E56CF" w:rsidRDefault="00606D2C" w:rsidP="00972C41">
            <w:pPr>
              <w:spacing w:before="0" w:after="0"/>
              <w:rPr>
                <w:rFonts w:eastAsia="Times New Roman" w:cs="Arial"/>
                <w:sz w:val="20"/>
                <w:szCs w:val="24"/>
                <w:lang w:eastAsia="cs-CZ"/>
              </w:rPr>
            </w:pPr>
            <w:r w:rsidRPr="004E56CF">
              <w:rPr>
                <w:rFonts w:eastAsia="Times New Roman" w:cs="Arial"/>
                <w:sz w:val="20"/>
                <w:szCs w:val="24"/>
                <w:lang w:eastAsia="cs-CZ"/>
              </w:rPr>
              <w:t xml:space="preserve">Interní </w:t>
            </w:r>
            <w:r>
              <w:rPr>
                <w:rFonts w:eastAsia="Times New Roman" w:cs="Arial"/>
                <w:sz w:val="20"/>
                <w:szCs w:val="24"/>
                <w:lang w:eastAsia="cs-CZ"/>
              </w:rPr>
              <w:t>poradenství</w:t>
            </w:r>
            <w:r w:rsidRPr="004E56CF">
              <w:rPr>
                <w:rFonts w:eastAsia="Times New Roman" w:cs="Arial"/>
                <w:sz w:val="20"/>
                <w:szCs w:val="24"/>
                <w:lang w:eastAsia="cs-CZ"/>
              </w:rPr>
              <w:t xml:space="preserve"> zajišťované UP ČR se soustředil</w:t>
            </w:r>
            <w:r>
              <w:rPr>
                <w:rFonts w:eastAsia="Times New Roman" w:cs="Arial"/>
                <w:sz w:val="20"/>
                <w:szCs w:val="24"/>
                <w:lang w:eastAsia="cs-CZ"/>
              </w:rPr>
              <w:t>o</w:t>
            </w:r>
            <w:r w:rsidRPr="004E56CF">
              <w:rPr>
                <w:rFonts w:eastAsia="Times New Roman" w:cs="Arial"/>
                <w:sz w:val="20"/>
                <w:szCs w:val="24"/>
                <w:lang w:eastAsia="cs-CZ"/>
              </w:rPr>
              <w:t xml:space="preserve"> na skupinové i individuální poradenství. </w:t>
            </w:r>
            <w:r>
              <w:rPr>
                <w:rFonts w:eastAsia="Times New Roman" w:cs="Arial"/>
                <w:sz w:val="20"/>
                <w:szCs w:val="24"/>
                <w:lang w:eastAsia="cs-CZ"/>
              </w:rPr>
              <w:t>A</w:t>
            </w:r>
            <w:r w:rsidRPr="004E56CF">
              <w:rPr>
                <w:rFonts w:eastAsia="Times New Roman" w:cs="Arial"/>
                <w:sz w:val="20"/>
                <w:szCs w:val="24"/>
                <w:lang w:eastAsia="cs-CZ"/>
              </w:rPr>
              <w:t xml:space="preserve">ktivity zaměřené na volbu či změnu povolání byly </w:t>
            </w:r>
            <w:r>
              <w:rPr>
                <w:rFonts w:eastAsia="Times New Roman" w:cs="Arial"/>
                <w:sz w:val="20"/>
                <w:szCs w:val="24"/>
                <w:lang w:eastAsia="cs-CZ"/>
              </w:rPr>
              <w:t>poskytovány především IPS, a to</w:t>
            </w:r>
            <w:r w:rsidRPr="004E56CF">
              <w:rPr>
                <w:rFonts w:eastAsia="Times New Roman" w:cs="Arial"/>
                <w:sz w:val="20"/>
                <w:szCs w:val="24"/>
                <w:lang w:eastAsia="cs-CZ"/>
              </w:rPr>
              <w:t xml:space="preserve"> jak žákům a studentům (případně jejich rodičům), tak </w:t>
            </w:r>
            <w:proofErr w:type="spellStart"/>
            <w:r w:rsidRPr="004E56CF">
              <w:rPr>
                <w:rFonts w:eastAsia="Times New Roman" w:cs="Arial"/>
                <w:sz w:val="20"/>
                <w:szCs w:val="24"/>
                <w:lang w:eastAsia="cs-CZ"/>
              </w:rPr>
              <w:t>UoZ</w:t>
            </w:r>
            <w:proofErr w:type="spellEnd"/>
            <w:r w:rsidRPr="004E56CF">
              <w:rPr>
                <w:rFonts w:eastAsia="Times New Roman" w:cs="Arial"/>
                <w:sz w:val="20"/>
                <w:szCs w:val="24"/>
                <w:lang w:eastAsia="cs-CZ"/>
              </w:rPr>
              <w:t>. V rámci poradenství pro volbu povolání bylo IPS zrealizováno 2 431 skupinových</w:t>
            </w:r>
            <w:r>
              <w:rPr>
                <w:rFonts w:eastAsia="Times New Roman" w:cs="Arial"/>
                <w:sz w:val="20"/>
                <w:szCs w:val="24"/>
                <w:lang w:eastAsia="cs-CZ"/>
              </w:rPr>
              <w:t xml:space="preserve"> akcí pro školy (51 945 žáků/</w:t>
            </w:r>
            <w:r w:rsidRPr="004E56CF">
              <w:rPr>
                <w:rFonts w:eastAsia="Times New Roman" w:cs="Arial"/>
                <w:sz w:val="20"/>
                <w:szCs w:val="24"/>
                <w:lang w:eastAsia="cs-CZ"/>
              </w:rPr>
              <w:t xml:space="preserve">studentů). IPS v 1. pol. 2017 uspořádala 2 113 akcí pro 16 764 </w:t>
            </w:r>
            <w:proofErr w:type="spellStart"/>
            <w:r w:rsidRPr="004E56CF">
              <w:rPr>
                <w:rFonts w:eastAsia="Times New Roman" w:cs="Arial"/>
                <w:sz w:val="20"/>
                <w:szCs w:val="24"/>
                <w:lang w:eastAsia="cs-CZ"/>
              </w:rPr>
              <w:t>UoZ</w:t>
            </w:r>
            <w:proofErr w:type="spellEnd"/>
            <w:r w:rsidRPr="004E56CF">
              <w:rPr>
                <w:rFonts w:eastAsia="Times New Roman" w:cs="Arial"/>
                <w:sz w:val="20"/>
                <w:szCs w:val="24"/>
                <w:lang w:eastAsia="cs-CZ"/>
              </w:rPr>
              <w:t xml:space="preserve">. Skupinových </w:t>
            </w:r>
            <w:proofErr w:type="spellStart"/>
            <w:r w:rsidRPr="004E56CF">
              <w:rPr>
                <w:rFonts w:eastAsia="Times New Roman" w:cs="Arial"/>
                <w:sz w:val="20"/>
                <w:szCs w:val="24"/>
                <w:lang w:eastAsia="cs-CZ"/>
              </w:rPr>
              <w:t>inf</w:t>
            </w:r>
            <w:proofErr w:type="spellEnd"/>
            <w:r>
              <w:rPr>
                <w:rFonts w:eastAsia="Times New Roman" w:cs="Arial"/>
                <w:sz w:val="20"/>
                <w:szCs w:val="24"/>
                <w:lang w:eastAsia="cs-CZ"/>
              </w:rPr>
              <w:t>.</w:t>
            </w:r>
            <w:r w:rsidRPr="004E56CF">
              <w:rPr>
                <w:rFonts w:eastAsia="Times New Roman" w:cs="Arial"/>
                <w:sz w:val="20"/>
                <w:szCs w:val="24"/>
                <w:lang w:eastAsia="cs-CZ"/>
              </w:rPr>
              <w:t xml:space="preserve"> schůzek </w:t>
            </w:r>
            <w:r>
              <w:rPr>
                <w:rFonts w:eastAsia="Times New Roman" w:cs="Arial"/>
                <w:sz w:val="20"/>
                <w:szCs w:val="24"/>
                <w:lang w:eastAsia="cs-CZ"/>
              </w:rPr>
              <w:t>(</w:t>
            </w:r>
            <w:r w:rsidRPr="004E56CF">
              <w:rPr>
                <w:rFonts w:eastAsia="Times New Roman" w:cs="Arial"/>
                <w:sz w:val="20"/>
                <w:szCs w:val="24"/>
                <w:lang w:eastAsia="cs-CZ"/>
              </w:rPr>
              <w:t>informování klientů o právech a povinnostech, o službách ÚP ČR, o rekvalifikacích a APZ, o sjednání IAP apod.</w:t>
            </w:r>
            <w:r>
              <w:rPr>
                <w:rFonts w:eastAsia="Times New Roman" w:cs="Arial"/>
                <w:sz w:val="20"/>
                <w:szCs w:val="24"/>
                <w:lang w:eastAsia="cs-CZ"/>
              </w:rPr>
              <w:t>)</w:t>
            </w:r>
            <w:r w:rsidRPr="004E56CF">
              <w:rPr>
                <w:rFonts w:eastAsia="Times New Roman" w:cs="Arial"/>
                <w:sz w:val="20"/>
                <w:szCs w:val="24"/>
                <w:lang w:eastAsia="cs-CZ"/>
              </w:rPr>
              <w:t xml:space="preserve"> bylo v 1. pol. 2017 uskutečněno</w:t>
            </w:r>
            <w:r>
              <w:rPr>
                <w:rFonts w:eastAsia="Times New Roman" w:cs="Arial"/>
                <w:sz w:val="20"/>
                <w:szCs w:val="24"/>
                <w:lang w:eastAsia="cs-CZ"/>
              </w:rPr>
              <w:t xml:space="preserve"> 2 </w:t>
            </w:r>
            <w:r w:rsidRPr="004E56CF">
              <w:rPr>
                <w:rFonts w:eastAsia="Times New Roman" w:cs="Arial"/>
                <w:sz w:val="20"/>
                <w:szCs w:val="24"/>
                <w:lang w:eastAsia="cs-CZ"/>
              </w:rPr>
              <w:t>913 pro 42 948 klientů. Individuální poradenství bylo poskytnuto 58 14</w:t>
            </w:r>
            <w:r w:rsidR="00820FB7">
              <w:rPr>
                <w:rFonts w:eastAsia="Times New Roman" w:cs="Arial"/>
                <w:sz w:val="20"/>
                <w:szCs w:val="24"/>
                <w:lang w:eastAsia="cs-CZ"/>
              </w:rPr>
              <w:t>9 klientům (k volbě povolání, k </w:t>
            </w:r>
            <w:r w:rsidRPr="004E56CF">
              <w:rPr>
                <w:rFonts w:eastAsia="Times New Roman" w:cs="Arial"/>
                <w:sz w:val="20"/>
                <w:szCs w:val="24"/>
                <w:lang w:eastAsia="cs-CZ"/>
              </w:rPr>
              <w:t xml:space="preserve">rekvalifikacím, speciální, psychologické, k pracovní rehabilitaci či užití diagnostických nástrojů). Bilanční diagnostika byla interně poskytnuta 24 klientům. V 1. pol. 2017 </w:t>
            </w:r>
            <w:r>
              <w:rPr>
                <w:rFonts w:eastAsia="Times New Roman" w:cs="Arial"/>
                <w:sz w:val="20"/>
                <w:szCs w:val="24"/>
                <w:lang w:eastAsia="cs-CZ"/>
              </w:rPr>
              <w:t>provedeno</w:t>
            </w:r>
            <w:r w:rsidRPr="004E56CF">
              <w:rPr>
                <w:rFonts w:eastAsia="Times New Roman" w:cs="Arial"/>
                <w:sz w:val="20"/>
                <w:szCs w:val="24"/>
                <w:lang w:eastAsia="cs-CZ"/>
              </w:rPr>
              <w:t xml:space="preserve"> interně 317 skupinových poradenských aktivit v rámci RIP pro 2 418 klientů. Individuální poradenství bylo poskytnuto v rámci RIP celkem 4 036 klientům. ÚP ČR rovněž realizoval další</w:t>
            </w:r>
            <w:r>
              <w:rPr>
                <w:rFonts w:eastAsia="Times New Roman" w:cs="Arial"/>
                <w:sz w:val="20"/>
                <w:szCs w:val="24"/>
                <w:lang w:eastAsia="cs-CZ"/>
              </w:rPr>
              <w:t>ch 240</w:t>
            </w:r>
            <w:r w:rsidRPr="004E56CF">
              <w:rPr>
                <w:rFonts w:eastAsia="Times New Roman" w:cs="Arial"/>
                <w:sz w:val="20"/>
                <w:szCs w:val="24"/>
                <w:lang w:eastAsia="cs-CZ"/>
              </w:rPr>
              <w:t xml:space="preserve"> akc</w:t>
            </w:r>
            <w:r>
              <w:rPr>
                <w:rFonts w:eastAsia="Times New Roman" w:cs="Arial"/>
                <w:sz w:val="20"/>
                <w:szCs w:val="24"/>
                <w:lang w:eastAsia="cs-CZ"/>
              </w:rPr>
              <w:t xml:space="preserve">í </w:t>
            </w:r>
            <w:r w:rsidRPr="004E56CF">
              <w:rPr>
                <w:rFonts w:eastAsia="Times New Roman" w:cs="Arial"/>
                <w:sz w:val="20"/>
                <w:szCs w:val="24"/>
                <w:lang w:eastAsia="cs-CZ"/>
              </w:rPr>
              <w:t>(např. prezentace IPS na veletrzích). Externí poradenství bylo zabezpečováno prostřednictvím odborných zařízení za účelem zjišťování osobnostních a kvalifikačních předpokladů pro volbu povolání, pro zprostředkování zaměstnání, pro volbu přípravy k práci OZP a při výběru nástrojů APZ. Skupinových poradenských aktivit zabezpečovaných externě se uskutečnilo 287 pro 2 326 klientů, individuální poradenství pro 406 klientů. Bilanční diagnostika byla zajišťována především externě, pro 459 klientů. Job Cluby jsou uceleným aktivizačním poradenským programem. Počet realizovaných programů byl celkem 170. Počet účastníků 1</w:t>
            </w:r>
            <w:r>
              <w:rPr>
                <w:rFonts w:eastAsia="Times New Roman" w:cs="Arial"/>
                <w:sz w:val="20"/>
                <w:szCs w:val="24"/>
                <w:lang w:eastAsia="cs-CZ"/>
              </w:rPr>
              <w:t xml:space="preserve"> </w:t>
            </w:r>
            <w:r w:rsidRPr="004E56CF">
              <w:rPr>
                <w:rFonts w:eastAsia="Times New Roman" w:cs="Arial"/>
                <w:sz w:val="20"/>
                <w:szCs w:val="24"/>
                <w:lang w:eastAsia="cs-CZ"/>
              </w:rPr>
              <w:t>479, z toho bylo 1</w:t>
            </w:r>
            <w:r>
              <w:rPr>
                <w:rFonts w:eastAsia="Times New Roman" w:cs="Arial"/>
                <w:sz w:val="20"/>
                <w:szCs w:val="24"/>
                <w:lang w:eastAsia="cs-CZ"/>
              </w:rPr>
              <w:t xml:space="preserve"> </w:t>
            </w:r>
            <w:r w:rsidRPr="004E56CF">
              <w:rPr>
                <w:rFonts w:eastAsia="Times New Roman" w:cs="Arial"/>
                <w:sz w:val="20"/>
                <w:szCs w:val="24"/>
                <w:lang w:eastAsia="cs-CZ"/>
              </w:rPr>
              <w:t>290 úspěšných absolventů.</w:t>
            </w:r>
          </w:p>
        </w:tc>
      </w:tr>
      <w:tr w:rsidR="00606D2C" w:rsidRPr="002C70E1" w:rsidTr="00820FB7">
        <w:trPr>
          <w:trHeight w:val="2258"/>
        </w:trPr>
        <w:tc>
          <w:tcPr>
            <w:tcW w:w="590" w:type="dxa"/>
            <w:vMerge/>
            <w:tcBorders>
              <w:top w:val="nil"/>
              <w:left w:val="single" w:sz="8" w:space="0" w:color="auto"/>
              <w:bottom w:val="single" w:sz="4" w:space="0" w:color="auto"/>
              <w:right w:val="single" w:sz="8"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748"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606D2C" w:rsidRPr="002C70E1" w:rsidRDefault="00606D2C" w:rsidP="00972C41">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 xml:space="preserve">sledované </w:t>
            </w:r>
          </w:p>
        </w:tc>
        <w:tc>
          <w:tcPr>
            <w:tcW w:w="12759" w:type="dxa"/>
            <w:gridSpan w:val="7"/>
            <w:tcBorders>
              <w:top w:val="single" w:sz="4" w:space="0" w:color="auto"/>
              <w:left w:val="nil"/>
              <w:bottom w:val="single" w:sz="4" w:space="0" w:color="auto"/>
              <w:right w:val="single" w:sz="8" w:space="0" w:color="000000"/>
            </w:tcBorders>
            <w:shd w:val="clear" w:color="auto" w:fill="auto"/>
            <w:hideMark/>
          </w:tcPr>
          <w:p w:rsidR="00606D2C" w:rsidRPr="002C70E1" w:rsidRDefault="00606D2C" w:rsidP="00972C41">
            <w:pPr>
              <w:spacing w:before="0" w:after="0"/>
              <w:rPr>
                <w:rFonts w:eastAsia="Times New Roman" w:cs="Arial"/>
                <w:color w:val="000000"/>
                <w:sz w:val="20"/>
                <w:szCs w:val="24"/>
                <w:lang w:eastAsia="cs-CZ"/>
              </w:rPr>
            </w:pPr>
            <w:r>
              <w:rPr>
                <w:rFonts w:eastAsia="Times New Roman" w:cs="Arial"/>
                <w:sz w:val="20"/>
                <w:szCs w:val="24"/>
                <w:lang w:eastAsia="cs-CZ"/>
              </w:rPr>
              <w:t xml:space="preserve">Interní poradenství zajišťované UP ČR se soustředilo na skupinové i individuální poradenství. Aktivity zaměřené na volbu či změnu povolání byly poskytovány především IPS, a to jak žákům a studentům (případně jejich rodičům), tak </w:t>
            </w:r>
            <w:proofErr w:type="spellStart"/>
            <w:r>
              <w:rPr>
                <w:rFonts w:eastAsia="Times New Roman" w:cs="Arial"/>
                <w:sz w:val="20"/>
                <w:szCs w:val="24"/>
                <w:lang w:eastAsia="cs-CZ"/>
              </w:rPr>
              <w:t>UoZ</w:t>
            </w:r>
            <w:proofErr w:type="spellEnd"/>
            <w:r>
              <w:rPr>
                <w:rFonts w:eastAsia="Times New Roman" w:cs="Arial"/>
                <w:sz w:val="20"/>
                <w:szCs w:val="24"/>
                <w:lang w:eastAsia="cs-CZ"/>
              </w:rPr>
              <w:t xml:space="preserve">. V rámci poradenství pro volbu povolání bylo IPS zrealizováno 4 534 skupinových akcí pro školy (97 251 žáků/studentů). IPS v roce 2017 uspořádala 3 917 akcí pro 31 641 </w:t>
            </w:r>
            <w:proofErr w:type="spellStart"/>
            <w:r>
              <w:rPr>
                <w:rFonts w:eastAsia="Times New Roman" w:cs="Arial"/>
                <w:sz w:val="20"/>
                <w:szCs w:val="24"/>
                <w:lang w:eastAsia="cs-CZ"/>
              </w:rPr>
              <w:t>UoZ</w:t>
            </w:r>
            <w:proofErr w:type="spellEnd"/>
            <w:r>
              <w:rPr>
                <w:rFonts w:eastAsia="Times New Roman" w:cs="Arial"/>
                <w:sz w:val="20"/>
                <w:szCs w:val="24"/>
                <w:lang w:eastAsia="cs-CZ"/>
              </w:rPr>
              <w:t xml:space="preserve">. Skupinových </w:t>
            </w:r>
            <w:proofErr w:type="spellStart"/>
            <w:r>
              <w:rPr>
                <w:rFonts w:eastAsia="Times New Roman" w:cs="Arial"/>
                <w:sz w:val="20"/>
                <w:szCs w:val="24"/>
                <w:lang w:eastAsia="cs-CZ"/>
              </w:rPr>
              <w:t>inf</w:t>
            </w:r>
            <w:proofErr w:type="spellEnd"/>
            <w:r>
              <w:rPr>
                <w:rFonts w:eastAsia="Times New Roman" w:cs="Arial"/>
                <w:sz w:val="20"/>
                <w:szCs w:val="24"/>
                <w:lang w:eastAsia="cs-CZ"/>
              </w:rPr>
              <w:t>. schůzek (informování klientů o právech a povinnostech, o službách ÚP ČR, o rekvalifikacích a APZ, o sjednání IAP apod.) bylo v roce 2017 uskutečněno 5 381 pro 80 526 klientů. Individuální poradenství bylo poskytnuto 113 541 klientům (poradenství k volbě povolání, k rekvalifikacím, speciální, psychologické, k pracovní rehabilitaci či užití diagnostických nástrojů). Bilanční diagnostika byla interně poskytnuta 43 klientům. V roce 2017 bylo realizováno interně 698 skupinových poradenských aktivit v rámci RIP pro 5 140 klientů. Individuální poradenství bylo poskytnuto v rámci RIP 8127 klientům. ÚP ČR realizoval dalších 664 akcí (např. prezentace IPS na veletrzích). Externí poradenství bylo zabezpečováno prostřednictvím odborných zařízení za účelem zjišťování osobnostních a kvalifikačních předpokladů pro volbu povolání, pro zprostředkování zaměstnání, pro volbu přípravy k práci OZP a při výběru nástrojů APZ. Skupinových poradenských aktivit zabezpečovaných externě se uskutečnilo 416 pro 3 549 klientů, individuální poradenství pro 544 klientů. Bilanční diagnostika byla zajišťována především externě, pro 875 klientů. Job Cluby jsou uceleným aktivizačním poradenským programem. Počet realizovaných programů byl 326. Počet účastníků 3 037, z toho bylo 2574 úspěšných absolventů. Velkým přínosem pro zabezpečení odpovídajících poradenských, motivačních a podpůrných služeb pro vstup a udržení se na trhu práce je realizovaný projekt „Podpora informačních a poradenských středisek Úřadu práce ČR“ Jeho hlavním cílem je zvýšit kapacitu, komplexnost a kvalitu služeb UP ČR prostřednictvím dosažení cílového stavu: 90 funkčních, vybavených IPS s dodatečným zázemím personálním, edukačním a prezentačním a diagnostickým.</w:t>
            </w:r>
          </w:p>
        </w:tc>
      </w:tr>
      <w:tr w:rsidR="00606D2C" w:rsidRPr="002C70E1" w:rsidTr="00820FB7">
        <w:trPr>
          <w:trHeight w:val="285"/>
        </w:trPr>
        <w:tc>
          <w:tcPr>
            <w:tcW w:w="590" w:type="dxa"/>
            <w:tcBorders>
              <w:top w:val="single" w:sz="8" w:space="0" w:color="auto"/>
              <w:left w:val="single" w:sz="8" w:space="0" w:color="auto"/>
              <w:bottom w:val="single" w:sz="4" w:space="0" w:color="auto"/>
              <w:right w:val="single" w:sz="12" w:space="0" w:color="auto"/>
            </w:tcBorders>
            <w:shd w:val="clear" w:color="000000" w:fill="E4DFEC"/>
            <w:noWrap/>
            <w:vAlign w:val="bottom"/>
            <w:hideMark/>
          </w:tcPr>
          <w:p w:rsidR="00606D2C" w:rsidRPr="002C70E1" w:rsidRDefault="00606D2C" w:rsidP="00972C41">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4.2</w:t>
            </w:r>
          </w:p>
        </w:tc>
        <w:tc>
          <w:tcPr>
            <w:tcW w:w="748" w:type="dxa"/>
            <w:gridSpan w:val="2"/>
            <w:tcBorders>
              <w:top w:val="single" w:sz="12" w:space="0" w:color="auto"/>
              <w:left w:val="single" w:sz="12" w:space="0" w:color="auto"/>
              <w:bottom w:val="single" w:sz="12" w:space="0" w:color="auto"/>
              <w:right w:val="nil"/>
            </w:tcBorders>
            <w:shd w:val="clear" w:color="auto" w:fill="auto"/>
            <w:noWrap/>
            <w:vAlign w:val="bottom"/>
            <w:hideMark/>
          </w:tcPr>
          <w:p w:rsidR="00606D2C" w:rsidRPr="002C70E1" w:rsidRDefault="00606D2C" w:rsidP="00972C41">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2348" w:type="dxa"/>
            <w:gridSpan w:val="2"/>
            <w:tcBorders>
              <w:top w:val="single" w:sz="12" w:space="0" w:color="auto"/>
              <w:left w:val="nil"/>
              <w:bottom w:val="single" w:sz="12" w:space="0" w:color="auto"/>
              <w:right w:val="nil"/>
            </w:tcBorders>
            <w:shd w:val="clear" w:color="auto" w:fill="auto"/>
            <w:noWrap/>
            <w:vAlign w:val="bottom"/>
            <w:hideMark/>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2016</w:t>
            </w:r>
          </w:p>
        </w:tc>
        <w:tc>
          <w:tcPr>
            <w:tcW w:w="1142" w:type="dxa"/>
            <w:tcBorders>
              <w:top w:val="single" w:sz="12" w:space="0" w:color="auto"/>
              <w:left w:val="single" w:sz="12" w:space="0" w:color="auto"/>
              <w:bottom w:val="single" w:sz="12" w:space="0" w:color="auto"/>
              <w:right w:val="nil"/>
            </w:tcBorders>
            <w:shd w:val="clear" w:color="auto" w:fill="auto"/>
            <w:noWrap/>
            <w:vAlign w:val="bottom"/>
            <w:hideMark/>
          </w:tcPr>
          <w:p w:rsidR="00606D2C" w:rsidRPr="002C70E1" w:rsidRDefault="00606D2C" w:rsidP="00972C41">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25" w:type="dxa"/>
            <w:tcBorders>
              <w:top w:val="single" w:sz="12" w:space="0" w:color="auto"/>
              <w:left w:val="nil"/>
              <w:bottom w:val="single" w:sz="12" w:space="0" w:color="auto"/>
              <w:right w:val="single" w:sz="12" w:space="0" w:color="auto"/>
            </w:tcBorders>
            <w:shd w:val="clear" w:color="auto" w:fill="auto"/>
            <w:noWrap/>
            <w:vAlign w:val="bottom"/>
            <w:hideMark/>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3616" w:type="dxa"/>
            <w:tcBorders>
              <w:top w:val="single" w:sz="8" w:space="0" w:color="auto"/>
              <w:left w:val="nil"/>
              <w:right w:val="single" w:sz="12" w:space="0" w:color="auto"/>
            </w:tcBorders>
            <w:shd w:val="clear" w:color="auto" w:fill="auto"/>
            <w:noWrap/>
            <w:vAlign w:val="bottom"/>
          </w:tcPr>
          <w:p w:rsidR="00606D2C" w:rsidRPr="002C70E1" w:rsidRDefault="00606D2C" w:rsidP="00972C41">
            <w:pPr>
              <w:spacing w:before="0" w:after="0"/>
              <w:jc w:val="right"/>
              <w:rPr>
                <w:rFonts w:eastAsia="Times New Roman" w:cs="Arial"/>
                <w:color w:val="000000"/>
                <w:sz w:val="20"/>
                <w:szCs w:val="24"/>
                <w:lang w:eastAsia="cs-CZ"/>
              </w:rPr>
            </w:pPr>
          </w:p>
        </w:tc>
        <w:tc>
          <w:tcPr>
            <w:tcW w:w="1619" w:type="dxa"/>
            <w:tcBorders>
              <w:top w:val="single" w:sz="12" w:space="0" w:color="auto"/>
              <w:left w:val="single" w:sz="12" w:space="0" w:color="auto"/>
              <w:bottom w:val="single" w:sz="12" w:space="0" w:color="auto"/>
            </w:tcBorders>
            <w:shd w:val="clear" w:color="auto" w:fill="auto"/>
            <w:noWrap/>
            <w:vAlign w:val="bottom"/>
          </w:tcPr>
          <w:p w:rsidR="00606D2C" w:rsidRPr="002C70E1" w:rsidRDefault="00606D2C" w:rsidP="00972C41">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09" w:type="dxa"/>
            <w:tcBorders>
              <w:top w:val="single" w:sz="12" w:space="0" w:color="auto"/>
              <w:bottom w:val="single" w:sz="12" w:space="0" w:color="auto"/>
              <w:right w:val="single" w:sz="12" w:space="0" w:color="auto"/>
            </w:tcBorders>
            <w:shd w:val="clear" w:color="auto" w:fill="auto"/>
            <w:noWrap/>
            <w:vAlign w:val="bottom"/>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N</w:t>
            </w:r>
          </w:p>
        </w:tc>
      </w:tr>
      <w:tr w:rsidR="00606D2C" w:rsidRPr="002C70E1" w:rsidTr="00820FB7">
        <w:trPr>
          <w:trHeight w:val="285"/>
        </w:trPr>
        <w:tc>
          <w:tcPr>
            <w:tcW w:w="590" w:type="dxa"/>
            <w:vMerge w:val="restart"/>
            <w:tcBorders>
              <w:top w:val="nil"/>
              <w:left w:val="single" w:sz="8" w:space="0" w:color="auto"/>
              <w:bottom w:val="single" w:sz="8" w:space="0" w:color="auto"/>
              <w:right w:val="single" w:sz="8" w:space="0" w:color="auto"/>
            </w:tcBorders>
            <w:shd w:val="clear" w:color="000000" w:fill="E4DFEC"/>
            <w:noWrap/>
            <w:textDirection w:val="btLr"/>
            <w:vAlign w:val="center"/>
            <w:hideMark/>
          </w:tcPr>
          <w:p w:rsidR="00606D2C" w:rsidRPr="002C70E1" w:rsidRDefault="00606D2C" w:rsidP="00972C41">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Rekvalifikace</w:t>
            </w:r>
          </w:p>
        </w:tc>
        <w:tc>
          <w:tcPr>
            <w:tcW w:w="3096" w:type="dxa"/>
            <w:gridSpan w:val="4"/>
            <w:tcBorders>
              <w:top w:val="single" w:sz="12" w:space="0" w:color="auto"/>
              <w:left w:val="nil"/>
            </w:tcBorders>
            <w:shd w:val="clear" w:color="auto" w:fill="auto"/>
            <w:noWrap/>
            <w:vAlign w:val="bottom"/>
          </w:tcPr>
          <w:p w:rsidR="00606D2C" w:rsidRPr="002C70E1" w:rsidRDefault="00606D2C" w:rsidP="00972C41">
            <w:pPr>
              <w:spacing w:before="0" w:after="0"/>
              <w:jc w:val="right"/>
              <w:rPr>
                <w:rFonts w:eastAsia="Times New Roman" w:cs="Arial"/>
                <w:b/>
                <w:bCs/>
                <w:color w:val="000000"/>
                <w:sz w:val="20"/>
                <w:szCs w:val="24"/>
                <w:lang w:eastAsia="cs-CZ"/>
              </w:rPr>
            </w:pPr>
          </w:p>
        </w:tc>
        <w:tc>
          <w:tcPr>
            <w:tcW w:w="1142" w:type="dxa"/>
            <w:tcBorders>
              <w:top w:val="single" w:sz="8" w:space="0" w:color="auto"/>
            </w:tcBorders>
            <w:shd w:val="clear" w:color="auto" w:fill="auto"/>
            <w:noWrap/>
            <w:vAlign w:val="bottom"/>
          </w:tcPr>
          <w:p w:rsidR="00606D2C" w:rsidRPr="002C70E1" w:rsidRDefault="00606D2C" w:rsidP="00972C41">
            <w:pPr>
              <w:spacing w:before="0" w:after="0"/>
              <w:jc w:val="center"/>
              <w:rPr>
                <w:rFonts w:eastAsia="Times New Roman" w:cs="Arial"/>
                <w:b/>
                <w:bCs/>
                <w:color w:val="000000"/>
                <w:sz w:val="20"/>
                <w:szCs w:val="24"/>
                <w:lang w:eastAsia="cs-CZ"/>
              </w:rPr>
            </w:pPr>
          </w:p>
        </w:tc>
        <w:tc>
          <w:tcPr>
            <w:tcW w:w="4641" w:type="dxa"/>
            <w:gridSpan w:val="2"/>
            <w:shd w:val="clear" w:color="auto" w:fill="auto"/>
            <w:noWrap/>
            <w:vAlign w:val="center"/>
            <w:hideMark/>
          </w:tcPr>
          <w:p w:rsidR="00606D2C" w:rsidRPr="002C70E1" w:rsidRDefault="00606D2C" w:rsidP="00972C41">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19" w:type="dxa"/>
            <w:tcBorders>
              <w:top w:val="single" w:sz="12" w:space="0" w:color="auto"/>
            </w:tcBorders>
            <w:shd w:val="clear" w:color="auto" w:fill="auto"/>
            <w:noWrap/>
            <w:vAlign w:val="center"/>
          </w:tcPr>
          <w:p w:rsidR="00606D2C" w:rsidRPr="002C70E1" w:rsidRDefault="00606D2C" w:rsidP="00972C41">
            <w:pPr>
              <w:spacing w:before="0" w:after="0"/>
              <w:jc w:val="center"/>
              <w:rPr>
                <w:rFonts w:eastAsia="Times New Roman" w:cs="Arial"/>
                <w:b/>
                <w:bCs/>
                <w:color w:val="000000"/>
                <w:sz w:val="20"/>
                <w:szCs w:val="24"/>
                <w:u w:val="single"/>
                <w:lang w:eastAsia="cs-CZ"/>
              </w:rPr>
            </w:pPr>
          </w:p>
        </w:tc>
        <w:tc>
          <w:tcPr>
            <w:tcW w:w="3009" w:type="dxa"/>
            <w:tcBorders>
              <w:top w:val="single" w:sz="12" w:space="0" w:color="auto"/>
              <w:right w:val="single" w:sz="8" w:space="0" w:color="auto"/>
            </w:tcBorders>
            <w:shd w:val="clear" w:color="auto" w:fill="auto"/>
            <w:noWrap/>
            <w:vAlign w:val="center"/>
          </w:tcPr>
          <w:p w:rsidR="00606D2C" w:rsidRPr="002C70E1" w:rsidRDefault="00606D2C" w:rsidP="00972C41">
            <w:pPr>
              <w:spacing w:before="0" w:after="0"/>
              <w:jc w:val="center"/>
              <w:rPr>
                <w:rFonts w:eastAsia="Times New Roman" w:cs="Arial"/>
                <w:b/>
                <w:bCs/>
                <w:color w:val="000000"/>
                <w:sz w:val="20"/>
                <w:szCs w:val="24"/>
                <w:u w:val="single"/>
                <w:lang w:eastAsia="cs-CZ"/>
              </w:rPr>
            </w:pPr>
          </w:p>
        </w:tc>
      </w:tr>
      <w:tr w:rsidR="00606D2C" w:rsidRPr="002C70E1" w:rsidTr="00820FB7">
        <w:trPr>
          <w:trHeight w:val="930"/>
        </w:trPr>
        <w:tc>
          <w:tcPr>
            <w:tcW w:w="590" w:type="dxa"/>
            <w:vMerge/>
            <w:tcBorders>
              <w:top w:val="nil"/>
              <w:left w:val="single" w:sz="8" w:space="0" w:color="auto"/>
              <w:bottom w:val="single" w:sz="8" w:space="0" w:color="auto"/>
              <w:right w:val="single" w:sz="8"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13507" w:type="dxa"/>
            <w:gridSpan w:val="9"/>
            <w:tcBorders>
              <w:left w:val="nil"/>
              <w:bottom w:val="double" w:sz="6" w:space="0" w:color="auto"/>
              <w:right w:val="single" w:sz="8" w:space="0" w:color="000000"/>
            </w:tcBorders>
            <w:shd w:val="clear" w:color="auto" w:fill="auto"/>
            <w:hideMark/>
          </w:tcPr>
          <w:p w:rsidR="00606D2C" w:rsidRPr="002C70E1" w:rsidRDefault="00606D2C" w:rsidP="00972C41">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Pro odstranění disproporcí v profesním rozložení nabídky a poptávky bude prováděn efektivní průzkum požadavků zaměstnavatelů tak, aby rekvalifikační kurzy byly schopny v dostatečném předstihu připravit pracovní sílu. MPSV provede vyhodnocení efekt</w:t>
            </w:r>
            <w:r w:rsidR="00820FB7">
              <w:rPr>
                <w:rFonts w:eastAsia="Times New Roman" w:cs="Arial"/>
                <w:color w:val="000000"/>
                <w:sz w:val="20"/>
                <w:szCs w:val="24"/>
                <w:lang w:eastAsia="cs-CZ"/>
              </w:rPr>
              <w:t>ivity nastavení rekvalifikací a </w:t>
            </w:r>
            <w:r w:rsidRPr="002C70E1">
              <w:rPr>
                <w:rFonts w:eastAsia="Times New Roman" w:cs="Arial"/>
                <w:color w:val="000000"/>
                <w:sz w:val="20"/>
                <w:szCs w:val="24"/>
                <w:lang w:eastAsia="cs-CZ"/>
              </w:rPr>
              <w:t xml:space="preserve">vypracuje návrhy směřující ke zvýšení jejich flexibility a efektivity </w:t>
            </w:r>
          </w:p>
        </w:tc>
      </w:tr>
      <w:tr w:rsidR="00606D2C" w:rsidRPr="002C70E1" w:rsidTr="00820FB7">
        <w:trPr>
          <w:trHeight w:val="285"/>
        </w:trPr>
        <w:tc>
          <w:tcPr>
            <w:tcW w:w="590" w:type="dxa"/>
            <w:vMerge/>
            <w:tcBorders>
              <w:top w:val="nil"/>
              <w:left w:val="single" w:sz="8" w:space="0" w:color="auto"/>
              <w:bottom w:val="single" w:sz="8" w:space="0" w:color="auto"/>
              <w:right w:val="double" w:sz="6"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623" w:type="dxa"/>
            <w:tcBorders>
              <w:top w:val="double" w:sz="6" w:space="0" w:color="auto"/>
              <w:left w:val="double" w:sz="6" w:space="0" w:color="auto"/>
              <w:bottom w:val="double" w:sz="6" w:space="0" w:color="auto"/>
              <w:right w:val="nil"/>
            </w:tcBorders>
            <w:shd w:val="clear" w:color="000000" w:fill="F2DCDB"/>
            <w:noWrap/>
            <w:vAlign w:val="bottom"/>
            <w:hideMark/>
          </w:tcPr>
          <w:p w:rsidR="00606D2C" w:rsidRPr="002C70E1" w:rsidRDefault="00606D2C" w:rsidP="00972C41">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615" w:type="dxa"/>
            <w:gridSpan w:val="4"/>
            <w:tcBorders>
              <w:top w:val="double" w:sz="6" w:space="0" w:color="auto"/>
              <w:left w:val="nil"/>
              <w:bottom w:val="double" w:sz="6" w:space="0" w:color="auto"/>
              <w:right w:val="double" w:sz="6" w:space="0" w:color="auto"/>
            </w:tcBorders>
            <w:shd w:val="clear" w:color="000000" w:fill="E6B8B7"/>
            <w:vAlign w:val="bottom"/>
            <w:hideMark/>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Řešeno</w:t>
            </w:r>
          </w:p>
        </w:tc>
        <w:tc>
          <w:tcPr>
            <w:tcW w:w="4641" w:type="dxa"/>
            <w:gridSpan w:val="2"/>
            <w:tcBorders>
              <w:top w:val="double" w:sz="6" w:space="0" w:color="auto"/>
              <w:left w:val="double" w:sz="6" w:space="0" w:color="auto"/>
              <w:bottom w:val="nil"/>
            </w:tcBorders>
            <w:shd w:val="clear" w:color="auto" w:fill="auto"/>
            <w:vAlign w:val="center"/>
            <w:hideMark/>
          </w:tcPr>
          <w:p w:rsidR="00606D2C" w:rsidRPr="002C70E1" w:rsidRDefault="00606D2C" w:rsidP="00972C41">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19" w:type="dxa"/>
            <w:tcBorders>
              <w:top w:val="nil"/>
              <w:right w:val="nil"/>
            </w:tcBorders>
            <w:shd w:val="clear" w:color="auto" w:fill="auto"/>
            <w:vAlign w:val="center"/>
          </w:tcPr>
          <w:p w:rsidR="00606D2C" w:rsidRPr="002C70E1" w:rsidRDefault="00606D2C" w:rsidP="00972C41">
            <w:pPr>
              <w:spacing w:before="0" w:after="0"/>
              <w:jc w:val="right"/>
              <w:rPr>
                <w:rFonts w:eastAsia="Times New Roman" w:cs="Arial"/>
                <w:color w:val="000000"/>
                <w:sz w:val="20"/>
                <w:szCs w:val="24"/>
                <w:lang w:eastAsia="cs-CZ"/>
              </w:rPr>
            </w:pPr>
          </w:p>
        </w:tc>
        <w:tc>
          <w:tcPr>
            <w:tcW w:w="3009" w:type="dxa"/>
            <w:tcBorders>
              <w:top w:val="nil"/>
              <w:left w:val="nil"/>
              <w:right w:val="single" w:sz="8" w:space="0" w:color="auto"/>
            </w:tcBorders>
            <w:shd w:val="clear" w:color="auto" w:fill="auto"/>
            <w:vAlign w:val="center"/>
          </w:tcPr>
          <w:p w:rsidR="00606D2C" w:rsidRPr="002C70E1" w:rsidRDefault="00606D2C" w:rsidP="00972C41">
            <w:pPr>
              <w:spacing w:before="0" w:after="0"/>
              <w:jc w:val="center"/>
              <w:rPr>
                <w:rFonts w:eastAsia="Times New Roman" w:cs="Arial"/>
                <w:b/>
                <w:bCs/>
                <w:color w:val="000000"/>
                <w:sz w:val="20"/>
                <w:szCs w:val="24"/>
                <w:u w:val="single"/>
                <w:lang w:eastAsia="cs-CZ"/>
              </w:rPr>
            </w:pPr>
          </w:p>
        </w:tc>
      </w:tr>
      <w:tr w:rsidR="00606D2C" w:rsidRPr="002C70E1" w:rsidTr="00707A60">
        <w:trPr>
          <w:trHeight w:val="3293"/>
        </w:trPr>
        <w:tc>
          <w:tcPr>
            <w:tcW w:w="590" w:type="dxa"/>
            <w:vMerge/>
            <w:tcBorders>
              <w:top w:val="nil"/>
              <w:left w:val="single" w:sz="8" w:space="0" w:color="auto"/>
              <w:bottom w:val="single" w:sz="8" w:space="0" w:color="auto"/>
              <w:right w:val="single" w:sz="8"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623" w:type="dxa"/>
            <w:tcBorders>
              <w:top w:val="nil"/>
              <w:left w:val="nil"/>
              <w:bottom w:val="single" w:sz="8" w:space="0" w:color="auto"/>
              <w:right w:val="single" w:sz="8" w:space="0" w:color="auto"/>
            </w:tcBorders>
            <w:shd w:val="clear" w:color="auto" w:fill="auto"/>
            <w:textDirection w:val="btLr"/>
            <w:vAlign w:val="center"/>
            <w:hideMark/>
          </w:tcPr>
          <w:p w:rsidR="00606D2C" w:rsidRPr="002C70E1" w:rsidRDefault="00606D2C" w:rsidP="00972C41">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minulé</w:t>
            </w:r>
          </w:p>
        </w:tc>
        <w:tc>
          <w:tcPr>
            <w:tcW w:w="12884" w:type="dxa"/>
            <w:gridSpan w:val="8"/>
            <w:tcBorders>
              <w:top w:val="nil"/>
              <w:left w:val="single" w:sz="8" w:space="0" w:color="auto"/>
              <w:bottom w:val="single" w:sz="8" w:space="0" w:color="auto"/>
              <w:right w:val="single" w:sz="8" w:space="0" w:color="auto"/>
            </w:tcBorders>
            <w:shd w:val="clear" w:color="auto" w:fill="auto"/>
            <w:hideMark/>
          </w:tcPr>
          <w:p w:rsidR="00606D2C" w:rsidRPr="004E56CF" w:rsidRDefault="00707A60" w:rsidP="007B53ED">
            <w:pPr>
              <w:spacing w:before="0" w:after="0"/>
              <w:rPr>
                <w:rFonts w:eastAsia="Times New Roman" w:cs="Arial"/>
                <w:sz w:val="20"/>
                <w:szCs w:val="24"/>
                <w:lang w:eastAsia="cs-CZ"/>
              </w:rPr>
            </w:pPr>
            <w:r>
              <w:rPr>
                <w:rFonts w:eastAsia="Times New Roman" w:cs="Arial"/>
                <w:sz w:val="20"/>
                <w:szCs w:val="24"/>
                <w:lang w:eastAsia="cs-CZ"/>
              </w:rPr>
              <w:t>V</w:t>
            </w:r>
            <w:r w:rsidR="00606D2C" w:rsidRPr="004E56CF">
              <w:rPr>
                <w:rFonts w:eastAsia="Times New Roman" w:cs="Arial"/>
                <w:sz w:val="20"/>
                <w:szCs w:val="24"/>
                <w:lang w:eastAsia="cs-CZ"/>
              </w:rPr>
              <w:t xml:space="preserve"> 1. pololetí roku 2017 se rekvalifikací zúčastnilo 10 42</w:t>
            </w:r>
            <w:r w:rsidR="007B53ED">
              <w:rPr>
                <w:rFonts w:eastAsia="Times New Roman" w:cs="Arial"/>
                <w:sz w:val="20"/>
                <w:szCs w:val="24"/>
                <w:lang w:eastAsia="cs-CZ"/>
              </w:rPr>
              <w:t>5</w:t>
            </w:r>
            <w:r w:rsidR="00606D2C" w:rsidRPr="004E56CF">
              <w:rPr>
                <w:rFonts w:eastAsia="Times New Roman" w:cs="Arial"/>
                <w:sz w:val="20"/>
                <w:szCs w:val="24"/>
                <w:lang w:eastAsia="cs-CZ"/>
              </w:rPr>
              <w:t xml:space="preserve"> osob. Rekvalifikace zabezpečované ÚP ČR se ve sledovaném období zúčastnilo 6 85</w:t>
            </w:r>
            <w:r w:rsidR="007B53ED">
              <w:rPr>
                <w:rFonts w:eastAsia="Times New Roman" w:cs="Arial"/>
                <w:sz w:val="20"/>
                <w:szCs w:val="24"/>
                <w:lang w:eastAsia="cs-CZ"/>
              </w:rPr>
              <w:t>3</w:t>
            </w:r>
            <w:r w:rsidR="00606D2C" w:rsidRPr="004E56CF">
              <w:rPr>
                <w:rFonts w:eastAsia="Times New Roman" w:cs="Arial"/>
                <w:sz w:val="20"/>
                <w:szCs w:val="24"/>
                <w:lang w:eastAsia="cs-CZ"/>
              </w:rPr>
              <w:t xml:space="preserve"> osob a zvolené rekvalifikace 3 57</w:t>
            </w:r>
            <w:r w:rsidR="007B53ED">
              <w:rPr>
                <w:rFonts w:eastAsia="Times New Roman" w:cs="Arial"/>
                <w:sz w:val="20"/>
                <w:szCs w:val="24"/>
                <w:lang w:eastAsia="cs-CZ"/>
              </w:rPr>
              <w:t>2</w:t>
            </w:r>
            <w:r w:rsidR="00606D2C" w:rsidRPr="004E56CF">
              <w:rPr>
                <w:rFonts w:eastAsia="Times New Roman" w:cs="Arial"/>
                <w:sz w:val="20"/>
                <w:szCs w:val="24"/>
                <w:lang w:eastAsia="cs-CZ"/>
              </w:rPr>
              <w:t xml:space="preserve"> osob (v 1. pololetí roku 2016 se zabezpečované rekvalifikace zúčastnilo 7 340 osob a zvolené rekvalifikace 5 613 osob). Podíl zvolené rekvalifikace tvořil ve sledovaném období 34 % z celkového počtu účastníků rekvalifikace. Mezi nejča</w:t>
            </w:r>
            <w:r w:rsidR="00820FB7">
              <w:rPr>
                <w:rFonts w:eastAsia="Times New Roman" w:cs="Arial"/>
                <w:sz w:val="20"/>
                <w:szCs w:val="24"/>
                <w:lang w:eastAsia="cs-CZ"/>
              </w:rPr>
              <w:t>stěji realizované zabezpečované </w:t>
            </w:r>
            <w:r w:rsidR="00606D2C" w:rsidRPr="004E56CF">
              <w:rPr>
                <w:rFonts w:eastAsia="Times New Roman" w:cs="Arial"/>
                <w:sz w:val="20"/>
                <w:szCs w:val="24"/>
                <w:lang w:eastAsia="cs-CZ"/>
              </w:rPr>
              <w:t xml:space="preserve">rekvalifikace patřily kurzy zaměřené na základní počítačové dovednosti, kurzy pro získání řidičských a profesních průkazů, svářečské kurzy. U zvolených rekvalifikací byly nejčastěji realizovány kurzy pro získání řidičských a profesních průkazů, následovaly kurzy pro pracovníky v sociálních službách a kurzy pro pracovníky v osobních službách. Z hlediska kvalifikace byli mezi účastníky kurzů nejvíce zastoupeni </w:t>
            </w:r>
            <w:proofErr w:type="spellStart"/>
            <w:r w:rsidR="00606D2C" w:rsidRPr="004E56CF">
              <w:rPr>
                <w:rFonts w:eastAsia="Times New Roman" w:cs="Arial"/>
                <w:sz w:val="20"/>
                <w:szCs w:val="24"/>
                <w:lang w:eastAsia="cs-CZ"/>
              </w:rPr>
              <w:t>UoZ</w:t>
            </w:r>
            <w:proofErr w:type="spellEnd"/>
            <w:r w:rsidR="00606D2C" w:rsidRPr="004E56CF">
              <w:rPr>
                <w:rFonts w:eastAsia="Times New Roman" w:cs="Arial"/>
                <w:sz w:val="20"/>
                <w:szCs w:val="24"/>
                <w:lang w:eastAsia="cs-CZ"/>
              </w:rPr>
              <w:t xml:space="preserve"> s výučním listem, s úplným středním vzděláním s maturitou a ZŠ. Rekvalifikace byly hrazeny převážně z prostředků ESF, především z projektu VDTP II. Pokles nezaměstnanosti se </w:t>
            </w:r>
            <w:r>
              <w:rPr>
                <w:rFonts w:eastAsia="Times New Roman" w:cs="Arial"/>
                <w:sz w:val="20"/>
                <w:szCs w:val="24"/>
                <w:lang w:eastAsia="cs-CZ"/>
              </w:rPr>
              <w:t xml:space="preserve">v 1. pololetí roku 2017 odrazil v </w:t>
            </w:r>
            <w:r w:rsidR="00606D2C" w:rsidRPr="004E56CF">
              <w:rPr>
                <w:rFonts w:eastAsia="Times New Roman" w:cs="Arial"/>
                <w:sz w:val="20"/>
                <w:szCs w:val="24"/>
                <w:lang w:eastAsia="cs-CZ"/>
              </w:rPr>
              <w:t xml:space="preserve">nižších počtech absolvovaných rekvalifikací. </w:t>
            </w:r>
            <w:r>
              <w:rPr>
                <w:rFonts w:eastAsia="Times New Roman" w:cs="Arial"/>
                <w:sz w:val="20"/>
                <w:szCs w:val="24"/>
                <w:lang w:eastAsia="cs-CZ"/>
              </w:rPr>
              <w:t>MPSV připravovalo</w:t>
            </w:r>
            <w:r w:rsidR="00606D2C" w:rsidRPr="004E56CF">
              <w:rPr>
                <w:rFonts w:eastAsia="Times New Roman" w:cs="Arial"/>
                <w:sz w:val="20"/>
                <w:szCs w:val="24"/>
                <w:lang w:eastAsia="cs-CZ"/>
              </w:rPr>
              <w:t xml:space="preserve"> projekt „Kvasar“, jehož smyslem je, ve spolupráci se zaměstnavateli a sdruženími zaměstnavatelů, navrhnout revizi systému rekvalifikací tak, aby lépe reagovaly na potřeby trhu práce a uplatnění </w:t>
            </w:r>
            <w:proofErr w:type="spellStart"/>
            <w:r w:rsidR="00606D2C" w:rsidRPr="004E56CF">
              <w:rPr>
                <w:rFonts w:eastAsia="Times New Roman" w:cs="Arial"/>
                <w:sz w:val="20"/>
                <w:szCs w:val="24"/>
                <w:lang w:eastAsia="cs-CZ"/>
              </w:rPr>
              <w:t>UoZ</w:t>
            </w:r>
            <w:proofErr w:type="spellEnd"/>
            <w:r w:rsidR="00606D2C" w:rsidRPr="004E56CF">
              <w:rPr>
                <w:rFonts w:eastAsia="Times New Roman" w:cs="Arial"/>
                <w:sz w:val="20"/>
                <w:szCs w:val="24"/>
                <w:lang w:eastAsia="cs-CZ"/>
              </w:rPr>
              <w:t>, např. dostatečným podílem praxe v průběhu rekvalifikací nebo díky prostřednictvím modularizace rekvalifikací tak, aby byly schopny reflektovat již naučené dovednosti a rekvalifikovaná osoba mohla být vzdělávána pouze v těch částech, které skutečně potřebuje. Po zpracování projektového záměru, který by</w:t>
            </w:r>
            <w:r w:rsidR="00820FB7">
              <w:rPr>
                <w:rFonts w:eastAsia="Times New Roman" w:cs="Arial"/>
                <w:sz w:val="20"/>
                <w:szCs w:val="24"/>
                <w:lang w:eastAsia="cs-CZ"/>
              </w:rPr>
              <w:t>l odsouhlasen na PROP dne 5. 6. </w:t>
            </w:r>
            <w:r w:rsidR="00606D2C" w:rsidRPr="004E56CF">
              <w:rPr>
                <w:rFonts w:eastAsia="Times New Roman" w:cs="Arial"/>
                <w:sz w:val="20"/>
                <w:szCs w:val="24"/>
                <w:lang w:eastAsia="cs-CZ"/>
              </w:rPr>
              <w:t>2017, byla zpracována projektová žádost (dne 11. 7. 2017), která byla posouzena hodnotiteli. Tito uplatnili některé připomínky, které byly vypořádány do 11. 8. 2017. Finální hodnotící posudky byly hodnotiteli odevzdány dne 20. 8. 2017.</w:t>
            </w:r>
          </w:p>
        </w:tc>
      </w:tr>
      <w:tr w:rsidR="00606D2C" w:rsidRPr="002C70E1" w:rsidTr="00820FB7">
        <w:trPr>
          <w:trHeight w:val="5160"/>
        </w:trPr>
        <w:tc>
          <w:tcPr>
            <w:tcW w:w="590" w:type="dxa"/>
            <w:vMerge/>
            <w:tcBorders>
              <w:top w:val="nil"/>
              <w:left w:val="single" w:sz="8" w:space="0" w:color="auto"/>
              <w:bottom w:val="single" w:sz="8" w:space="0" w:color="auto"/>
              <w:right w:val="single" w:sz="8"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623" w:type="dxa"/>
            <w:tcBorders>
              <w:top w:val="single" w:sz="8" w:space="0" w:color="auto"/>
              <w:left w:val="nil"/>
              <w:bottom w:val="single" w:sz="8" w:space="0" w:color="auto"/>
              <w:right w:val="single" w:sz="4" w:space="0" w:color="auto"/>
            </w:tcBorders>
            <w:shd w:val="clear" w:color="auto" w:fill="auto"/>
            <w:textDirection w:val="btLr"/>
            <w:vAlign w:val="center"/>
            <w:hideMark/>
          </w:tcPr>
          <w:p w:rsidR="00606D2C" w:rsidRPr="002C70E1" w:rsidRDefault="00606D2C" w:rsidP="00972C41">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 xml:space="preserve">sledované </w:t>
            </w:r>
          </w:p>
        </w:tc>
        <w:tc>
          <w:tcPr>
            <w:tcW w:w="12884" w:type="dxa"/>
            <w:gridSpan w:val="8"/>
            <w:tcBorders>
              <w:top w:val="single" w:sz="8" w:space="0" w:color="auto"/>
              <w:left w:val="nil"/>
              <w:bottom w:val="single" w:sz="8" w:space="0" w:color="auto"/>
              <w:right w:val="single" w:sz="8" w:space="0" w:color="000000"/>
            </w:tcBorders>
            <w:shd w:val="clear" w:color="auto" w:fill="auto"/>
            <w:hideMark/>
          </w:tcPr>
          <w:p w:rsidR="00606D2C" w:rsidRDefault="00606D2C" w:rsidP="00972C41">
            <w:pPr>
              <w:spacing w:before="0" w:after="0"/>
              <w:rPr>
                <w:rFonts w:eastAsia="Times New Roman" w:cs="Arial"/>
                <w:sz w:val="20"/>
                <w:szCs w:val="24"/>
                <w:lang w:eastAsia="cs-CZ"/>
              </w:rPr>
            </w:pPr>
            <w:r>
              <w:rPr>
                <w:rFonts w:eastAsia="Times New Roman" w:cs="Arial"/>
                <w:sz w:val="20"/>
                <w:szCs w:val="24"/>
                <w:lang w:eastAsia="cs-CZ"/>
              </w:rPr>
              <w:t>Rekvalifikace se svým zaměřením, obdobně jako v dřívějších obdobích, přizpůsobovaly požadavkům trhu práce a struktuře VPM. Využívaly se jak pro získání nové nebo rozšíření stávající kvalifikace, tak k jejímu zvýšení a prohloubení, včetně udržování a obnovování dosavadních kompetencí. Rekvalifikace nadále patří co do počtu účastníků mezi nejvyužívanější nástroj APZ. V roce 2017 se rekvalifikací zúčastnilo celkem 18 1</w:t>
            </w:r>
            <w:r w:rsidR="007B53ED">
              <w:rPr>
                <w:rFonts w:eastAsia="Times New Roman" w:cs="Arial"/>
                <w:sz w:val="20"/>
                <w:szCs w:val="24"/>
                <w:lang w:eastAsia="cs-CZ"/>
              </w:rPr>
              <w:t>74</w:t>
            </w:r>
            <w:r>
              <w:rPr>
                <w:rFonts w:eastAsia="Times New Roman" w:cs="Arial"/>
                <w:sz w:val="20"/>
                <w:szCs w:val="24"/>
                <w:lang w:eastAsia="cs-CZ"/>
              </w:rPr>
              <w:t xml:space="preserve"> osob (z toho za 1. pololetí roku 2017  10 42</w:t>
            </w:r>
            <w:r w:rsidR="007B53ED">
              <w:rPr>
                <w:rFonts w:eastAsia="Times New Roman" w:cs="Arial"/>
                <w:sz w:val="20"/>
                <w:szCs w:val="24"/>
                <w:lang w:eastAsia="cs-CZ"/>
              </w:rPr>
              <w:t>5</w:t>
            </w:r>
            <w:r>
              <w:rPr>
                <w:rFonts w:eastAsia="Times New Roman" w:cs="Arial"/>
                <w:sz w:val="20"/>
                <w:szCs w:val="24"/>
                <w:lang w:eastAsia="cs-CZ"/>
              </w:rPr>
              <w:t xml:space="preserve"> osob). Rekvalifikace zabezpečované ÚP ČR se v roce 2017 zúčastnilo 11 478 osob (z toho 6 85</w:t>
            </w:r>
            <w:r w:rsidR="007B53ED">
              <w:rPr>
                <w:rFonts w:eastAsia="Times New Roman" w:cs="Arial"/>
                <w:sz w:val="20"/>
                <w:szCs w:val="24"/>
                <w:lang w:eastAsia="cs-CZ"/>
              </w:rPr>
              <w:t>3</w:t>
            </w:r>
            <w:r>
              <w:rPr>
                <w:rFonts w:eastAsia="Times New Roman" w:cs="Arial"/>
                <w:sz w:val="20"/>
                <w:szCs w:val="24"/>
                <w:lang w:eastAsia="cs-CZ"/>
              </w:rPr>
              <w:t xml:space="preserve"> osob v 1. pololetí) a zvolené rekvalifikace 6 696 osob (z toho 3 57</w:t>
            </w:r>
            <w:r w:rsidR="007B53ED">
              <w:rPr>
                <w:rFonts w:eastAsia="Times New Roman" w:cs="Arial"/>
                <w:sz w:val="20"/>
                <w:szCs w:val="24"/>
                <w:lang w:eastAsia="cs-CZ"/>
              </w:rPr>
              <w:t>2</w:t>
            </w:r>
            <w:r>
              <w:rPr>
                <w:rFonts w:eastAsia="Times New Roman" w:cs="Arial"/>
                <w:sz w:val="20"/>
                <w:szCs w:val="24"/>
                <w:lang w:eastAsia="cs-CZ"/>
              </w:rPr>
              <w:t xml:space="preserve"> osob v 1. pololetí roku 2017). Podíl zvolené rekvalifikace tvořil v roce 2017  37 % z celkového počtu účastníků rekvalifikace (v 1. pololetí tvořil 34 % z celkového počtu účastníků rekvalifikace).  </w:t>
            </w:r>
            <w:r w:rsidR="00707A60">
              <w:rPr>
                <w:rFonts w:eastAsia="Times New Roman" w:cs="Arial"/>
                <w:sz w:val="20"/>
                <w:szCs w:val="24"/>
                <w:lang w:eastAsia="cs-CZ"/>
              </w:rPr>
              <w:t>Dlouhodobě patří m</w:t>
            </w:r>
            <w:r>
              <w:rPr>
                <w:rFonts w:eastAsia="Times New Roman" w:cs="Arial"/>
                <w:sz w:val="20"/>
                <w:szCs w:val="24"/>
                <w:lang w:eastAsia="cs-CZ"/>
              </w:rPr>
              <w:t>ezi nejčastěji realizované zabezpečované rekvalifikace kurzy zaměřené na základní počítačové dovednosti, kurzy pro získání řidičských</w:t>
            </w:r>
            <w:r w:rsidR="00D7624A">
              <w:rPr>
                <w:rFonts w:eastAsia="Times New Roman" w:cs="Arial"/>
                <w:sz w:val="20"/>
                <w:szCs w:val="24"/>
                <w:lang w:eastAsia="cs-CZ"/>
              </w:rPr>
              <w:t xml:space="preserve"> </w:t>
            </w:r>
            <w:r>
              <w:rPr>
                <w:rFonts w:eastAsia="Times New Roman" w:cs="Arial"/>
                <w:sz w:val="20"/>
                <w:szCs w:val="24"/>
                <w:lang w:eastAsia="cs-CZ"/>
              </w:rPr>
              <w:t xml:space="preserve">a profesních průkazů, svářečské kurzy. U zvolených rekvalifikací byly nejčastěji realizovány kurzy pro získání řidičských a profesních průkazů, následovaly kurzy pro pracovníky v sociálních službách a kurzy pro pracovníky v osobních službách. Z hlediska kvalifikace byli mezi účastníky kurzů nejvíce zastoupeni </w:t>
            </w:r>
            <w:proofErr w:type="spellStart"/>
            <w:r>
              <w:rPr>
                <w:rFonts w:eastAsia="Times New Roman" w:cs="Arial"/>
                <w:sz w:val="20"/>
                <w:szCs w:val="24"/>
                <w:lang w:eastAsia="cs-CZ"/>
              </w:rPr>
              <w:t>UoZ</w:t>
            </w:r>
            <w:proofErr w:type="spellEnd"/>
            <w:r>
              <w:rPr>
                <w:rFonts w:eastAsia="Times New Roman" w:cs="Arial"/>
                <w:sz w:val="20"/>
                <w:szCs w:val="24"/>
                <w:lang w:eastAsia="cs-CZ"/>
              </w:rPr>
              <w:t xml:space="preserve"> s výučním listem, s úplným středním vzděláním s maturitou a ZŠ. Rekvalifikace byly hrazeny převážně</w:t>
            </w:r>
            <w:r w:rsidR="00D7624A">
              <w:rPr>
                <w:rFonts w:eastAsia="Times New Roman" w:cs="Arial"/>
                <w:sz w:val="20"/>
                <w:szCs w:val="24"/>
                <w:lang w:eastAsia="cs-CZ"/>
              </w:rPr>
              <w:t xml:space="preserve"> </w:t>
            </w:r>
            <w:r>
              <w:rPr>
                <w:rFonts w:eastAsia="Times New Roman" w:cs="Arial"/>
                <w:sz w:val="20"/>
                <w:szCs w:val="24"/>
                <w:lang w:eastAsia="cs-CZ"/>
              </w:rPr>
              <w:t xml:space="preserve">z prostředků ESF, především z projektu VDTP II. </w:t>
            </w:r>
            <w:bookmarkStart w:id="157" w:name="_GoBack"/>
            <w:bookmarkEnd w:id="157"/>
            <w:r>
              <w:rPr>
                <w:rFonts w:eastAsia="Times New Roman" w:cs="Arial"/>
                <w:sz w:val="20"/>
                <w:szCs w:val="24"/>
                <w:lang w:eastAsia="cs-CZ"/>
              </w:rPr>
              <w:t xml:space="preserve">Pokles nezaměstnanosti se odráží na nižších počtech absolvovaných rekvalifikací (v roce 2016 prošlo rekvalifikacemi 22 548 osob, v roce 2017 došlo ke snížení počtu o 4 374 osob). Důvodem snížení je i celkově dobrá kondice národního hospodářství, vysoký počet volných míst. To přináší větší ochotou zaměstnavatelů přijímat zaměstnance i bez rekvalifikace s tím, že si je zaučí, příp. rekvalifikují již sami, během pracovního procesu. Vzhledem k požadavkům zaměstnavatelů byly přednostně podporovány rekvalifikace s praktickou částí výuky a rekvalifikace směřující ke konkrétnímu pracovnímu uplatnění. Podstatná je skutečnost, že každá rekvalifikace musí být účelná, tj. že po jejím absolvování existuje reálná šance na pracovní uplatnění. Z úrovně MPSV je realizován projekt „Kvasar“, jehož smyslem je, ve spolupráci se zaměstnavateli a sdruženími zaměstnavatelů, navrhnout revizi systému rekvalifikací tak, aby lépe reagovaly na potřeby trhu práce a uplatnění </w:t>
            </w:r>
            <w:proofErr w:type="spellStart"/>
            <w:r>
              <w:rPr>
                <w:rFonts w:eastAsia="Times New Roman" w:cs="Arial"/>
                <w:sz w:val="20"/>
                <w:szCs w:val="24"/>
                <w:lang w:eastAsia="cs-CZ"/>
              </w:rPr>
              <w:t>UoZ</w:t>
            </w:r>
            <w:proofErr w:type="spellEnd"/>
            <w:r>
              <w:rPr>
                <w:rFonts w:eastAsia="Times New Roman" w:cs="Arial"/>
                <w:sz w:val="20"/>
                <w:szCs w:val="24"/>
                <w:lang w:eastAsia="cs-CZ"/>
              </w:rPr>
              <w:t xml:space="preserve">, např. dostatečným podílem praxe v průběhu rekvalifikací nebo díky prostřednictvím modularizace rekvalifikací tak, aby byly schopny reflektovat již naučené dovednosti a rekvalifikovaná osoba mohla být vzdělávána pouze v těch částech, které skutečně potřebuje. </w:t>
            </w:r>
            <w:r w:rsidRPr="00B576DE">
              <w:rPr>
                <w:rFonts w:eastAsia="Times New Roman" w:cs="Arial"/>
                <w:sz w:val="20"/>
                <w:szCs w:val="24"/>
                <w:lang w:eastAsia="cs-CZ"/>
              </w:rPr>
              <w:t xml:space="preserve">K projektu Kvasar </w:t>
            </w:r>
            <w:proofErr w:type="gramStart"/>
            <w:r w:rsidRPr="00B576DE">
              <w:rPr>
                <w:rFonts w:eastAsia="Times New Roman" w:cs="Arial"/>
                <w:sz w:val="20"/>
                <w:szCs w:val="24"/>
                <w:lang w:eastAsia="cs-CZ"/>
              </w:rPr>
              <w:t>byl</w:t>
            </w:r>
            <w:proofErr w:type="gramEnd"/>
            <w:r w:rsidRPr="00B576DE">
              <w:rPr>
                <w:rFonts w:eastAsia="Times New Roman" w:cs="Arial"/>
                <w:sz w:val="20"/>
                <w:szCs w:val="24"/>
                <w:lang w:eastAsia="cs-CZ"/>
              </w:rPr>
              <w:t xml:space="preserve"> 1. 10. 2017 vydán právní akt. V listopadu 2017 </w:t>
            </w:r>
            <w:proofErr w:type="gramStart"/>
            <w:r w:rsidRPr="00B576DE">
              <w:rPr>
                <w:rFonts w:eastAsia="Times New Roman" w:cs="Arial"/>
                <w:sz w:val="20"/>
                <w:szCs w:val="24"/>
                <w:lang w:eastAsia="cs-CZ"/>
              </w:rPr>
              <w:t>započaly</w:t>
            </w:r>
            <w:proofErr w:type="gramEnd"/>
            <w:r w:rsidRPr="00B576DE">
              <w:rPr>
                <w:rFonts w:eastAsia="Times New Roman" w:cs="Arial"/>
                <w:sz w:val="20"/>
                <w:szCs w:val="24"/>
                <w:lang w:eastAsia="cs-CZ"/>
              </w:rPr>
              <w:t xml:space="preserve"> práce na KA 1 - analýza rekvalifikací po krajích a na zpracování veřejné zakázky pro KA 2-</w:t>
            </w:r>
            <w:r>
              <w:rPr>
                <w:rFonts w:eastAsia="Times New Roman" w:cs="Arial"/>
                <w:sz w:val="20"/>
                <w:szCs w:val="24"/>
                <w:lang w:eastAsia="cs-CZ"/>
              </w:rPr>
              <w:t>4 (rozhodující klíčové aktivity). Aktuálně je připravována podstatná změna projektu (prodloužení o 9 měsíců), byla zpracována veřejná zakázka „Zvyšování kvality a efektivity systému dalšího vzdělávání“ a je předložena ke kontrole ex ante na ŘO OPZ, chystá se uzavření smlouvy o partnerství s finančním příspěvkem mezi MPSV a ÚP ČR.</w:t>
            </w:r>
          </w:p>
          <w:p w:rsidR="00606D2C" w:rsidRPr="00B576DE" w:rsidRDefault="00606D2C" w:rsidP="00D7624A">
            <w:pPr>
              <w:rPr>
                <w:rFonts w:eastAsia="Times New Roman" w:cs="Arial"/>
                <w:sz w:val="20"/>
                <w:szCs w:val="24"/>
                <w:lang w:eastAsia="cs-CZ"/>
              </w:rPr>
            </w:pPr>
            <w:r w:rsidRPr="00B576DE">
              <w:rPr>
                <w:rFonts w:eastAsia="Times New Roman" w:cs="Arial"/>
                <w:sz w:val="20"/>
                <w:szCs w:val="24"/>
                <w:lang w:eastAsia="cs-CZ"/>
              </w:rPr>
              <w:t>Rekvalifikace byly hrazeny převážně z prostředků ESF, především z projektu VDTP II (Vzdělávání a dovednosti pro trh práce II).</w:t>
            </w:r>
            <w:r w:rsidRPr="00B576DE">
              <w:t xml:space="preserve"> </w:t>
            </w:r>
            <w:r w:rsidRPr="00B576DE">
              <w:rPr>
                <w:rFonts w:eastAsia="Times New Roman" w:cs="Arial"/>
                <w:sz w:val="20"/>
                <w:szCs w:val="24"/>
                <w:lang w:eastAsia="cs-CZ"/>
              </w:rPr>
              <w:t>V rámci projektu VDTP II bylo zahájeno</w:t>
            </w:r>
            <w:r w:rsidRPr="00B576DE">
              <w:t xml:space="preserve"> </w:t>
            </w:r>
            <w:r w:rsidRPr="00B576DE">
              <w:rPr>
                <w:rFonts w:eastAsia="Times New Roman" w:cs="Arial"/>
                <w:sz w:val="20"/>
                <w:szCs w:val="24"/>
                <w:lang w:eastAsia="cs-CZ"/>
              </w:rPr>
              <w:t>celkem 14 060 rekvalifikačních kurzů, z toho bylo do rekvalifikací zabezpečov</w:t>
            </w:r>
            <w:r w:rsidR="00820FB7">
              <w:rPr>
                <w:rFonts w:eastAsia="Times New Roman" w:cs="Arial"/>
                <w:sz w:val="20"/>
                <w:szCs w:val="24"/>
                <w:lang w:eastAsia="cs-CZ"/>
              </w:rPr>
              <w:t>aných úřadem práce 8 470 osob a </w:t>
            </w:r>
            <w:r w:rsidRPr="00B576DE">
              <w:rPr>
                <w:rFonts w:eastAsia="Times New Roman" w:cs="Arial"/>
                <w:sz w:val="20"/>
                <w:szCs w:val="24"/>
                <w:lang w:eastAsia="cs-CZ"/>
              </w:rPr>
              <w:t xml:space="preserve">do zvolených rekvalifikací 5 590 osob. Nejčastěji byly v roce 2017 realizovány kurzy zaměřené na Počítačové dovednosti – základní dovednosti; Řidičské průkazy vč. profesní způsobilosti; Účetnictví; Osobní služby a kurzy v sociální oblasti. </w:t>
            </w:r>
          </w:p>
          <w:p w:rsidR="00606D2C" w:rsidRPr="002C70E1" w:rsidRDefault="00606D2C" w:rsidP="00972C41">
            <w:pPr>
              <w:spacing w:before="0" w:after="0"/>
              <w:rPr>
                <w:rFonts w:eastAsia="Times New Roman" w:cs="Arial"/>
                <w:color w:val="000000"/>
                <w:sz w:val="20"/>
                <w:szCs w:val="24"/>
                <w:lang w:eastAsia="cs-CZ"/>
              </w:rPr>
            </w:pPr>
            <w:r w:rsidRPr="00B576DE">
              <w:rPr>
                <w:rFonts w:eastAsia="Times New Roman" w:cs="Arial"/>
                <w:sz w:val="20"/>
                <w:szCs w:val="24"/>
                <w:lang w:eastAsia="cs-CZ"/>
              </w:rPr>
              <w:t>ÚP ČR realizuje prostřednictvím svých krajských poboček celkem 52 RIP, v rámci kterých mohou být rovněž hrazeny účastníkům projektu rekvalifikace.</w:t>
            </w:r>
          </w:p>
        </w:tc>
      </w:tr>
    </w:tbl>
    <w:p w:rsidR="00606D2C" w:rsidRPr="002C70E1" w:rsidRDefault="00606D2C" w:rsidP="00972C41">
      <w:pPr>
        <w:spacing w:before="0" w:after="0"/>
        <w:rPr>
          <w:sz w:val="20"/>
        </w:rPr>
      </w:pPr>
      <w:r w:rsidRPr="002C70E1">
        <w:rPr>
          <w:sz w:val="20"/>
        </w:rPr>
        <w:br w:type="page"/>
      </w:r>
    </w:p>
    <w:tbl>
      <w:tblPr>
        <w:tblW w:w="14097" w:type="dxa"/>
        <w:tblInd w:w="47" w:type="dxa"/>
        <w:tblCellMar>
          <w:left w:w="70" w:type="dxa"/>
          <w:right w:w="70" w:type="dxa"/>
        </w:tblCellMar>
        <w:tblLook w:val="04A0" w:firstRow="1" w:lastRow="0" w:firstColumn="1" w:lastColumn="0" w:noHBand="0" w:noVBand="1"/>
      </w:tblPr>
      <w:tblGrid>
        <w:gridCol w:w="590"/>
        <w:gridCol w:w="507"/>
        <w:gridCol w:w="201"/>
        <w:gridCol w:w="63"/>
        <w:gridCol w:w="2292"/>
        <w:gridCol w:w="52"/>
        <w:gridCol w:w="1093"/>
        <w:gridCol w:w="47"/>
        <w:gridCol w:w="981"/>
        <w:gridCol w:w="43"/>
        <w:gridCol w:w="3584"/>
        <w:gridCol w:w="25"/>
        <w:gridCol w:w="1599"/>
        <w:gridCol w:w="17"/>
        <w:gridCol w:w="3003"/>
      </w:tblGrid>
      <w:tr w:rsidR="00606D2C" w:rsidRPr="002C70E1" w:rsidTr="00820FB7">
        <w:trPr>
          <w:trHeight w:val="285"/>
        </w:trPr>
        <w:tc>
          <w:tcPr>
            <w:tcW w:w="590" w:type="dxa"/>
            <w:tcBorders>
              <w:top w:val="single" w:sz="8" w:space="0" w:color="auto"/>
              <w:left w:val="single" w:sz="8" w:space="0" w:color="auto"/>
              <w:bottom w:val="single" w:sz="4" w:space="0" w:color="auto"/>
              <w:right w:val="nil"/>
            </w:tcBorders>
            <w:shd w:val="clear" w:color="000000" w:fill="E4DFEC"/>
            <w:noWrap/>
            <w:vAlign w:val="bottom"/>
            <w:hideMark/>
          </w:tcPr>
          <w:p w:rsidR="00606D2C" w:rsidRPr="002C70E1" w:rsidRDefault="00606D2C" w:rsidP="00972C41">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4.3</w:t>
            </w:r>
          </w:p>
        </w:tc>
        <w:tc>
          <w:tcPr>
            <w:tcW w:w="708" w:type="dxa"/>
            <w:gridSpan w:val="2"/>
            <w:tcBorders>
              <w:top w:val="single" w:sz="8" w:space="0" w:color="auto"/>
              <w:left w:val="single" w:sz="8" w:space="0" w:color="auto"/>
              <w:bottom w:val="single" w:sz="8" w:space="0" w:color="auto"/>
              <w:right w:val="nil"/>
            </w:tcBorders>
            <w:shd w:val="clear" w:color="auto" w:fill="auto"/>
            <w:noWrap/>
            <w:vAlign w:val="bottom"/>
            <w:hideMark/>
          </w:tcPr>
          <w:p w:rsidR="00606D2C" w:rsidRPr="002C70E1" w:rsidRDefault="00606D2C" w:rsidP="00972C41">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2355" w:type="dxa"/>
            <w:gridSpan w:val="2"/>
            <w:tcBorders>
              <w:top w:val="single" w:sz="8" w:space="0" w:color="auto"/>
              <w:left w:val="nil"/>
              <w:bottom w:val="single" w:sz="8" w:space="0" w:color="auto"/>
              <w:right w:val="nil"/>
            </w:tcBorders>
            <w:shd w:val="clear" w:color="auto" w:fill="auto"/>
            <w:noWrap/>
            <w:vAlign w:val="bottom"/>
            <w:hideMark/>
          </w:tcPr>
          <w:p w:rsidR="00606D2C" w:rsidRPr="002C70E1" w:rsidRDefault="00606D2C" w:rsidP="00972C41">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2016</w:t>
            </w:r>
          </w:p>
        </w:tc>
        <w:tc>
          <w:tcPr>
            <w:tcW w:w="1145" w:type="dxa"/>
            <w:gridSpan w:val="2"/>
            <w:tcBorders>
              <w:top w:val="single" w:sz="12" w:space="0" w:color="auto"/>
              <w:left w:val="single" w:sz="12" w:space="0" w:color="auto"/>
              <w:bottom w:val="single" w:sz="8" w:space="0" w:color="auto"/>
              <w:right w:val="nil"/>
            </w:tcBorders>
            <w:shd w:val="clear" w:color="auto" w:fill="auto"/>
            <w:noWrap/>
            <w:vAlign w:val="bottom"/>
            <w:hideMark/>
          </w:tcPr>
          <w:p w:rsidR="00606D2C" w:rsidRPr="002C70E1" w:rsidRDefault="00606D2C" w:rsidP="00972C41">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28" w:type="dxa"/>
            <w:gridSpan w:val="2"/>
            <w:tcBorders>
              <w:top w:val="single" w:sz="12" w:space="0" w:color="auto"/>
              <w:left w:val="nil"/>
              <w:bottom w:val="single" w:sz="8" w:space="0" w:color="auto"/>
              <w:right w:val="single" w:sz="12" w:space="0" w:color="auto"/>
            </w:tcBorders>
            <w:shd w:val="clear" w:color="auto" w:fill="auto"/>
            <w:noWrap/>
            <w:vAlign w:val="bottom"/>
            <w:hideMark/>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MPSV</w:t>
            </w:r>
          </w:p>
        </w:tc>
        <w:tc>
          <w:tcPr>
            <w:tcW w:w="3627" w:type="dxa"/>
            <w:gridSpan w:val="2"/>
            <w:tcBorders>
              <w:top w:val="single" w:sz="8" w:space="0" w:color="auto"/>
              <w:left w:val="nil"/>
              <w:bottom w:val="single" w:sz="8" w:space="0" w:color="auto"/>
              <w:right w:val="single" w:sz="4" w:space="0" w:color="auto"/>
            </w:tcBorders>
            <w:shd w:val="clear" w:color="auto" w:fill="auto"/>
            <w:noWrap/>
            <w:vAlign w:val="bottom"/>
          </w:tcPr>
          <w:p w:rsidR="00606D2C" w:rsidRPr="002C70E1" w:rsidRDefault="00606D2C" w:rsidP="00972C41">
            <w:pPr>
              <w:spacing w:before="0" w:after="0"/>
              <w:jc w:val="right"/>
              <w:rPr>
                <w:rFonts w:eastAsia="Times New Roman" w:cs="Arial"/>
                <w:color w:val="000000"/>
                <w:sz w:val="20"/>
                <w:szCs w:val="24"/>
                <w:lang w:eastAsia="cs-CZ"/>
              </w:rPr>
            </w:pPr>
          </w:p>
        </w:tc>
        <w:tc>
          <w:tcPr>
            <w:tcW w:w="1624" w:type="dxa"/>
            <w:gridSpan w:val="2"/>
            <w:tcBorders>
              <w:top w:val="single" w:sz="8" w:space="0" w:color="auto"/>
              <w:left w:val="nil"/>
              <w:bottom w:val="single" w:sz="8" w:space="0" w:color="auto"/>
              <w:right w:val="single" w:sz="4" w:space="0" w:color="auto"/>
            </w:tcBorders>
            <w:shd w:val="clear" w:color="auto" w:fill="auto"/>
            <w:noWrap/>
            <w:vAlign w:val="bottom"/>
          </w:tcPr>
          <w:p w:rsidR="00606D2C" w:rsidRPr="002C70E1" w:rsidRDefault="00606D2C" w:rsidP="00972C41">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20" w:type="dxa"/>
            <w:gridSpan w:val="2"/>
            <w:tcBorders>
              <w:top w:val="single" w:sz="8" w:space="0" w:color="auto"/>
              <w:left w:val="nil"/>
              <w:bottom w:val="single" w:sz="8" w:space="0" w:color="auto"/>
              <w:right w:val="single" w:sz="12" w:space="0" w:color="auto"/>
            </w:tcBorders>
            <w:shd w:val="clear" w:color="auto" w:fill="auto"/>
            <w:noWrap/>
            <w:vAlign w:val="bottom"/>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N</w:t>
            </w:r>
          </w:p>
        </w:tc>
      </w:tr>
      <w:tr w:rsidR="00606D2C" w:rsidRPr="002C70E1" w:rsidTr="00820FB7">
        <w:trPr>
          <w:trHeight w:val="285"/>
        </w:trPr>
        <w:tc>
          <w:tcPr>
            <w:tcW w:w="590" w:type="dxa"/>
            <w:vMerge w:val="restart"/>
            <w:tcBorders>
              <w:top w:val="nil"/>
              <w:left w:val="single" w:sz="8" w:space="0" w:color="auto"/>
              <w:bottom w:val="single" w:sz="8" w:space="0" w:color="000000"/>
              <w:right w:val="single" w:sz="8" w:space="0" w:color="auto"/>
            </w:tcBorders>
            <w:shd w:val="clear" w:color="000000" w:fill="E4DFEC"/>
            <w:noWrap/>
            <w:textDirection w:val="btLr"/>
            <w:vAlign w:val="center"/>
            <w:hideMark/>
          </w:tcPr>
          <w:p w:rsidR="00606D2C" w:rsidRPr="002C70E1" w:rsidRDefault="00606D2C" w:rsidP="00972C41">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Predikce trhu práce</w:t>
            </w:r>
          </w:p>
        </w:tc>
        <w:tc>
          <w:tcPr>
            <w:tcW w:w="3063" w:type="dxa"/>
            <w:gridSpan w:val="4"/>
            <w:tcBorders>
              <w:top w:val="single" w:sz="8" w:space="0" w:color="auto"/>
              <w:left w:val="nil"/>
            </w:tcBorders>
            <w:shd w:val="clear" w:color="auto" w:fill="auto"/>
            <w:noWrap/>
            <w:vAlign w:val="bottom"/>
          </w:tcPr>
          <w:p w:rsidR="00606D2C" w:rsidRPr="002C70E1" w:rsidRDefault="00606D2C" w:rsidP="00972C41">
            <w:pPr>
              <w:spacing w:before="0" w:after="0"/>
              <w:jc w:val="right"/>
              <w:rPr>
                <w:rFonts w:eastAsia="Times New Roman" w:cs="Arial"/>
                <w:b/>
                <w:bCs/>
                <w:color w:val="000000"/>
                <w:sz w:val="20"/>
                <w:szCs w:val="24"/>
                <w:lang w:eastAsia="cs-CZ"/>
              </w:rPr>
            </w:pPr>
          </w:p>
        </w:tc>
        <w:tc>
          <w:tcPr>
            <w:tcW w:w="1145" w:type="dxa"/>
            <w:gridSpan w:val="2"/>
            <w:tcBorders>
              <w:top w:val="single" w:sz="8" w:space="0" w:color="auto"/>
            </w:tcBorders>
            <w:shd w:val="clear" w:color="auto" w:fill="auto"/>
            <w:noWrap/>
            <w:vAlign w:val="bottom"/>
          </w:tcPr>
          <w:p w:rsidR="00606D2C" w:rsidRPr="002C70E1" w:rsidRDefault="00606D2C" w:rsidP="00972C41">
            <w:pPr>
              <w:spacing w:before="0" w:after="0"/>
              <w:jc w:val="center"/>
              <w:rPr>
                <w:rFonts w:eastAsia="Times New Roman" w:cs="Arial"/>
                <w:b/>
                <w:bCs/>
                <w:color w:val="000000"/>
                <w:sz w:val="20"/>
                <w:szCs w:val="24"/>
                <w:lang w:eastAsia="cs-CZ"/>
              </w:rPr>
            </w:pPr>
          </w:p>
        </w:tc>
        <w:tc>
          <w:tcPr>
            <w:tcW w:w="4655" w:type="dxa"/>
            <w:gridSpan w:val="4"/>
            <w:tcBorders>
              <w:top w:val="single" w:sz="8" w:space="0" w:color="auto"/>
            </w:tcBorders>
            <w:shd w:val="clear" w:color="auto" w:fill="auto"/>
            <w:noWrap/>
            <w:vAlign w:val="center"/>
            <w:hideMark/>
          </w:tcPr>
          <w:p w:rsidR="00606D2C" w:rsidRPr="002C70E1" w:rsidRDefault="00606D2C" w:rsidP="00972C41">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24" w:type="dxa"/>
            <w:gridSpan w:val="2"/>
            <w:tcBorders>
              <w:top w:val="single" w:sz="8" w:space="0" w:color="auto"/>
            </w:tcBorders>
            <w:shd w:val="clear" w:color="auto" w:fill="auto"/>
            <w:noWrap/>
            <w:vAlign w:val="center"/>
          </w:tcPr>
          <w:p w:rsidR="00606D2C" w:rsidRPr="002C70E1" w:rsidRDefault="00606D2C" w:rsidP="00972C41">
            <w:pPr>
              <w:spacing w:before="0" w:after="0"/>
              <w:jc w:val="center"/>
              <w:rPr>
                <w:rFonts w:eastAsia="Times New Roman" w:cs="Arial"/>
                <w:b/>
                <w:bCs/>
                <w:color w:val="000000"/>
                <w:sz w:val="20"/>
                <w:szCs w:val="24"/>
                <w:u w:val="single"/>
                <w:lang w:eastAsia="cs-CZ"/>
              </w:rPr>
            </w:pPr>
          </w:p>
        </w:tc>
        <w:tc>
          <w:tcPr>
            <w:tcW w:w="3020" w:type="dxa"/>
            <w:gridSpan w:val="2"/>
            <w:tcBorders>
              <w:top w:val="single" w:sz="8" w:space="0" w:color="auto"/>
              <w:right w:val="single" w:sz="8" w:space="0" w:color="auto"/>
            </w:tcBorders>
            <w:shd w:val="clear" w:color="auto" w:fill="auto"/>
            <w:noWrap/>
            <w:vAlign w:val="center"/>
          </w:tcPr>
          <w:p w:rsidR="00606D2C" w:rsidRPr="002C70E1" w:rsidRDefault="00606D2C" w:rsidP="00972C41">
            <w:pPr>
              <w:spacing w:before="0" w:after="0"/>
              <w:jc w:val="center"/>
              <w:rPr>
                <w:rFonts w:eastAsia="Times New Roman" w:cs="Arial"/>
                <w:b/>
                <w:bCs/>
                <w:color w:val="000000"/>
                <w:sz w:val="20"/>
                <w:szCs w:val="24"/>
                <w:u w:val="single"/>
                <w:lang w:eastAsia="cs-CZ"/>
              </w:rPr>
            </w:pPr>
          </w:p>
        </w:tc>
      </w:tr>
      <w:tr w:rsidR="00606D2C" w:rsidRPr="002C70E1" w:rsidTr="00A61479">
        <w:trPr>
          <w:trHeight w:val="353"/>
        </w:trPr>
        <w:tc>
          <w:tcPr>
            <w:tcW w:w="590"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13507" w:type="dxa"/>
            <w:gridSpan w:val="14"/>
            <w:tcBorders>
              <w:left w:val="nil"/>
              <w:bottom w:val="double" w:sz="6" w:space="0" w:color="auto"/>
              <w:right w:val="single" w:sz="8" w:space="0" w:color="000000"/>
            </w:tcBorders>
            <w:shd w:val="clear" w:color="auto" w:fill="auto"/>
            <w:hideMark/>
          </w:tcPr>
          <w:p w:rsidR="00606D2C" w:rsidRPr="002C70E1" w:rsidRDefault="00606D2C" w:rsidP="00972C41">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MPSV vytvoří systém predikcí vývoje trhu práce, tak aby bylo možné v dostatečném předstihu reagovat na vývoj trhu práce a zabezpečit tak dostatek pracovní síly ve vhodné kvalifikační struktuře a její připravenost ke vstupu na trh práce. Využito bude již realizovaných kroků (projekt PŘEKVAP)</w:t>
            </w:r>
          </w:p>
        </w:tc>
      </w:tr>
      <w:tr w:rsidR="00606D2C" w:rsidRPr="002C70E1" w:rsidTr="00A61479">
        <w:trPr>
          <w:trHeight w:val="122"/>
        </w:trPr>
        <w:tc>
          <w:tcPr>
            <w:tcW w:w="590" w:type="dxa"/>
            <w:vMerge/>
            <w:tcBorders>
              <w:top w:val="nil"/>
              <w:left w:val="single" w:sz="8" w:space="0" w:color="auto"/>
              <w:bottom w:val="single" w:sz="8" w:space="0" w:color="000000"/>
              <w:right w:val="double" w:sz="6"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426" w:type="dxa"/>
            <w:tcBorders>
              <w:top w:val="double" w:sz="6" w:space="0" w:color="auto"/>
              <w:left w:val="double" w:sz="6" w:space="0" w:color="auto"/>
              <w:bottom w:val="double" w:sz="6" w:space="0" w:color="auto"/>
              <w:right w:val="nil"/>
            </w:tcBorders>
            <w:shd w:val="clear" w:color="000000" w:fill="F2DCDB"/>
            <w:noWrap/>
            <w:vAlign w:val="bottom"/>
            <w:hideMark/>
          </w:tcPr>
          <w:p w:rsidR="00606D2C" w:rsidRPr="002C70E1" w:rsidRDefault="00606D2C" w:rsidP="00972C41">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782" w:type="dxa"/>
            <w:gridSpan w:val="5"/>
            <w:tcBorders>
              <w:top w:val="double" w:sz="6" w:space="0" w:color="auto"/>
              <w:left w:val="nil"/>
              <w:bottom w:val="double" w:sz="6" w:space="0" w:color="auto"/>
              <w:right w:val="double" w:sz="6" w:space="0" w:color="auto"/>
            </w:tcBorders>
            <w:shd w:val="clear" w:color="000000" w:fill="E6B8B7"/>
            <w:vAlign w:val="bottom"/>
            <w:hideMark/>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Řešeno</w:t>
            </w:r>
          </w:p>
        </w:tc>
        <w:tc>
          <w:tcPr>
            <w:tcW w:w="4655" w:type="dxa"/>
            <w:gridSpan w:val="4"/>
            <w:tcBorders>
              <w:top w:val="double" w:sz="6" w:space="0" w:color="auto"/>
              <w:left w:val="double" w:sz="6" w:space="0" w:color="auto"/>
            </w:tcBorders>
            <w:shd w:val="clear" w:color="auto" w:fill="auto"/>
            <w:vAlign w:val="center"/>
            <w:hideMark/>
          </w:tcPr>
          <w:p w:rsidR="00606D2C" w:rsidRPr="002C70E1" w:rsidRDefault="00606D2C" w:rsidP="00972C41">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24" w:type="dxa"/>
            <w:gridSpan w:val="2"/>
            <w:tcBorders>
              <w:top w:val="nil"/>
            </w:tcBorders>
            <w:shd w:val="clear" w:color="auto" w:fill="auto"/>
            <w:vAlign w:val="center"/>
          </w:tcPr>
          <w:p w:rsidR="00606D2C" w:rsidRPr="002C70E1" w:rsidRDefault="00606D2C" w:rsidP="00972C41">
            <w:pPr>
              <w:spacing w:before="0" w:after="0"/>
              <w:jc w:val="right"/>
              <w:rPr>
                <w:rFonts w:eastAsia="Times New Roman" w:cs="Arial"/>
                <w:color w:val="000000"/>
                <w:sz w:val="20"/>
                <w:szCs w:val="24"/>
                <w:lang w:eastAsia="cs-CZ"/>
              </w:rPr>
            </w:pPr>
          </w:p>
        </w:tc>
        <w:tc>
          <w:tcPr>
            <w:tcW w:w="3020" w:type="dxa"/>
            <w:gridSpan w:val="2"/>
            <w:tcBorders>
              <w:top w:val="nil"/>
              <w:right w:val="single" w:sz="8" w:space="0" w:color="auto"/>
            </w:tcBorders>
            <w:shd w:val="clear" w:color="auto" w:fill="auto"/>
            <w:vAlign w:val="center"/>
          </w:tcPr>
          <w:p w:rsidR="00606D2C" w:rsidRPr="002C70E1" w:rsidRDefault="00606D2C" w:rsidP="00972C41">
            <w:pPr>
              <w:spacing w:before="0" w:after="0"/>
              <w:jc w:val="center"/>
              <w:rPr>
                <w:rFonts w:eastAsia="Times New Roman" w:cs="Arial"/>
                <w:b/>
                <w:bCs/>
                <w:color w:val="000000"/>
                <w:sz w:val="20"/>
                <w:szCs w:val="24"/>
                <w:u w:val="single"/>
                <w:lang w:eastAsia="cs-CZ"/>
              </w:rPr>
            </w:pPr>
          </w:p>
        </w:tc>
      </w:tr>
      <w:tr w:rsidR="00606D2C" w:rsidRPr="002C70E1" w:rsidTr="00A61479">
        <w:trPr>
          <w:trHeight w:val="900"/>
        </w:trPr>
        <w:tc>
          <w:tcPr>
            <w:tcW w:w="590"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426" w:type="dxa"/>
            <w:tcBorders>
              <w:top w:val="nil"/>
              <w:left w:val="nil"/>
              <w:bottom w:val="nil"/>
              <w:right w:val="single" w:sz="4" w:space="0" w:color="auto"/>
            </w:tcBorders>
            <w:shd w:val="clear" w:color="auto" w:fill="auto"/>
            <w:textDirection w:val="btLr"/>
            <w:vAlign w:val="center"/>
            <w:hideMark/>
          </w:tcPr>
          <w:p w:rsidR="00606D2C" w:rsidRPr="002C70E1" w:rsidRDefault="00606D2C" w:rsidP="00972C41">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min.</w:t>
            </w:r>
          </w:p>
        </w:tc>
        <w:tc>
          <w:tcPr>
            <w:tcW w:w="13081" w:type="dxa"/>
            <w:gridSpan w:val="13"/>
            <w:tcBorders>
              <w:top w:val="nil"/>
              <w:left w:val="nil"/>
              <w:bottom w:val="nil"/>
              <w:right w:val="single" w:sz="8" w:space="0" w:color="000000"/>
            </w:tcBorders>
            <w:shd w:val="clear" w:color="auto" w:fill="auto"/>
            <w:hideMark/>
          </w:tcPr>
          <w:p w:rsidR="00606D2C" w:rsidRPr="004E56CF" w:rsidRDefault="00606D2C" w:rsidP="00A61479">
            <w:pPr>
              <w:spacing w:before="0" w:after="0"/>
              <w:rPr>
                <w:rFonts w:eastAsia="Times New Roman" w:cs="Arial"/>
                <w:sz w:val="20"/>
                <w:szCs w:val="24"/>
                <w:lang w:eastAsia="cs-CZ"/>
              </w:rPr>
            </w:pPr>
            <w:r w:rsidRPr="004E56CF">
              <w:rPr>
                <w:rFonts w:eastAsia="Times New Roman" w:cs="Arial"/>
                <w:sz w:val="20"/>
                <w:szCs w:val="24"/>
                <w:lang w:eastAsia="cs-CZ"/>
              </w:rPr>
              <w:t xml:space="preserve">MPSV </w:t>
            </w:r>
            <w:r w:rsidR="00552917">
              <w:rPr>
                <w:rFonts w:eastAsia="Times New Roman" w:cs="Arial"/>
                <w:sz w:val="20"/>
                <w:szCs w:val="24"/>
                <w:lang w:eastAsia="cs-CZ"/>
              </w:rPr>
              <w:t>bude v projektu</w:t>
            </w:r>
            <w:r w:rsidRPr="004E56CF">
              <w:rPr>
                <w:rFonts w:eastAsia="Times New Roman" w:cs="Arial"/>
                <w:sz w:val="20"/>
                <w:szCs w:val="24"/>
                <w:lang w:eastAsia="cs-CZ"/>
              </w:rPr>
              <w:t xml:space="preserve"> KOMPAS ve spolupráci s ÚP ČR, VUPSV, NVF a dalšími partnery z regionů vytvářet udržitelný systém predikcí trhu práce. Systém Predikcí trhu práce je přípravou „barometru“ pro identifikaci nových příležitostí i vznikajících rizik na trhu práce. </w:t>
            </w:r>
            <w:r w:rsidR="00552917">
              <w:rPr>
                <w:rFonts w:eastAsia="Times New Roman" w:cs="Arial"/>
                <w:sz w:val="20"/>
                <w:szCs w:val="24"/>
                <w:lang w:eastAsia="cs-CZ"/>
              </w:rPr>
              <w:t>J</w:t>
            </w:r>
            <w:r w:rsidRPr="004E56CF">
              <w:rPr>
                <w:rFonts w:eastAsia="Times New Roman" w:cs="Arial"/>
                <w:sz w:val="20"/>
                <w:szCs w:val="24"/>
                <w:lang w:eastAsia="cs-CZ"/>
              </w:rPr>
              <w:t>e vytvářen s ohledem na funkčnost a udržitelnost po skončení projektu. V 1. pol. 2017 byl zpřesněn vytvořen harmonogram prací, probíhalo vzdělávání cílové skupiny (MPSV, ÚP ČR a regionální platform</w:t>
            </w:r>
            <w:r w:rsidR="00552917">
              <w:rPr>
                <w:rFonts w:eastAsia="Times New Roman" w:cs="Arial"/>
                <w:sz w:val="20"/>
                <w:szCs w:val="24"/>
                <w:lang w:eastAsia="cs-CZ"/>
              </w:rPr>
              <w:t>y</w:t>
            </w:r>
            <w:r w:rsidRPr="004E56CF">
              <w:rPr>
                <w:rFonts w:eastAsia="Times New Roman" w:cs="Arial"/>
                <w:sz w:val="20"/>
                <w:szCs w:val="24"/>
                <w:lang w:eastAsia="cs-CZ"/>
              </w:rPr>
              <w:t xml:space="preserve">), byly zahájeny práce na regionálních profilech. Z hlediska tvorby elektronického modelu byly zahájeny související práce pro přípravu převodníků datových vstupů. Bylo vytvořeno odborné pracoviště MPSV a síť spolupracujících subjektů, které zastupují území celé ČR. UP ČR započal spolupráci s příslušnými krajským platformami, s ostatními regionálními partnery a zahájil práce na nové metodice monitoringu trhu práce. Tohoto procesu se kromě ÚP ČR zúčastňují všechny zainteresované strany, včetně krajských platforem, VÚPS a NVF. </w:t>
            </w:r>
            <w:r w:rsidR="00A61479">
              <w:rPr>
                <w:rFonts w:eastAsia="Times New Roman" w:cs="Arial"/>
                <w:sz w:val="20"/>
                <w:szCs w:val="24"/>
                <w:lang w:eastAsia="cs-CZ"/>
              </w:rPr>
              <w:t>R</w:t>
            </w:r>
            <w:r w:rsidRPr="004E56CF">
              <w:rPr>
                <w:rFonts w:eastAsia="Times New Roman" w:cs="Arial"/>
                <w:sz w:val="20"/>
                <w:szCs w:val="24"/>
                <w:lang w:eastAsia="cs-CZ"/>
              </w:rPr>
              <w:t>ealizuje</w:t>
            </w:r>
            <w:r w:rsidR="00A61479">
              <w:rPr>
                <w:rFonts w:eastAsia="Times New Roman" w:cs="Arial"/>
                <w:sz w:val="20"/>
                <w:szCs w:val="24"/>
                <w:lang w:eastAsia="cs-CZ"/>
              </w:rPr>
              <w:t xml:space="preserve"> se</w:t>
            </w:r>
            <w:r w:rsidRPr="004E56CF">
              <w:rPr>
                <w:rFonts w:eastAsia="Times New Roman" w:cs="Arial"/>
                <w:sz w:val="20"/>
                <w:szCs w:val="24"/>
                <w:lang w:eastAsia="cs-CZ"/>
              </w:rPr>
              <w:t xml:space="preserve"> sběr námětů a připomínek k systému monitoringu trhu práce ÚP ČR. Mimo uvedené činnosti ÚP ČR setkáv</w:t>
            </w:r>
            <w:r w:rsidR="00A61479">
              <w:rPr>
                <w:rFonts w:eastAsia="Times New Roman" w:cs="Arial"/>
                <w:sz w:val="20"/>
                <w:szCs w:val="24"/>
                <w:lang w:eastAsia="cs-CZ"/>
              </w:rPr>
              <w:t>á</w:t>
            </w:r>
            <w:r w:rsidRPr="004E56CF">
              <w:rPr>
                <w:rFonts w:eastAsia="Times New Roman" w:cs="Arial"/>
                <w:sz w:val="20"/>
                <w:szCs w:val="24"/>
                <w:lang w:eastAsia="cs-CZ"/>
              </w:rPr>
              <w:t xml:space="preserve"> se zástupci uživatelů prognóz z řad zaměstnavatelů. ÚP ČR dále spolupracuje s VÚPSV a NVF při zpracovávání regionálních profilů, které by měly obsahovat základní charakteristiku krajů společně s údaji z oblasti demografie, ekonomiky, trhu práce a vzdělávání.  Základem regionálních profilů by se podle návrhu měly stát roční zprávy </w:t>
            </w:r>
            <w:proofErr w:type="spellStart"/>
            <w:r w:rsidR="00A61479">
              <w:rPr>
                <w:rFonts w:eastAsia="Times New Roman" w:cs="Arial"/>
                <w:sz w:val="20"/>
                <w:szCs w:val="24"/>
                <w:lang w:eastAsia="cs-CZ"/>
              </w:rPr>
              <w:t>KrP</w:t>
            </w:r>
            <w:proofErr w:type="spellEnd"/>
            <w:r w:rsidRPr="004E56CF">
              <w:rPr>
                <w:rFonts w:eastAsia="Times New Roman" w:cs="Arial"/>
                <w:sz w:val="20"/>
                <w:szCs w:val="24"/>
                <w:lang w:eastAsia="cs-CZ"/>
              </w:rPr>
              <w:t xml:space="preserve"> ÚP ČR, k nimž by byly doplňovány další informace. ÚP ČR realizoval dne 7. 6. 2017 interní školení pro realizační týmy MPSV a krajských platforem na téma „realizace regionálního monitoringu trhu práce“.</w:t>
            </w:r>
          </w:p>
        </w:tc>
      </w:tr>
      <w:tr w:rsidR="00606D2C" w:rsidRPr="002C70E1" w:rsidTr="00A61479">
        <w:trPr>
          <w:trHeight w:val="2825"/>
        </w:trPr>
        <w:tc>
          <w:tcPr>
            <w:tcW w:w="590"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426" w:type="dxa"/>
            <w:tcBorders>
              <w:top w:val="single" w:sz="4" w:space="0" w:color="auto"/>
              <w:left w:val="nil"/>
              <w:bottom w:val="single" w:sz="8" w:space="0" w:color="auto"/>
              <w:right w:val="single" w:sz="4" w:space="0" w:color="auto"/>
            </w:tcBorders>
            <w:shd w:val="clear" w:color="auto" w:fill="auto"/>
            <w:textDirection w:val="btLr"/>
            <w:vAlign w:val="center"/>
            <w:hideMark/>
          </w:tcPr>
          <w:p w:rsidR="00606D2C" w:rsidRPr="002C70E1" w:rsidRDefault="00606D2C" w:rsidP="00972C41">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 xml:space="preserve">sledované </w:t>
            </w:r>
          </w:p>
        </w:tc>
        <w:tc>
          <w:tcPr>
            <w:tcW w:w="13081" w:type="dxa"/>
            <w:gridSpan w:val="13"/>
            <w:tcBorders>
              <w:top w:val="single" w:sz="4" w:space="0" w:color="auto"/>
              <w:left w:val="nil"/>
              <w:bottom w:val="single" w:sz="8" w:space="0" w:color="auto"/>
              <w:right w:val="single" w:sz="8" w:space="0" w:color="000000"/>
            </w:tcBorders>
            <w:shd w:val="clear" w:color="auto" w:fill="auto"/>
            <w:hideMark/>
          </w:tcPr>
          <w:p w:rsidR="00606D2C" w:rsidRDefault="00606D2C" w:rsidP="00552917">
            <w:pPr>
              <w:spacing w:before="0" w:after="0"/>
              <w:rPr>
                <w:rFonts w:eastAsia="Times New Roman" w:cs="Arial"/>
                <w:sz w:val="20"/>
                <w:szCs w:val="24"/>
                <w:lang w:eastAsia="cs-CZ"/>
              </w:rPr>
            </w:pPr>
            <w:r w:rsidRPr="008D7F25">
              <w:rPr>
                <w:rFonts w:eastAsia="Times New Roman" w:cs="Arial"/>
                <w:sz w:val="20"/>
                <w:szCs w:val="24"/>
                <w:lang w:eastAsia="cs-CZ"/>
              </w:rPr>
              <w:t>Průběžně se pracuje na návrzích a zpracování nástrojů pro kvalitní predikce trhu práce. Jsou zpracovávány pře</w:t>
            </w:r>
            <w:r w:rsidR="00820FB7">
              <w:rPr>
                <w:rFonts w:eastAsia="Times New Roman" w:cs="Arial"/>
                <w:sz w:val="20"/>
                <w:szCs w:val="24"/>
                <w:lang w:eastAsia="cs-CZ"/>
              </w:rPr>
              <w:t>hledy existujících zdrojů dat a </w:t>
            </w:r>
            <w:r w:rsidRPr="008D7F25">
              <w:rPr>
                <w:rFonts w:eastAsia="Times New Roman" w:cs="Arial"/>
                <w:sz w:val="20"/>
                <w:szCs w:val="24"/>
                <w:lang w:eastAsia="cs-CZ"/>
              </w:rPr>
              <w:t>podkladů, pracuje se na možnostech využití již sbíraných dat a provázanosti již fungujících systémů</w:t>
            </w:r>
            <w:r w:rsidR="00820FB7">
              <w:rPr>
                <w:rFonts w:eastAsia="Times New Roman" w:cs="Arial"/>
                <w:sz w:val="20"/>
                <w:szCs w:val="24"/>
                <w:lang w:eastAsia="cs-CZ"/>
              </w:rPr>
              <w:t>. V krajích se mapují potřeby a </w:t>
            </w:r>
            <w:r w:rsidRPr="008D7F25">
              <w:rPr>
                <w:rFonts w:eastAsia="Times New Roman" w:cs="Arial"/>
                <w:sz w:val="20"/>
                <w:szCs w:val="24"/>
                <w:lang w:eastAsia="cs-CZ"/>
              </w:rPr>
              <w:t xml:space="preserve">požadavky uživatelů systému predikce trhu práce. </w:t>
            </w:r>
            <w:r w:rsidR="00A61479">
              <w:rPr>
                <w:rFonts w:eastAsia="Times New Roman" w:cs="Arial"/>
                <w:sz w:val="20"/>
                <w:szCs w:val="24"/>
                <w:lang w:eastAsia="cs-CZ"/>
              </w:rPr>
              <w:t>N</w:t>
            </w:r>
            <w:r w:rsidRPr="008D7F25">
              <w:rPr>
                <w:rFonts w:eastAsia="Times New Roman" w:cs="Arial"/>
                <w:sz w:val="20"/>
                <w:szCs w:val="24"/>
                <w:lang w:eastAsia="cs-CZ"/>
              </w:rPr>
              <w:t>avazuje</w:t>
            </w:r>
            <w:r w:rsidR="00A61479">
              <w:rPr>
                <w:rFonts w:eastAsia="Times New Roman" w:cs="Arial"/>
                <w:sz w:val="20"/>
                <w:szCs w:val="24"/>
                <w:lang w:eastAsia="cs-CZ"/>
              </w:rPr>
              <w:t xml:space="preserve"> se</w:t>
            </w:r>
            <w:r w:rsidRPr="008D7F25">
              <w:rPr>
                <w:rFonts w:eastAsia="Times New Roman" w:cs="Arial"/>
                <w:sz w:val="20"/>
                <w:szCs w:val="24"/>
                <w:lang w:eastAsia="cs-CZ"/>
              </w:rPr>
              <w:t xml:space="preserve"> a prohlubuje spolupráce v rámci regionálních platforem mezi MPSV, ÚP ČR, Krajem, hospodářskými komorami a pakty zaměstnanosti. S uživateli systému se vyjednává o spolupráci. Z p</w:t>
            </w:r>
            <w:r w:rsidR="00820FB7">
              <w:rPr>
                <w:rFonts w:eastAsia="Times New Roman" w:cs="Arial"/>
                <w:sz w:val="20"/>
                <w:szCs w:val="24"/>
                <w:lang w:eastAsia="cs-CZ"/>
              </w:rPr>
              <w:t>lánovaných sektorových studií o </w:t>
            </w:r>
            <w:r w:rsidRPr="008D7F25">
              <w:rPr>
                <w:rFonts w:eastAsia="Times New Roman" w:cs="Arial"/>
                <w:sz w:val="20"/>
                <w:szCs w:val="24"/>
                <w:lang w:eastAsia="cs-CZ"/>
              </w:rPr>
              <w:t>faktorech a budoucích podmínkách vývoje zaměstnanosti pro 15 vydefinovaných oblastí činnosti je dokončena studie týkající se sektoru vzdělávání (autorem NVF), rozpracována je studie ke zdravotní a sociální péči (NVF), obchodu (NVF) a zemědělství (zpracovává tým MPSV). Probíhá inovace stávajícího predikčního modelu kvalifikačních potřeb trhu práce – nově do něj prozatím vs</w:t>
            </w:r>
            <w:r w:rsidR="00820FB7">
              <w:rPr>
                <w:rFonts w:eastAsia="Times New Roman" w:cs="Arial"/>
                <w:sz w:val="20"/>
                <w:szCs w:val="24"/>
                <w:lang w:eastAsia="cs-CZ"/>
              </w:rPr>
              <w:t>toupil submodel zaměstnanosti v </w:t>
            </w:r>
            <w:r w:rsidRPr="008D7F25">
              <w:rPr>
                <w:rFonts w:eastAsia="Times New Roman" w:cs="Arial"/>
                <w:sz w:val="20"/>
                <w:szCs w:val="24"/>
                <w:lang w:eastAsia="cs-CZ"/>
              </w:rPr>
              <w:t>odvětvích, probíhají práce, které jej připravují na vstup nových datových zdrojů. Jsou zpracovávány regionální profily, které vznikají v každém ze 14 krajů ČR, a to ve spolupráci s GŘ ÚP i jednotlivými krajskými pracovišti.</w:t>
            </w:r>
            <w:r w:rsidR="00552917">
              <w:rPr>
                <w:rFonts w:eastAsia="Times New Roman" w:cs="Arial"/>
                <w:sz w:val="20"/>
                <w:szCs w:val="24"/>
                <w:lang w:eastAsia="cs-CZ"/>
              </w:rPr>
              <w:t xml:space="preserve"> </w:t>
            </w:r>
            <w:r w:rsidRPr="00F210E7">
              <w:rPr>
                <w:rFonts w:eastAsia="Times New Roman" w:cs="Arial"/>
                <w:sz w:val="20"/>
                <w:szCs w:val="24"/>
                <w:lang w:eastAsia="cs-CZ"/>
              </w:rPr>
              <w:t xml:space="preserve">Během </w:t>
            </w:r>
            <w:r>
              <w:rPr>
                <w:rFonts w:eastAsia="Times New Roman" w:cs="Arial"/>
                <w:sz w:val="20"/>
                <w:szCs w:val="24"/>
                <w:lang w:eastAsia="cs-CZ"/>
              </w:rPr>
              <w:t>2. pol.</w:t>
            </w:r>
            <w:r w:rsidRPr="00F210E7">
              <w:rPr>
                <w:rFonts w:eastAsia="Times New Roman" w:cs="Arial"/>
                <w:sz w:val="20"/>
                <w:szCs w:val="24"/>
                <w:lang w:eastAsia="cs-CZ"/>
              </w:rPr>
              <w:t xml:space="preserve"> 2017 se uskutečnil pilotní projekt přípravy regionálního profilu v </w:t>
            </w:r>
            <w:r w:rsidR="00A61479">
              <w:rPr>
                <w:rFonts w:eastAsia="Times New Roman" w:cs="Arial"/>
                <w:sz w:val="20"/>
                <w:szCs w:val="24"/>
                <w:lang w:eastAsia="cs-CZ"/>
              </w:rPr>
              <w:t>OLK</w:t>
            </w:r>
            <w:r w:rsidRPr="00F210E7">
              <w:rPr>
                <w:rFonts w:eastAsia="Times New Roman" w:cs="Arial"/>
                <w:sz w:val="20"/>
                <w:szCs w:val="24"/>
                <w:lang w:eastAsia="cs-CZ"/>
              </w:rPr>
              <w:t>, na jehož základě byla vypracovaná závazná struktura regionálního profilu. V současné chvíli týmy složené ze zástupců ÚP ČR a krajských platforem dokončují jejich přípravu (termín dokončení: 31.</w:t>
            </w:r>
            <w:r>
              <w:rPr>
                <w:rFonts w:eastAsia="Times New Roman" w:cs="Arial"/>
                <w:sz w:val="20"/>
                <w:szCs w:val="24"/>
                <w:lang w:eastAsia="cs-CZ"/>
              </w:rPr>
              <w:t xml:space="preserve"> </w:t>
            </w:r>
            <w:r w:rsidRPr="00F210E7">
              <w:rPr>
                <w:rFonts w:eastAsia="Times New Roman" w:cs="Arial"/>
                <w:sz w:val="20"/>
                <w:szCs w:val="24"/>
                <w:lang w:eastAsia="cs-CZ"/>
              </w:rPr>
              <w:t>3.</w:t>
            </w:r>
            <w:r>
              <w:rPr>
                <w:rFonts w:eastAsia="Times New Roman" w:cs="Arial"/>
                <w:sz w:val="20"/>
                <w:szCs w:val="24"/>
                <w:lang w:eastAsia="cs-CZ"/>
              </w:rPr>
              <w:t xml:space="preserve"> </w:t>
            </w:r>
            <w:r w:rsidRPr="00F210E7">
              <w:rPr>
                <w:rFonts w:eastAsia="Times New Roman" w:cs="Arial"/>
                <w:sz w:val="20"/>
                <w:szCs w:val="24"/>
                <w:lang w:eastAsia="cs-CZ"/>
              </w:rPr>
              <w:t>2018). S účinností od 22. 1. 2018 vešla v platnost Směrnice monitoringu trhu práce</w:t>
            </w:r>
            <w:r>
              <w:rPr>
                <w:rFonts w:eastAsia="Times New Roman" w:cs="Arial"/>
                <w:sz w:val="20"/>
                <w:szCs w:val="24"/>
                <w:lang w:eastAsia="cs-CZ"/>
              </w:rPr>
              <w:t xml:space="preserve"> </w:t>
            </w:r>
            <w:r w:rsidRPr="00F210E7">
              <w:rPr>
                <w:rFonts w:eastAsia="Times New Roman" w:cs="Arial"/>
                <w:sz w:val="20"/>
                <w:szCs w:val="24"/>
                <w:lang w:eastAsia="cs-CZ"/>
              </w:rPr>
              <w:t>a spolupráce se zaměstnavateli, kter</w:t>
            </w:r>
            <w:r>
              <w:rPr>
                <w:rFonts w:eastAsia="Times New Roman" w:cs="Arial"/>
                <w:sz w:val="20"/>
                <w:szCs w:val="24"/>
                <w:lang w:eastAsia="cs-CZ"/>
              </w:rPr>
              <w:t>á</w:t>
            </w:r>
            <w:r w:rsidRPr="00F210E7">
              <w:rPr>
                <w:rFonts w:eastAsia="Times New Roman" w:cs="Arial"/>
                <w:sz w:val="20"/>
                <w:szCs w:val="24"/>
                <w:lang w:eastAsia="cs-CZ"/>
              </w:rPr>
              <w:t xml:space="preserve"> byla zpracována se zřetelem na potřeby projektu KOMPAS. Součástí metodiky je i nový monitorovací dotazník. </w:t>
            </w:r>
            <w:r>
              <w:rPr>
                <w:rFonts w:eastAsia="Times New Roman" w:cs="Arial"/>
                <w:sz w:val="20"/>
                <w:szCs w:val="24"/>
                <w:lang w:eastAsia="cs-CZ"/>
              </w:rPr>
              <w:t xml:space="preserve">GŘ </w:t>
            </w:r>
            <w:r w:rsidRPr="00F210E7">
              <w:rPr>
                <w:rFonts w:eastAsia="Times New Roman" w:cs="Arial"/>
                <w:sz w:val="20"/>
                <w:szCs w:val="24"/>
                <w:lang w:eastAsia="cs-CZ"/>
              </w:rPr>
              <w:t>ÚP ČR zpracoval</w:t>
            </w:r>
            <w:r>
              <w:rPr>
                <w:rFonts w:eastAsia="Times New Roman" w:cs="Arial"/>
                <w:sz w:val="20"/>
                <w:szCs w:val="24"/>
                <w:lang w:eastAsia="cs-CZ"/>
              </w:rPr>
              <w:t>o</w:t>
            </w:r>
            <w:r w:rsidRPr="00F210E7">
              <w:rPr>
                <w:rFonts w:eastAsia="Times New Roman" w:cs="Arial"/>
                <w:sz w:val="20"/>
                <w:szCs w:val="24"/>
                <w:lang w:eastAsia="cs-CZ"/>
              </w:rPr>
              <w:t xml:space="preserve"> Sdělení ředitele Odboru zaměstnanosti č. 7/2018 účinného od 1. 2. 201</w:t>
            </w:r>
            <w:r>
              <w:rPr>
                <w:rFonts w:eastAsia="Times New Roman" w:cs="Arial"/>
                <w:sz w:val="20"/>
                <w:szCs w:val="24"/>
                <w:lang w:eastAsia="cs-CZ"/>
              </w:rPr>
              <w:t>8</w:t>
            </w:r>
            <w:r w:rsidRPr="00F210E7">
              <w:rPr>
                <w:rFonts w:eastAsia="Times New Roman" w:cs="Arial"/>
                <w:sz w:val="20"/>
                <w:szCs w:val="24"/>
                <w:lang w:eastAsia="cs-CZ"/>
              </w:rPr>
              <w:t xml:space="preserve">. Sdělení především vymezuje činnost </w:t>
            </w:r>
            <w:r w:rsidR="00820FB7">
              <w:rPr>
                <w:rFonts w:eastAsia="Times New Roman" w:cs="Arial"/>
                <w:sz w:val="20"/>
                <w:szCs w:val="24"/>
                <w:lang w:eastAsia="cs-CZ"/>
              </w:rPr>
              <w:t>experta ÚP ČR projektu KOMPAS a </w:t>
            </w:r>
            <w:r w:rsidRPr="00F210E7">
              <w:rPr>
                <w:rFonts w:eastAsia="Times New Roman" w:cs="Arial"/>
                <w:sz w:val="20"/>
                <w:szCs w:val="24"/>
                <w:lang w:eastAsia="cs-CZ"/>
              </w:rPr>
              <w:t>jeho spolupráci s příslušnou krajskou platformou. Pravidelně probíhají schůzky realizačních týmů na půdě MPSV za účasti zástupců ÚP ČR. MPSV připravuje výběrové řízení na vzdělávání expertů projektu, ke kterému se bude ÚP ČR připojovat</w:t>
            </w:r>
            <w:r>
              <w:rPr>
                <w:rFonts w:eastAsia="Times New Roman" w:cs="Arial"/>
                <w:sz w:val="20"/>
                <w:szCs w:val="24"/>
                <w:lang w:eastAsia="cs-CZ"/>
              </w:rPr>
              <w:t>.</w:t>
            </w:r>
          </w:p>
          <w:p w:rsidR="00552917" w:rsidRPr="00C24955" w:rsidRDefault="00552917" w:rsidP="00D7624A">
            <w:pPr>
              <w:spacing w:after="0"/>
              <w:rPr>
                <w:rFonts w:eastAsia="Times New Roman" w:cs="Arial"/>
                <w:color w:val="000000"/>
                <w:sz w:val="20"/>
                <w:szCs w:val="24"/>
                <w:lang w:eastAsia="cs-CZ"/>
              </w:rPr>
            </w:pPr>
            <w:r>
              <w:rPr>
                <w:rFonts w:eastAsia="Times New Roman" w:cs="Arial"/>
                <w:color w:val="000000"/>
                <w:sz w:val="20"/>
                <w:szCs w:val="24"/>
                <w:lang w:eastAsia="cs-CZ"/>
              </w:rPr>
              <w:t xml:space="preserve">Byla zahájena příprava projektu </w:t>
            </w:r>
            <w:r w:rsidRPr="00552917">
              <w:rPr>
                <w:rFonts w:eastAsia="Times New Roman" w:cs="Arial"/>
                <w:color w:val="000000"/>
                <w:sz w:val="20"/>
                <w:szCs w:val="24"/>
                <w:lang w:eastAsia="cs-CZ"/>
              </w:rPr>
              <w:t>Mapování budoucích kompetencí jako součást systémových opatření pro vymezení požadavků trhu práce – Kompetence 4.0“</w:t>
            </w:r>
            <w:r>
              <w:rPr>
                <w:rFonts w:eastAsia="Times New Roman" w:cs="Arial"/>
                <w:color w:val="000000"/>
                <w:sz w:val="20"/>
                <w:szCs w:val="24"/>
                <w:lang w:eastAsia="cs-CZ"/>
              </w:rPr>
              <w:t xml:space="preserve">, </w:t>
            </w:r>
            <w:r w:rsidRPr="00663DB8">
              <w:rPr>
                <w:rFonts w:eastAsia="Times New Roman" w:cs="Arial"/>
                <w:color w:val="000000" w:themeColor="text1"/>
                <w:sz w:val="20"/>
                <w:szCs w:val="20"/>
              </w:rPr>
              <w:t>jehož předmětem je mapování budoucích kompetencí v 10 vybraných sektorech trhu práce – sektorových kompetenčních modelů – ve 4 krajích, kterých se aktuálně nejvíce dotýkají předpokládané změny vyžadující nezbytnou úzkou spolupráci a partnerství firem a škol při zajištění vzájemné komplementarity z hlediska potřeb pracovního trhu.</w:t>
            </w:r>
          </w:p>
        </w:tc>
      </w:tr>
      <w:tr w:rsidR="00606D2C" w:rsidRPr="002C70E1" w:rsidTr="00820FB7">
        <w:trPr>
          <w:trHeight w:val="285"/>
        </w:trPr>
        <w:tc>
          <w:tcPr>
            <w:tcW w:w="590" w:type="dxa"/>
            <w:tcBorders>
              <w:top w:val="single" w:sz="8" w:space="0" w:color="auto"/>
              <w:left w:val="single" w:sz="8" w:space="0" w:color="auto"/>
              <w:bottom w:val="single" w:sz="4" w:space="0" w:color="auto"/>
              <w:right w:val="single" w:sz="12" w:space="0" w:color="auto"/>
            </w:tcBorders>
            <w:shd w:val="clear" w:color="000000" w:fill="E4DFEC"/>
            <w:noWrap/>
            <w:vAlign w:val="bottom"/>
            <w:hideMark/>
          </w:tcPr>
          <w:p w:rsidR="00606D2C" w:rsidRPr="002C70E1" w:rsidRDefault="00606D2C" w:rsidP="00972C41">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4.4</w:t>
            </w:r>
          </w:p>
        </w:tc>
        <w:tc>
          <w:tcPr>
            <w:tcW w:w="771" w:type="dxa"/>
            <w:gridSpan w:val="3"/>
            <w:tcBorders>
              <w:top w:val="single" w:sz="12" w:space="0" w:color="auto"/>
              <w:left w:val="single" w:sz="12" w:space="0" w:color="auto"/>
              <w:bottom w:val="single" w:sz="12" w:space="0" w:color="auto"/>
              <w:right w:val="nil"/>
            </w:tcBorders>
            <w:shd w:val="clear" w:color="auto" w:fill="auto"/>
            <w:noWrap/>
            <w:vAlign w:val="bottom"/>
            <w:hideMark/>
          </w:tcPr>
          <w:p w:rsidR="00606D2C" w:rsidRPr="002C70E1" w:rsidRDefault="00606D2C" w:rsidP="00972C41">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T:</w:t>
            </w:r>
          </w:p>
        </w:tc>
        <w:tc>
          <w:tcPr>
            <w:tcW w:w="2344" w:type="dxa"/>
            <w:gridSpan w:val="2"/>
            <w:tcBorders>
              <w:top w:val="single" w:sz="12" w:space="0" w:color="auto"/>
              <w:left w:val="nil"/>
              <w:bottom w:val="single" w:sz="12" w:space="0" w:color="auto"/>
              <w:right w:val="nil"/>
            </w:tcBorders>
            <w:shd w:val="clear" w:color="auto" w:fill="auto"/>
            <w:noWrap/>
            <w:vAlign w:val="bottom"/>
            <w:hideMark/>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průběžně</w:t>
            </w:r>
          </w:p>
        </w:tc>
        <w:tc>
          <w:tcPr>
            <w:tcW w:w="1140" w:type="dxa"/>
            <w:gridSpan w:val="2"/>
            <w:tcBorders>
              <w:top w:val="single" w:sz="12" w:space="0" w:color="auto"/>
              <w:left w:val="single" w:sz="12" w:space="0" w:color="auto"/>
              <w:bottom w:val="single" w:sz="12" w:space="0" w:color="auto"/>
              <w:right w:val="nil"/>
            </w:tcBorders>
            <w:shd w:val="clear" w:color="auto" w:fill="auto"/>
            <w:noWrap/>
            <w:vAlign w:val="bottom"/>
            <w:hideMark/>
          </w:tcPr>
          <w:p w:rsidR="00606D2C" w:rsidRPr="002C70E1" w:rsidRDefault="00606D2C" w:rsidP="00972C41">
            <w:pPr>
              <w:spacing w:before="0" w:after="0"/>
              <w:jc w:val="right"/>
              <w:rPr>
                <w:rFonts w:eastAsia="Times New Roman" w:cs="Arial"/>
                <w:b/>
                <w:bCs/>
                <w:color w:val="000000"/>
                <w:sz w:val="20"/>
                <w:szCs w:val="24"/>
                <w:lang w:eastAsia="cs-CZ"/>
              </w:rPr>
            </w:pPr>
            <w:r w:rsidRPr="002C70E1">
              <w:rPr>
                <w:rFonts w:eastAsia="Times New Roman" w:cs="Arial"/>
                <w:b/>
                <w:bCs/>
                <w:color w:val="000000"/>
                <w:sz w:val="20"/>
                <w:szCs w:val="24"/>
                <w:lang w:eastAsia="cs-CZ"/>
              </w:rPr>
              <w:t>gesce:</w:t>
            </w:r>
          </w:p>
        </w:tc>
        <w:tc>
          <w:tcPr>
            <w:tcW w:w="1024" w:type="dxa"/>
            <w:gridSpan w:val="2"/>
            <w:tcBorders>
              <w:top w:val="single" w:sz="12" w:space="0" w:color="auto"/>
              <w:left w:val="nil"/>
              <w:bottom w:val="single" w:sz="12" w:space="0" w:color="auto"/>
              <w:right w:val="single" w:sz="12" w:space="0" w:color="auto"/>
            </w:tcBorders>
            <w:shd w:val="clear" w:color="auto" w:fill="auto"/>
            <w:noWrap/>
            <w:vAlign w:val="bottom"/>
            <w:hideMark/>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 MPSV</w:t>
            </w:r>
          </w:p>
        </w:tc>
        <w:tc>
          <w:tcPr>
            <w:tcW w:w="3609" w:type="dxa"/>
            <w:gridSpan w:val="2"/>
            <w:tcBorders>
              <w:top w:val="single" w:sz="8" w:space="0" w:color="auto"/>
              <w:left w:val="nil"/>
              <w:right w:val="single" w:sz="12" w:space="0" w:color="auto"/>
            </w:tcBorders>
            <w:shd w:val="clear" w:color="auto" w:fill="auto"/>
            <w:noWrap/>
            <w:vAlign w:val="bottom"/>
          </w:tcPr>
          <w:p w:rsidR="00606D2C" w:rsidRPr="002C70E1" w:rsidRDefault="00606D2C" w:rsidP="00972C41">
            <w:pPr>
              <w:spacing w:before="0" w:after="0"/>
              <w:jc w:val="right"/>
              <w:rPr>
                <w:rFonts w:eastAsia="Times New Roman" w:cs="Arial"/>
                <w:color w:val="000000"/>
                <w:sz w:val="20"/>
                <w:szCs w:val="24"/>
                <w:lang w:eastAsia="cs-CZ"/>
              </w:rPr>
            </w:pPr>
          </w:p>
        </w:tc>
        <w:tc>
          <w:tcPr>
            <w:tcW w:w="1616" w:type="dxa"/>
            <w:gridSpan w:val="2"/>
            <w:tcBorders>
              <w:top w:val="single" w:sz="12" w:space="0" w:color="auto"/>
              <w:left w:val="single" w:sz="12" w:space="0" w:color="auto"/>
              <w:bottom w:val="single" w:sz="12" w:space="0" w:color="auto"/>
            </w:tcBorders>
            <w:shd w:val="clear" w:color="auto" w:fill="auto"/>
            <w:noWrap/>
            <w:vAlign w:val="bottom"/>
          </w:tcPr>
          <w:p w:rsidR="00606D2C" w:rsidRPr="002C70E1" w:rsidRDefault="00606D2C" w:rsidP="00972C41">
            <w:pPr>
              <w:spacing w:before="0" w:after="0"/>
              <w:jc w:val="right"/>
              <w:rPr>
                <w:rFonts w:eastAsia="Times New Roman" w:cs="Arial"/>
                <w:b/>
                <w:color w:val="000000"/>
                <w:sz w:val="20"/>
                <w:szCs w:val="24"/>
                <w:lang w:eastAsia="cs-CZ"/>
              </w:rPr>
            </w:pPr>
            <w:r w:rsidRPr="002C70E1">
              <w:rPr>
                <w:rFonts w:eastAsia="Times New Roman" w:cs="Arial"/>
                <w:b/>
                <w:color w:val="000000"/>
                <w:sz w:val="20"/>
                <w:szCs w:val="24"/>
                <w:lang w:eastAsia="cs-CZ"/>
              </w:rPr>
              <w:t>Povaha</w:t>
            </w:r>
          </w:p>
        </w:tc>
        <w:tc>
          <w:tcPr>
            <w:tcW w:w="3003" w:type="dxa"/>
            <w:tcBorders>
              <w:top w:val="single" w:sz="12" w:space="0" w:color="auto"/>
              <w:bottom w:val="single" w:sz="12" w:space="0" w:color="auto"/>
              <w:right w:val="single" w:sz="12" w:space="0" w:color="auto"/>
            </w:tcBorders>
            <w:shd w:val="clear" w:color="auto" w:fill="auto"/>
            <w:noWrap/>
            <w:vAlign w:val="bottom"/>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N</w:t>
            </w:r>
          </w:p>
        </w:tc>
      </w:tr>
      <w:tr w:rsidR="00606D2C" w:rsidRPr="002C70E1" w:rsidTr="00820FB7">
        <w:trPr>
          <w:trHeight w:val="285"/>
        </w:trPr>
        <w:tc>
          <w:tcPr>
            <w:tcW w:w="590" w:type="dxa"/>
            <w:vMerge w:val="restart"/>
            <w:tcBorders>
              <w:top w:val="nil"/>
              <w:left w:val="single" w:sz="8" w:space="0" w:color="auto"/>
              <w:bottom w:val="single" w:sz="8" w:space="0" w:color="000000"/>
              <w:right w:val="single" w:sz="8" w:space="0" w:color="auto"/>
            </w:tcBorders>
            <w:shd w:val="clear" w:color="000000" w:fill="E4DFEC"/>
            <w:noWrap/>
            <w:textDirection w:val="btLr"/>
            <w:vAlign w:val="center"/>
            <w:hideMark/>
          </w:tcPr>
          <w:p w:rsidR="00606D2C" w:rsidRPr="002C70E1" w:rsidRDefault="00606D2C" w:rsidP="00972C41">
            <w:pPr>
              <w:spacing w:before="0" w:after="0"/>
              <w:jc w:val="center"/>
              <w:rPr>
                <w:rFonts w:eastAsia="Times New Roman" w:cs="Arial"/>
                <w:b/>
                <w:bCs/>
                <w:color w:val="000000"/>
                <w:sz w:val="20"/>
                <w:szCs w:val="24"/>
                <w:lang w:eastAsia="cs-CZ"/>
              </w:rPr>
            </w:pPr>
            <w:r w:rsidRPr="002C70E1">
              <w:rPr>
                <w:rFonts w:eastAsia="Times New Roman" w:cs="Arial"/>
                <w:b/>
                <w:bCs/>
                <w:color w:val="000000"/>
                <w:sz w:val="20"/>
                <w:szCs w:val="24"/>
                <w:lang w:eastAsia="cs-CZ"/>
              </w:rPr>
              <w:t>Spolupráce na trhu práce</w:t>
            </w:r>
          </w:p>
        </w:tc>
        <w:tc>
          <w:tcPr>
            <w:tcW w:w="3115" w:type="dxa"/>
            <w:gridSpan w:val="5"/>
            <w:tcBorders>
              <w:top w:val="single" w:sz="12" w:space="0" w:color="auto"/>
              <w:left w:val="nil"/>
            </w:tcBorders>
            <w:shd w:val="clear" w:color="auto" w:fill="auto"/>
            <w:noWrap/>
            <w:vAlign w:val="bottom"/>
          </w:tcPr>
          <w:p w:rsidR="00606D2C" w:rsidRPr="002C70E1" w:rsidRDefault="00606D2C" w:rsidP="00972C41">
            <w:pPr>
              <w:spacing w:before="0" w:after="0"/>
              <w:jc w:val="right"/>
              <w:rPr>
                <w:rFonts w:eastAsia="Times New Roman" w:cs="Arial"/>
                <w:b/>
                <w:bCs/>
                <w:color w:val="000000"/>
                <w:sz w:val="20"/>
                <w:szCs w:val="24"/>
                <w:lang w:eastAsia="cs-CZ"/>
              </w:rPr>
            </w:pPr>
          </w:p>
        </w:tc>
        <w:tc>
          <w:tcPr>
            <w:tcW w:w="1140" w:type="dxa"/>
            <w:gridSpan w:val="2"/>
            <w:tcBorders>
              <w:top w:val="single" w:sz="8" w:space="0" w:color="auto"/>
            </w:tcBorders>
            <w:shd w:val="clear" w:color="auto" w:fill="auto"/>
            <w:noWrap/>
            <w:vAlign w:val="bottom"/>
          </w:tcPr>
          <w:p w:rsidR="00606D2C" w:rsidRPr="002C70E1" w:rsidRDefault="00606D2C" w:rsidP="00972C41">
            <w:pPr>
              <w:spacing w:before="0" w:after="0"/>
              <w:jc w:val="center"/>
              <w:rPr>
                <w:rFonts w:eastAsia="Times New Roman" w:cs="Arial"/>
                <w:b/>
                <w:bCs/>
                <w:color w:val="000000"/>
                <w:sz w:val="20"/>
                <w:szCs w:val="24"/>
                <w:lang w:eastAsia="cs-CZ"/>
              </w:rPr>
            </w:pPr>
          </w:p>
        </w:tc>
        <w:tc>
          <w:tcPr>
            <w:tcW w:w="4633" w:type="dxa"/>
            <w:gridSpan w:val="4"/>
            <w:shd w:val="clear" w:color="auto" w:fill="auto"/>
            <w:noWrap/>
            <w:vAlign w:val="center"/>
            <w:hideMark/>
          </w:tcPr>
          <w:p w:rsidR="00606D2C" w:rsidRPr="002C70E1" w:rsidRDefault="00606D2C" w:rsidP="00972C41">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Popis</w:t>
            </w:r>
          </w:p>
        </w:tc>
        <w:tc>
          <w:tcPr>
            <w:tcW w:w="1616" w:type="dxa"/>
            <w:gridSpan w:val="2"/>
            <w:tcBorders>
              <w:top w:val="single" w:sz="12" w:space="0" w:color="auto"/>
            </w:tcBorders>
            <w:shd w:val="clear" w:color="auto" w:fill="auto"/>
            <w:noWrap/>
            <w:vAlign w:val="center"/>
          </w:tcPr>
          <w:p w:rsidR="00606D2C" w:rsidRPr="002C70E1" w:rsidRDefault="00606D2C" w:rsidP="00972C41">
            <w:pPr>
              <w:spacing w:before="0" w:after="0"/>
              <w:jc w:val="center"/>
              <w:rPr>
                <w:rFonts w:eastAsia="Times New Roman" w:cs="Arial"/>
                <w:b/>
                <w:bCs/>
                <w:color w:val="000000"/>
                <w:sz w:val="20"/>
                <w:szCs w:val="24"/>
                <w:u w:val="single"/>
                <w:lang w:eastAsia="cs-CZ"/>
              </w:rPr>
            </w:pPr>
          </w:p>
        </w:tc>
        <w:tc>
          <w:tcPr>
            <w:tcW w:w="3003" w:type="dxa"/>
            <w:tcBorders>
              <w:top w:val="single" w:sz="12" w:space="0" w:color="auto"/>
              <w:right w:val="single" w:sz="8" w:space="0" w:color="auto"/>
            </w:tcBorders>
            <w:shd w:val="clear" w:color="auto" w:fill="auto"/>
            <w:noWrap/>
            <w:vAlign w:val="center"/>
          </w:tcPr>
          <w:p w:rsidR="00606D2C" w:rsidRPr="002C70E1" w:rsidRDefault="00606D2C" w:rsidP="00972C41">
            <w:pPr>
              <w:spacing w:before="0" w:after="0"/>
              <w:jc w:val="center"/>
              <w:rPr>
                <w:rFonts w:eastAsia="Times New Roman" w:cs="Arial"/>
                <w:b/>
                <w:bCs/>
                <w:color w:val="000000"/>
                <w:sz w:val="20"/>
                <w:szCs w:val="24"/>
                <w:u w:val="single"/>
                <w:lang w:eastAsia="cs-CZ"/>
              </w:rPr>
            </w:pPr>
          </w:p>
        </w:tc>
      </w:tr>
      <w:tr w:rsidR="00606D2C" w:rsidRPr="002C70E1" w:rsidTr="00820FB7">
        <w:trPr>
          <w:trHeight w:val="1365"/>
        </w:trPr>
        <w:tc>
          <w:tcPr>
            <w:tcW w:w="590"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13507" w:type="dxa"/>
            <w:gridSpan w:val="14"/>
            <w:tcBorders>
              <w:left w:val="nil"/>
              <w:bottom w:val="double" w:sz="6" w:space="0" w:color="auto"/>
              <w:right w:val="single" w:sz="8" w:space="0" w:color="000000"/>
            </w:tcBorders>
            <w:shd w:val="clear" w:color="auto" w:fill="auto"/>
            <w:hideMark/>
          </w:tcPr>
          <w:p w:rsidR="00606D2C" w:rsidRPr="002C70E1" w:rsidRDefault="00606D2C" w:rsidP="00972C41">
            <w:pPr>
              <w:spacing w:before="0" w:after="0"/>
              <w:rPr>
                <w:rFonts w:eastAsia="Times New Roman" w:cs="Arial"/>
                <w:color w:val="000000"/>
                <w:sz w:val="20"/>
                <w:szCs w:val="24"/>
                <w:lang w:eastAsia="cs-CZ"/>
              </w:rPr>
            </w:pPr>
            <w:r w:rsidRPr="002C70E1">
              <w:rPr>
                <w:rFonts w:eastAsia="Times New Roman" w:cs="Arial"/>
                <w:color w:val="000000"/>
                <w:sz w:val="20"/>
                <w:szCs w:val="24"/>
                <w:lang w:eastAsia="cs-CZ"/>
              </w:rPr>
              <w:t>Spolupráce všech zúčastněných aktérů trhu práce (státní správy, zaměstnavatelů, samosprávy, zástupců zaměstnanců, vzdělávacích institucí, nestátních neziskových organizací a dalších aktérů ovlivňujících trh práce) je zcela nezbytným předpokladem k realizaci významné části výše uvedených opatření. Ze strany státní správy bude zaměstnavatelům poskytnuta maximální možná podpora při podpoře zaměstnanosti a kvalifikace pracovní síly, zejména ve prospěch znevýhodněných skupin osob. Primární platformou pro posilování spolupráce na trhu práce, zejména v oblasti realizace politiky zaměstnanosti, jsou poradní sbory zřizované ÚP ČR podle zákona o zaměstnanosti.</w:t>
            </w:r>
          </w:p>
        </w:tc>
      </w:tr>
      <w:tr w:rsidR="00606D2C" w:rsidRPr="002C70E1" w:rsidTr="00820FB7">
        <w:trPr>
          <w:trHeight w:val="285"/>
        </w:trPr>
        <w:tc>
          <w:tcPr>
            <w:tcW w:w="590" w:type="dxa"/>
            <w:vMerge/>
            <w:tcBorders>
              <w:top w:val="nil"/>
              <w:left w:val="single" w:sz="8" w:space="0" w:color="auto"/>
              <w:bottom w:val="single" w:sz="8" w:space="0" w:color="000000"/>
              <w:right w:val="double" w:sz="6"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771" w:type="dxa"/>
            <w:gridSpan w:val="3"/>
            <w:tcBorders>
              <w:top w:val="double" w:sz="6" w:space="0" w:color="auto"/>
              <w:left w:val="double" w:sz="6" w:space="0" w:color="auto"/>
              <w:bottom w:val="double" w:sz="6" w:space="0" w:color="auto"/>
              <w:right w:val="nil"/>
            </w:tcBorders>
            <w:shd w:val="clear" w:color="000000" w:fill="D8E4BC"/>
            <w:noWrap/>
            <w:vAlign w:val="bottom"/>
            <w:hideMark/>
          </w:tcPr>
          <w:p w:rsidR="00606D2C" w:rsidRPr="002C70E1" w:rsidRDefault="00606D2C" w:rsidP="00972C41">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stav</w:t>
            </w:r>
          </w:p>
        </w:tc>
        <w:tc>
          <w:tcPr>
            <w:tcW w:w="3484" w:type="dxa"/>
            <w:gridSpan w:val="4"/>
            <w:tcBorders>
              <w:top w:val="double" w:sz="6" w:space="0" w:color="auto"/>
              <w:left w:val="nil"/>
              <w:bottom w:val="double" w:sz="6" w:space="0" w:color="auto"/>
              <w:right w:val="double" w:sz="6" w:space="0" w:color="auto"/>
            </w:tcBorders>
            <w:shd w:val="clear" w:color="000000" w:fill="D8E4BC"/>
            <w:vAlign w:val="bottom"/>
            <w:hideMark/>
          </w:tcPr>
          <w:p w:rsidR="00606D2C" w:rsidRPr="002C70E1" w:rsidRDefault="00606D2C" w:rsidP="00972C41">
            <w:pPr>
              <w:spacing w:before="0" w:after="0"/>
              <w:jc w:val="left"/>
              <w:rPr>
                <w:rFonts w:eastAsia="Times New Roman" w:cs="Arial"/>
                <w:b/>
                <w:bCs/>
                <w:color w:val="000000"/>
                <w:sz w:val="20"/>
                <w:szCs w:val="24"/>
                <w:lang w:eastAsia="cs-CZ"/>
              </w:rPr>
            </w:pPr>
            <w:r w:rsidRPr="002C70E1">
              <w:rPr>
                <w:rFonts w:eastAsia="Times New Roman" w:cs="Arial"/>
                <w:b/>
                <w:bCs/>
                <w:color w:val="000000"/>
                <w:sz w:val="20"/>
                <w:szCs w:val="24"/>
                <w:lang w:eastAsia="cs-CZ"/>
              </w:rPr>
              <w:t>Průběžně plněno</w:t>
            </w:r>
          </w:p>
        </w:tc>
        <w:tc>
          <w:tcPr>
            <w:tcW w:w="4633" w:type="dxa"/>
            <w:gridSpan w:val="4"/>
            <w:tcBorders>
              <w:top w:val="double" w:sz="6" w:space="0" w:color="auto"/>
              <w:left w:val="double" w:sz="6" w:space="0" w:color="auto"/>
              <w:bottom w:val="nil"/>
            </w:tcBorders>
            <w:shd w:val="clear" w:color="auto" w:fill="auto"/>
            <w:vAlign w:val="center"/>
            <w:hideMark/>
          </w:tcPr>
          <w:p w:rsidR="00606D2C" w:rsidRPr="002C70E1" w:rsidRDefault="00606D2C" w:rsidP="00972C41">
            <w:pPr>
              <w:spacing w:before="0" w:after="0"/>
              <w:jc w:val="center"/>
              <w:rPr>
                <w:rFonts w:eastAsia="Times New Roman" w:cs="Arial"/>
                <w:b/>
                <w:bCs/>
                <w:color w:val="000000"/>
                <w:sz w:val="20"/>
                <w:szCs w:val="24"/>
                <w:u w:val="single"/>
                <w:lang w:eastAsia="cs-CZ"/>
              </w:rPr>
            </w:pPr>
            <w:r w:rsidRPr="002C70E1">
              <w:rPr>
                <w:rFonts w:eastAsia="Times New Roman" w:cs="Arial"/>
                <w:b/>
                <w:bCs/>
                <w:color w:val="000000"/>
                <w:sz w:val="20"/>
                <w:szCs w:val="24"/>
                <w:u w:val="single"/>
                <w:lang w:eastAsia="cs-CZ"/>
              </w:rPr>
              <w:t>Plnění</w:t>
            </w:r>
          </w:p>
        </w:tc>
        <w:tc>
          <w:tcPr>
            <w:tcW w:w="1616" w:type="dxa"/>
            <w:gridSpan w:val="2"/>
            <w:tcBorders>
              <w:top w:val="nil"/>
              <w:right w:val="nil"/>
            </w:tcBorders>
            <w:shd w:val="clear" w:color="auto" w:fill="auto"/>
            <w:vAlign w:val="center"/>
          </w:tcPr>
          <w:p w:rsidR="00606D2C" w:rsidRPr="002C70E1" w:rsidRDefault="00606D2C" w:rsidP="00972C41">
            <w:pPr>
              <w:spacing w:before="0" w:after="0"/>
              <w:jc w:val="right"/>
              <w:rPr>
                <w:rFonts w:eastAsia="Times New Roman" w:cs="Arial"/>
                <w:color w:val="000000"/>
                <w:sz w:val="20"/>
                <w:szCs w:val="24"/>
                <w:lang w:eastAsia="cs-CZ"/>
              </w:rPr>
            </w:pPr>
          </w:p>
        </w:tc>
        <w:tc>
          <w:tcPr>
            <w:tcW w:w="3003" w:type="dxa"/>
            <w:tcBorders>
              <w:top w:val="nil"/>
              <w:left w:val="nil"/>
              <w:right w:val="single" w:sz="8" w:space="0" w:color="auto"/>
            </w:tcBorders>
            <w:shd w:val="clear" w:color="auto" w:fill="auto"/>
            <w:vAlign w:val="center"/>
          </w:tcPr>
          <w:p w:rsidR="00606D2C" w:rsidRPr="002C70E1" w:rsidRDefault="00606D2C" w:rsidP="00972C41">
            <w:pPr>
              <w:spacing w:before="0" w:after="0"/>
              <w:jc w:val="center"/>
              <w:rPr>
                <w:rFonts w:eastAsia="Times New Roman" w:cs="Arial"/>
                <w:b/>
                <w:bCs/>
                <w:color w:val="000000"/>
                <w:sz w:val="20"/>
                <w:szCs w:val="24"/>
                <w:u w:val="single"/>
                <w:lang w:eastAsia="cs-CZ"/>
              </w:rPr>
            </w:pPr>
          </w:p>
        </w:tc>
      </w:tr>
      <w:tr w:rsidR="00606D2C" w:rsidRPr="002C70E1" w:rsidTr="00820FB7">
        <w:trPr>
          <w:trHeight w:val="1287"/>
        </w:trPr>
        <w:tc>
          <w:tcPr>
            <w:tcW w:w="590"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771" w:type="dxa"/>
            <w:gridSpan w:val="3"/>
            <w:tcBorders>
              <w:top w:val="nil"/>
              <w:left w:val="nil"/>
              <w:bottom w:val="nil"/>
              <w:right w:val="single" w:sz="4" w:space="0" w:color="auto"/>
            </w:tcBorders>
            <w:shd w:val="clear" w:color="auto" w:fill="auto"/>
            <w:textDirection w:val="btLr"/>
            <w:vAlign w:val="center"/>
            <w:hideMark/>
          </w:tcPr>
          <w:p w:rsidR="00606D2C" w:rsidRPr="002C70E1" w:rsidRDefault="00606D2C" w:rsidP="00972C41">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minulé</w:t>
            </w:r>
          </w:p>
        </w:tc>
        <w:tc>
          <w:tcPr>
            <w:tcW w:w="12736" w:type="dxa"/>
            <w:gridSpan w:val="11"/>
            <w:tcBorders>
              <w:top w:val="nil"/>
              <w:left w:val="nil"/>
              <w:bottom w:val="nil"/>
              <w:right w:val="single" w:sz="8" w:space="0" w:color="000000"/>
            </w:tcBorders>
            <w:shd w:val="clear" w:color="auto" w:fill="auto"/>
            <w:hideMark/>
          </w:tcPr>
          <w:p w:rsidR="00606D2C" w:rsidRPr="002C70E1" w:rsidRDefault="00606D2C" w:rsidP="00972C41">
            <w:pPr>
              <w:spacing w:before="0" w:after="0"/>
              <w:rPr>
                <w:rFonts w:eastAsia="Times New Roman" w:cs="Arial"/>
                <w:color w:val="000000"/>
                <w:sz w:val="20"/>
                <w:szCs w:val="24"/>
                <w:lang w:eastAsia="cs-CZ"/>
              </w:rPr>
            </w:pPr>
            <w:r w:rsidRPr="004E56CF">
              <w:rPr>
                <w:rFonts w:eastAsia="Times New Roman" w:cs="Arial"/>
                <w:sz w:val="20"/>
                <w:szCs w:val="24"/>
                <w:lang w:eastAsia="cs-CZ"/>
              </w:rPr>
              <w:t>Vytváření a upevňování lokálních sítí zaměstnanosti je stále oblast, na kterou se ÚP ČR ve své činnosti zvýšeně zaměřuje. Za první pololetí roku 2017 se realizovalo celkem 77 setkání poradních sborů zřízených pracovišti ÚP ČR. V rámci projektu KOMPAS byla navázána úzká spolupráce mezi krajskými pobočkami ÚP ČR a regionálními partnery, zejména nositeli teritoriálních paktů zaměstnanosti, pro zajištění kvalitnějšího monitoringu trhu práce. Ve výzvě č. 55 OP Z zaměřené na podporu aktivit teritoriálních paktů zaměstnanosti v práci se znevýhodněnými skupinami bylo podpořeno 12 projektů o objemu 107,3 mil. Kč.</w:t>
            </w:r>
          </w:p>
        </w:tc>
      </w:tr>
      <w:tr w:rsidR="00606D2C" w:rsidRPr="002C70E1" w:rsidTr="00820FB7">
        <w:trPr>
          <w:trHeight w:val="1095"/>
        </w:trPr>
        <w:tc>
          <w:tcPr>
            <w:tcW w:w="590" w:type="dxa"/>
            <w:vMerge/>
            <w:tcBorders>
              <w:top w:val="nil"/>
              <w:left w:val="single" w:sz="8" w:space="0" w:color="auto"/>
              <w:bottom w:val="single" w:sz="8" w:space="0" w:color="000000"/>
              <w:right w:val="single" w:sz="8" w:space="0" w:color="auto"/>
            </w:tcBorders>
            <w:vAlign w:val="center"/>
            <w:hideMark/>
          </w:tcPr>
          <w:p w:rsidR="00606D2C" w:rsidRPr="002C70E1" w:rsidRDefault="00606D2C" w:rsidP="00972C41">
            <w:pPr>
              <w:spacing w:before="0" w:after="0"/>
              <w:jc w:val="left"/>
              <w:rPr>
                <w:rFonts w:eastAsia="Times New Roman" w:cs="Arial"/>
                <w:b/>
                <w:bCs/>
                <w:color w:val="000000"/>
                <w:sz w:val="20"/>
                <w:szCs w:val="24"/>
                <w:lang w:eastAsia="cs-CZ"/>
              </w:rPr>
            </w:pPr>
          </w:p>
        </w:tc>
        <w:tc>
          <w:tcPr>
            <w:tcW w:w="771" w:type="dxa"/>
            <w:gridSpan w:val="3"/>
            <w:tcBorders>
              <w:top w:val="single" w:sz="4" w:space="0" w:color="auto"/>
              <w:left w:val="nil"/>
              <w:bottom w:val="single" w:sz="8" w:space="0" w:color="auto"/>
              <w:right w:val="single" w:sz="4" w:space="0" w:color="auto"/>
            </w:tcBorders>
            <w:shd w:val="clear" w:color="auto" w:fill="auto"/>
            <w:textDirection w:val="btLr"/>
            <w:vAlign w:val="center"/>
            <w:hideMark/>
          </w:tcPr>
          <w:p w:rsidR="00606D2C" w:rsidRPr="002C70E1" w:rsidRDefault="00606D2C" w:rsidP="00972C41">
            <w:pPr>
              <w:spacing w:before="0" w:after="0"/>
              <w:jc w:val="center"/>
              <w:rPr>
                <w:rFonts w:eastAsia="Times New Roman" w:cs="Arial"/>
                <w:color w:val="000000"/>
                <w:sz w:val="20"/>
                <w:szCs w:val="24"/>
                <w:lang w:eastAsia="cs-CZ"/>
              </w:rPr>
            </w:pPr>
            <w:r w:rsidRPr="002C70E1">
              <w:rPr>
                <w:rFonts w:eastAsia="Times New Roman" w:cs="Arial"/>
                <w:color w:val="000000"/>
                <w:sz w:val="20"/>
                <w:szCs w:val="24"/>
                <w:lang w:eastAsia="cs-CZ"/>
              </w:rPr>
              <w:t xml:space="preserve">sledované </w:t>
            </w:r>
          </w:p>
        </w:tc>
        <w:tc>
          <w:tcPr>
            <w:tcW w:w="12736" w:type="dxa"/>
            <w:gridSpan w:val="11"/>
            <w:tcBorders>
              <w:top w:val="single" w:sz="4" w:space="0" w:color="auto"/>
              <w:left w:val="nil"/>
              <w:bottom w:val="single" w:sz="8" w:space="0" w:color="auto"/>
              <w:right w:val="single" w:sz="8" w:space="0" w:color="000000"/>
            </w:tcBorders>
            <w:shd w:val="clear" w:color="auto" w:fill="auto"/>
            <w:hideMark/>
          </w:tcPr>
          <w:p w:rsidR="00606D2C" w:rsidRPr="0075662D" w:rsidRDefault="00606D2C" w:rsidP="00972C41">
            <w:pPr>
              <w:spacing w:before="0" w:after="0"/>
              <w:rPr>
                <w:rFonts w:eastAsia="Times New Roman" w:cs="Arial"/>
                <w:sz w:val="20"/>
                <w:szCs w:val="24"/>
                <w:lang w:eastAsia="cs-CZ"/>
              </w:rPr>
            </w:pPr>
            <w:r w:rsidRPr="00411DC1">
              <w:rPr>
                <w:rFonts w:eastAsia="Times New Roman" w:cs="Arial"/>
                <w:sz w:val="20"/>
                <w:szCs w:val="24"/>
                <w:lang w:eastAsia="cs-CZ"/>
              </w:rPr>
              <w:t>V roce 2017 se realizovalo celkem 157 setkání poradních sborů zřízených pracovišti ÚP ČR. Pokračuje spolupráce mezi krajskými pobočkami ÚP ČR a regionálními partnery nositeli teritoriálních paktů zaměstnanosti v rámci projektu KOMPAS, pro zajištění kvalitnějšího monitoringu trhu práce.</w:t>
            </w:r>
            <w:r>
              <w:rPr>
                <w:rFonts w:eastAsia="Times New Roman" w:cs="Arial"/>
                <w:sz w:val="20"/>
                <w:szCs w:val="24"/>
                <w:lang w:eastAsia="cs-CZ"/>
              </w:rPr>
              <w:t xml:space="preserve"> </w:t>
            </w:r>
            <w:r w:rsidRPr="00C24955">
              <w:rPr>
                <w:rFonts w:eastAsia="Times New Roman" w:cs="Arial"/>
                <w:sz w:val="20"/>
                <w:szCs w:val="24"/>
                <w:lang w:eastAsia="cs-CZ"/>
              </w:rPr>
              <w:t xml:space="preserve">V rámci projektu KOMPAS jsou členové realizačního týmu z ÚP ČR seznamováni s potřebami a možnostmi trhu práce, technologickými změnami v ekonomických sektorech a také s konkrétními potřebami aktérů trhu </w:t>
            </w:r>
            <w:r w:rsidR="00E92E45">
              <w:rPr>
                <w:rFonts w:eastAsia="Times New Roman" w:cs="Arial"/>
                <w:sz w:val="20"/>
                <w:szCs w:val="24"/>
                <w:lang w:eastAsia="cs-CZ"/>
              </w:rPr>
              <w:t>práce. Pracuje se na navázání a </w:t>
            </w:r>
            <w:r w:rsidRPr="00C24955">
              <w:rPr>
                <w:rFonts w:eastAsia="Times New Roman" w:cs="Arial"/>
                <w:sz w:val="20"/>
                <w:szCs w:val="24"/>
                <w:lang w:eastAsia="cs-CZ"/>
              </w:rPr>
              <w:t>prohlubování spolupráce v rámci regionálních platforem (úřady práce, kraje, hospodářské komory, pakty zaměstnanosti). Společně probíhá spolupráce se zaměstnavateli, získávají se vypovídající podklady pro mapování situace na trhu práce a potřeb zaměstnavatelů, zejména pokud jde o jejich poptávku po pracovní síle.  Zpracovávají se vstupy pro predikci trhu práce na národní i regionální úrovni. Popisují se potřeby a očekávání uživatelů systému a připravuje se úvodní architektura systému. Realizační tým vývojářů pracuje na dílčích komponentech modelu a zdokonalení existujícího predikčního modelu na národní úrovni.</w:t>
            </w:r>
          </w:p>
        </w:tc>
      </w:tr>
    </w:tbl>
    <w:p w:rsidR="00606D2C" w:rsidRPr="002C70E1" w:rsidRDefault="00606D2C" w:rsidP="00972C41">
      <w:pPr>
        <w:spacing w:before="0" w:after="0"/>
        <w:rPr>
          <w:rFonts w:cs="Arial"/>
          <w:sz w:val="20"/>
          <w:szCs w:val="24"/>
        </w:rPr>
      </w:pPr>
    </w:p>
    <w:p w:rsidR="00606D2C" w:rsidRPr="002C70E1" w:rsidRDefault="00606D2C" w:rsidP="00972C41">
      <w:pPr>
        <w:spacing w:before="0" w:after="0"/>
        <w:rPr>
          <w:sz w:val="20"/>
        </w:rPr>
      </w:pPr>
    </w:p>
    <w:p w:rsidR="0062671F" w:rsidRDefault="0062671F" w:rsidP="00972C41">
      <w:pPr>
        <w:spacing w:before="0" w:after="0"/>
      </w:pPr>
    </w:p>
    <w:p w:rsidR="0062671F" w:rsidRDefault="0062671F" w:rsidP="00972C41">
      <w:pPr>
        <w:spacing w:before="0" w:after="0"/>
      </w:pPr>
    </w:p>
    <w:p w:rsidR="0062671F" w:rsidRDefault="0062671F" w:rsidP="00972C41">
      <w:pPr>
        <w:spacing w:before="0" w:after="0"/>
      </w:pPr>
    </w:p>
    <w:p w:rsidR="0062671F" w:rsidRDefault="0062671F" w:rsidP="00972C41">
      <w:pPr>
        <w:spacing w:before="0" w:after="0"/>
      </w:pPr>
    </w:p>
    <w:sectPr w:rsidR="0062671F" w:rsidSect="009E23B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CBA" w:rsidRDefault="00F41CBA">
      <w:r>
        <w:separator/>
      </w:r>
    </w:p>
  </w:endnote>
  <w:endnote w:type="continuationSeparator" w:id="0">
    <w:p w:rsidR="00F41CBA" w:rsidRDefault="00F4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79904"/>
      <w:docPartObj>
        <w:docPartGallery w:val="Page Numbers (Bottom of Page)"/>
        <w:docPartUnique/>
      </w:docPartObj>
    </w:sdtPr>
    <w:sdtEndPr/>
    <w:sdtContent>
      <w:p w:rsidR="00F41CBA" w:rsidRDefault="00F41CBA">
        <w:pPr>
          <w:pStyle w:val="Zpat"/>
          <w:jc w:val="center"/>
        </w:pPr>
        <w:r>
          <w:fldChar w:fldCharType="begin"/>
        </w:r>
        <w:r>
          <w:instrText>PAGE   \* MERGEFORMAT</w:instrText>
        </w:r>
        <w:r>
          <w:fldChar w:fldCharType="separate"/>
        </w:r>
        <w:r>
          <w:rPr>
            <w:noProof/>
          </w:rPr>
          <w:t>ii</w:t>
        </w:r>
        <w:r>
          <w:fldChar w:fldCharType="end"/>
        </w:r>
      </w:p>
    </w:sdtContent>
  </w:sdt>
  <w:p w:rsidR="00F41CBA" w:rsidRDefault="00F41CB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CBA" w:rsidRDefault="00F41CBA">
    <w:pPr>
      <w:pStyle w:val="Zpat"/>
      <w:jc w:val="center"/>
    </w:pPr>
  </w:p>
  <w:p w:rsidR="00F41CBA" w:rsidRDefault="00F41CB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262462"/>
      <w:docPartObj>
        <w:docPartGallery w:val="Page Numbers (Bottom of Page)"/>
        <w:docPartUnique/>
      </w:docPartObj>
    </w:sdtPr>
    <w:sdtEndPr/>
    <w:sdtContent>
      <w:p w:rsidR="00F41CBA" w:rsidRDefault="00F41CBA">
        <w:pPr>
          <w:pStyle w:val="Zpat"/>
          <w:jc w:val="center"/>
        </w:pPr>
        <w:r>
          <w:fldChar w:fldCharType="begin"/>
        </w:r>
        <w:r>
          <w:instrText>PAGE   \* MERGEFORMAT</w:instrText>
        </w:r>
        <w:r>
          <w:fldChar w:fldCharType="separate"/>
        </w:r>
        <w:r w:rsidR="007B53ED">
          <w:rPr>
            <w:noProof/>
          </w:rPr>
          <w:t>ii</w:t>
        </w:r>
        <w:r>
          <w:fldChar w:fldCharType="end"/>
        </w:r>
      </w:p>
    </w:sdtContent>
  </w:sdt>
  <w:p w:rsidR="00F41CBA" w:rsidRDefault="00F41CBA">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272558"/>
      <w:docPartObj>
        <w:docPartGallery w:val="Page Numbers (Bottom of Page)"/>
        <w:docPartUnique/>
      </w:docPartObj>
    </w:sdtPr>
    <w:sdtEndPr/>
    <w:sdtContent>
      <w:p w:rsidR="00F41CBA" w:rsidRDefault="00F41CBA">
        <w:pPr>
          <w:pStyle w:val="Zpat"/>
          <w:jc w:val="center"/>
        </w:pPr>
        <w:r>
          <w:fldChar w:fldCharType="begin"/>
        </w:r>
        <w:r>
          <w:instrText>PAGE   \* MERGEFORMAT</w:instrText>
        </w:r>
        <w:r>
          <w:fldChar w:fldCharType="separate"/>
        </w:r>
        <w:r w:rsidR="007B53ED">
          <w:rPr>
            <w:noProof/>
          </w:rPr>
          <w:t>52</w:t>
        </w:r>
        <w:r>
          <w:fldChar w:fldCharType="end"/>
        </w:r>
      </w:p>
    </w:sdtContent>
  </w:sdt>
  <w:p w:rsidR="00F41CBA" w:rsidRDefault="00F41CB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CBA" w:rsidRDefault="00F41CBA">
      <w:r>
        <w:separator/>
      </w:r>
    </w:p>
  </w:footnote>
  <w:footnote w:type="continuationSeparator" w:id="0">
    <w:p w:rsidR="00F41CBA" w:rsidRDefault="00F41CBA">
      <w:r>
        <w:continuationSeparator/>
      </w:r>
    </w:p>
  </w:footnote>
  <w:footnote w:id="1">
    <w:p w:rsidR="00F41CBA" w:rsidRDefault="00F41CBA" w:rsidP="00D76028">
      <w:pPr>
        <w:pStyle w:val="Textpoznpodarou"/>
        <w:spacing w:before="0" w:after="0"/>
      </w:pPr>
      <w:r>
        <w:rPr>
          <w:rStyle w:val="Znakapoznpodarou"/>
        </w:rPr>
        <w:footnoteRef/>
      </w:r>
      <w:r>
        <w:t xml:space="preserve"> </w:t>
      </w:r>
      <w:r w:rsidRPr="00D76028">
        <w:t>Přirozená míra nezaměstnanosti je zpravidla uváděna v rozmezí 4 % až 6 %, přičemž pro evropské země se s ohledem na nastavení jejich sociálního systému pohybuje spíše na vyšší hranici.</w:t>
      </w:r>
      <w:r>
        <w:t xml:space="preserve"> Ve 4. čtvrtletí činila obecná míra nezaměstnanosti podle předběžných údajů ČSÚ 2,4 %.</w:t>
      </w:r>
    </w:p>
  </w:footnote>
  <w:footnote w:id="2">
    <w:p w:rsidR="00F41CBA" w:rsidRDefault="00F41CBA" w:rsidP="003D09FA">
      <w:pPr>
        <w:pStyle w:val="Textpoznpodarou"/>
        <w:spacing w:before="0" w:after="0"/>
      </w:pPr>
      <w:r>
        <w:rPr>
          <w:rStyle w:val="Znakapoznpodarou"/>
        </w:rPr>
        <w:footnoteRef/>
      </w:r>
      <w:r>
        <w:t xml:space="preserve"> </w:t>
      </w:r>
      <w:r>
        <w:rPr>
          <w:b/>
          <w:bCs/>
        </w:rPr>
        <w:t xml:space="preserve">Míra volných pracovních míst </w:t>
      </w:r>
      <w:r>
        <w:t xml:space="preserve">představuje podíl volných míst na celkovém počtu obsazených a volných míst. V souladu s doporučením </w:t>
      </w:r>
      <w:proofErr w:type="spellStart"/>
      <w:r>
        <w:t>Eurostatu</w:t>
      </w:r>
      <w:proofErr w:type="spellEnd"/>
      <w:r>
        <w:t xml:space="preserve"> je použita metodika, která do celkového počtu volných míst nezahrnuje místa vznikající u firem či soukromníků, do té doby bez zaměstnanců. Počet volných míst je přebírán ze statistiky MPSV, počet obsazených míst je v podmínkách ČR definován jako součet počtu zaměstnanců a členů produkčních družstev z výběrového šetření pracovních sil.</w:t>
      </w:r>
    </w:p>
  </w:footnote>
  <w:footnote w:id="3">
    <w:p w:rsidR="00F41CBA" w:rsidRDefault="00F41CBA" w:rsidP="003D09FA">
      <w:pPr>
        <w:pStyle w:val="Textpoznpodarou"/>
        <w:spacing w:before="0" w:after="0"/>
      </w:pPr>
      <w:r>
        <w:rPr>
          <w:rStyle w:val="Znakapoznpodarou"/>
        </w:rPr>
        <w:footnoteRef/>
      </w:r>
      <w:r>
        <w:t xml:space="preserve"> zdroj: EUROSTAT</w:t>
      </w:r>
    </w:p>
  </w:footnote>
  <w:footnote w:id="4">
    <w:p w:rsidR="00F41CBA" w:rsidRDefault="00F41CBA" w:rsidP="003D09FA">
      <w:pPr>
        <w:pStyle w:val="Textpoznpodarou"/>
        <w:spacing w:before="0" w:after="0"/>
      </w:pPr>
      <w:r>
        <w:rPr>
          <w:rStyle w:val="Znakapoznpodarou"/>
        </w:rPr>
        <w:footnoteRef/>
      </w:r>
      <w:r>
        <w:t xml:space="preserve"> zdroj: EUROSTAT</w:t>
      </w:r>
    </w:p>
  </w:footnote>
  <w:footnote w:id="5">
    <w:p w:rsidR="00F41CBA" w:rsidRDefault="00F41CBA" w:rsidP="003D09FA">
      <w:pPr>
        <w:pStyle w:val="Textpoznpodarou"/>
        <w:spacing w:before="0" w:after="0"/>
      </w:pPr>
      <w:r>
        <w:rPr>
          <w:rStyle w:val="Znakapoznpodarou"/>
        </w:rPr>
        <w:footnoteRef/>
      </w:r>
      <w:r>
        <w:t xml:space="preserve"> Sdělení MPSV č. 447/2017 Sb., vymezováno pro účely zákona č. 435/2004 Sb., o zaměstnanosti, ve znění pozdějších předpisů.</w:t>
      </w:r>
    </w:p>
  </w:footnote>
  <w:footnote w:id="6">
    <w:p w:rsidR="00F41CBA" w:rsidRDefault="00F41CBA" w:rsidP="003D09FA">
      <w:pPr>
        <w:pStyle w:val="Textpoznpodarou"/>
        <w:spacing w:before="0" w:after="0"/>
      </w:pPr>
      <w:r>
        <w:rPr>
          <w:rStyle w:val="Znakapoznpodarou"/>
        </w:rPr>
        <w:footnoteRef/>
      </w:r>
      <w:r>
        <w:t xml:space="preserve"> </w:t>
      </w:r>
      <w:r w:rsidRPr="0045648F">
        <w:t>Jedná se o uchazeče o zaměstnání, kteří nemají objektivní překážku pro přijetí zaměstnání a mohou bezprostředně nastoupit do vhodného zaměstnání.  Za dosaži</w:t>
      </w:r>
      <w:r>
        <w:t>telného se nepovažuje uchazeč o </w:t>
      </w:r>
      <w:r w:rsidRPr="0045648F">
        <w:t>zaměstnání po dobu, po kterou je uznán dočasně neschopným práce, je na mateřské nebo rodičovské dovolené, vykonává krátkodobé zaměstnání podle §25 odst. 6 zákona o zaměstnanosti, je zařazen do rekvalifikačního kurzu a dále uchazeč o zaměstnání po dobu 6 měsíců ode dne vzetí do vazby.</w:t>
      </w:r>
    </w:p>
  </w:footnote>
  <w:footnote w:id="7">
    <w:p w:rsidR="00F41CBA" w:rsidRPr="00044F8A" w:rsidRDefault="00F41CBA" w:rsidP="00F07EED">
      <w:pPr>
        <w:pStyle w:val="Textpoznpodarou"/>
        <w:spacing w:before="0" w:after="0"/>
      </w:pPr>
      <w:r>
        <w:rPr>
          <w:rStyle w:val="Znakapoznpodarou"/>
        </w:rPr>
        <w:footnoteRef/>
      </w:r>
      <w:r>
        <w:t xml:space="preserve"> </w:t>
      </w:r>
      <w:r w:rsidRPr="00044F8A">
        <w:rPr>
          <w:i/>
        </w:rPr>
        <w:t xml:space="preserve">podíl na </w:t>
      </w:r>
      <w:proofErr w:type="spellStart"/>
      <w:r w:rsidRPr="00044F8A">
        <w:rPr>
          <w:i/>
        </w:rPr>
        <w:t>sk</w:t>
      </w:r>
      <w:proofErr w:type="spellEnd"/>
      <w:r>
        <w:t xml:space="preserve">. = zastoupení žen ve skupině znevýhodněných uchazečů o zaměstnání, </w:t>
      </w:r>
      <w:r>
        <w:rPr>
          <w:i/>
        </w:rPr>
        <w:t xml:space="preserve">podíl na </w:t>
      </w:r>
      <w:proofErr w:type="spellStart"/>
      <w:r>
        <w:rPr>
          <w:i/>
        </w:rPr>
        <w:t>UoZ</w:t>
      </w:r>
      <w:proofErr w:type="spellEnd"/>
      <w:r>
        <w:t xml:space="preserve"> = podíl skupiny znevýhodněných uchazeček o zaměstnání na celkovém počtu uchazeček o zaměstnání.</w:t>
      </w:r>
    </w:p>
  </w:footnote>
  <w:footnote w:id="8">
    <w:p w:rsidR="00F41CBA" w:rsidRDefault="00F41CBA" w:rsidP="00114B29">
      <w:pPr>
        <w:pStyle w:val="Textpoznpodarou"/>
        <w:spacing w:before="0" w:after="0"/>
      </w:pPr>
      <w:r>
        <w:rPr>
          <w:rStyle w:val="Znakapoznpodarou"/>
        </w:rPr>
        <w:footnoteRef/>
      </w:r>
      <w:r>
        <w:t xml:space="preserve"> Graf je uváděn pouze pro názornost, jedná se o kumulativní zobrazení podílů znevýhodněných osob, přičemž je nutné mít na zřeteli, že jednotlivé skupiny se mohou vzájemně překrývat, proto součet přesahuje hodnoty 100 % (např. osoba 50+ se základním vzděláním, která je nezaměstnaná déle než 24 měsíců se promítne do všech těchto 3 kategorií).</w:t>
      </w:r>
    </w:p>
  </w:footnote>
  <w:footnote w:id="9">
    <w:p w:rsidR="00F41CBA" w:rsidRDefault="00F41CBA" w:rsidP="00DC06B1">
      <w:pPr>
        <w:pStyle w:val="Textpoznpodarou"/>
        <w:spacing w:before="0" w:after="0"/>
      </w:pPr>
      <w:r>
        <w:rPr>
          <w:rStyle w:val="Znakapoznpodarou"/>
        </w:rPr>
        <w:footnoteRef/>
      </w:r>
      <w:r>
        <w:t xml:space="preserve"> výdělečná činnost, která je s ohledem na svůj minimální rozsah (max. polovina minimální mzdy) slučitelná podle § 25, odst. 3 zákona o zaměstnanosti s vedením osoby v evidenci uchazečů o zaměstnání.</w:t>
      </w:r>
    </w:p>
  </w:footnote>
  <w:footnote w:id="10">
    <w:p w:rsidR="00F41CBA" w:rsidRDefault="00F41CBA" w:rsidP="00B32003">
      <w:pPr>
        <w:pStyle w:val="Textpoznpodarou"/>
        <w:spacing w:before="0" w:after="0"/>
      </w:pPr>
      <w:r>
        <w:rPr>
          <w:rStyle w:val="Znakapoznpodarou"/>
        </w:rPr>
        <w:footnoteRef/>
      </w:r>
      <w:r>
        <w:t xml:space="preserve"> </w:t>
      </w:r>
      <w:r w:rsidRPr="00B32003">
        <w:t xml:space="preserve">Viz blíže plnění opatření 1.2 v části </w:t>
      </w:r>
      <w:r w:rsidRPr="00B32003">
        <w:fldChar w:fldCharType="begin"/>
      </w:r>
      <w:r w:rsidRPr="00B32003">
        <w:instrText xml:space="preserve"> REF _Ref508640712 \r \h  \* MERGEFORMAT </w:instrText>
      </w:r>
      <w:r w:rsidRPr="00B32003">
        <w:fldChar w:fldCharType="separate"/>
      </w:r>
      <w:r>
        <w:t>C)</w:t>
      </w:r>
      <w:r w:rsidRPr="00B32003">
        <w:fldChar w:fldCharType="end"/>
      </w:r>
      <w:r w:rsidRPr="00B32003">
        <w:t xml:space="preserve"> tohoto materiálu</w:t>
      </w:r>
    </w:p>
  </w:footnote>
  <w:footnote w:id="11">
    <w:p w:rsidR="00F41CBA" w:rsidRDefault="00F41CBA" w:rsidP="00B32003">
      <w:pPr>
        <w:pStyle w:val="Textpoznpodarou"/>
        <w:spacing w:before="0" w:after="0"/>
      </w:pPr>
      <w:r>
        <w:rPr>
          <w:rStyle w:val="Znakapoznpodarou"/>
        </w:rPr>
        <w:footnoteRef/>
      </w:r>
      <w:r>
        <w:t xml:space="preserve"> podle § 25, odst. 6 zákona o zaměstnanosti. Jedná se o zaměstnání zprostředkované UP ČR, které nesplňuje definici vhodného zaměstnání podle § 20 zákona o zaměstnanosti. Zpravidla např. zaměstnání, které není sjednáno na dobu delší 3 měsíců, které nezakládá povinnost odvádět </w:t>
      </w:r>
      <w:r w:rsidRPr="00F82F2D">
        <w:t>pojistné na důchodové pojištění a příspěvek n</w:t>
      </w:r>
      <w:r>
        <w:t>a státní politiku zaměstnanosti, nedosahuje 80 % (50 % u dlouhodobě nezaměstnaných) stanovené týdenní pracovní doby. V současné době využíváno např. v rámci opatření „práce na zkoušku“.</w:t>
      </w:r>
    </w:p>
  </w:footnote>
  <w:footnote w:id="12">
    <w:p w:rsidR="00F41CBA" w:rsidRDefault="00F41CBA" w:rsidP="00336F6E">
      <w:pPr>
        <w:pStyle w:val="Textpoznpodarou"/>
      </w:pPr>
      <w:r>
        <w:rPr>
          <w:rStyle w:val="Znakapoznpodarou"/>
        </w:rPr>
        <w:footnoteRef/>
      </w:r>
      <w:r>
        <w:t xml:space="preserve"> Počty vztahující se k cizincům v postavení zaměstnanců jsou kvalifikovanými odhady.</w:t>
      </w:r>
    </w:p>
  </w:footnote>
  <w:footnote w:id="13">
    <w:p w:rsidR="00F41CBA" w:rsidRDefault="00F41CBA" w:rsidP="007C73CF">
      <w:pPr>
        <w:pStyle w:val="Textpoznpodarou"/>
        <w:spacing w:before="0" w:after="0"/>
      </w:pPr>
      <w:r>
        <w:rPr>
          <w:rStyle w:val="Znakapoznpodarou"/>
        </w:rPr>
        <w:footnoteRef/>
      </w:r>
      <w:r>
        <w:t xml:space="preserve"> Vzhledem k faktu, že se jedná o výběr dat z databáze UP ČR </w:t>
      </w:r>
      <w:r w:rsidRPr="00B24349">
        <w:t xml:space="preserve">mohou </w:t>
      </w:r>
      <w:r>
        <w:t xml:space="preserve">se data v </w:t>
      </w:r>
      <w:r>
        <w:fldChar w:fldCharType="begin"/>
      </w:r>
      <w:r>
        <w:instrText xml:space="preserve"> REF _Ref508627297 \h </w:instrText>
      </w:r>
      <w:r>
        <w:fldChar w:fldCharType="separate"/>
      </w:r>
      <w:proofErr w:type="gramStart"/>
      <w:r>
        <w:t>Tabulka</w:t>
      </w:r>
      <w:proofErr w:type="gramEnd"/>
      <w:r>
        <w:t xml:space="preserve"> </w:t>
      </w:r>
      <w:r>
        <w:rPr>
          <w:noProof/>
        </w:rPr>
        <w:t>12</w:t>
      </w:r>
      <w:r>
        <w:fldChar w:fldCharType="end"/>
      </w:r>
      <w:r>
        <w:t xml:space="preserve"> až </w:t>
      </w:r>
      <w:r>
        <w:fldChar w:fldCharType="begin"/>
      </w:r>
      <w:r>
        <w:instrText xml:space="preserve"> REF _Ref508627314 \h </w:instrText>
      </w:r>
      <w:r>
        <w:fldChar w:fldCharType="separate"/>
      </w:r>
      <w:r>
        <w:t xml:space="preserve">Tabulka </w:t>
      </w:r>
      <w:r>
        <w:rPr>
          <w:noProof/>
        </w:rPr>
        <w:t>15</w:t>
      </w:r>
      <w:r>
        <w:fldChar w:fldCharType="end"/>
      </w:r>
      <w:r>
        <w:t xml:space="preserve"> </w:t>
      </w:r>
      <w:r w:rsidRPr="00B24349">
        <w:t>odlišovat od zveřejněných oficiálních</w:t>
      </w:r>
      <w:r>
        <w:t xml:space="preserve"> dat, neboť databáze uchazečů o </w:t>
      </w:r>
      <w:r w:rsidRPr="00B24349">
        <w:t>zaměstnání je databází živou (např. z důvodu zpětně vyřazených uchazečů o zaměstnání, dodatečné doložení dokladů ze strany uchazečů o zaměstnání majících vliv na změnu kategorie)</w:t>
      </w:r>
    </w:p>
  </w:footnote>
  <w:footnote w:id="14">
    <w:p w:rsidR="00F41CBA" w:rsidRPr="001B134E" w:rsidRDefault="00F41CBA" w:rsidP="00180298">
      <w:pPr>
        <w:pStyle w:val="Textpoznpodarou"/>
        <w:spacing w:before="0" w:after="0"/>
      </w:pPr>
      <w:r w:rsidRPr="001B134E">
        <w:rPr>
          <w:rStyle w:val="Znakapoznpodarou"/>
        </w:rPr>
        <w:footnoteRef/>
      </w:r>
      <w:r w:rsidRPr="001B134E">
        <w:t xml:space="preserve"> Jahoda, R.; </w:t>
      </w:r>
      <w:proofErr w:type="spellStart"/>
      <w:r w:rsidRPr="001B134E">
        <w:t>Godarová</w:t>
      </w:r>
      <w:proofErr w:type="spellEnd"/>
      <w:r w:rsidRPr="001B134E">
        <w:t>, J.: Odhad nákladů veřejných rozpočtů vynakládaných na jednoho nezaměstnaného. VÚSPV, 2016</w:t>
      </w:r>
    </w:p>
  </w:footnote>
  <w:footnote w:id="15">
    <w:p w:rsidR="00F41CBA" w:rsidRPr="00951EA5" w:rsidRDefault="00F41CBA" w:rsidP="00180298">
      <w:pPr>
        <w:pStyle w:val="Textpoznpodarou"/>
        <w:spacing w:before="0" w:after="0"/>
        <w:rPr>
          <w:sz w:val="16"/>
        </w:rPr>
      </w:pPr>
      <w:r w:rsidRPr="001B134E">
        <w:rPr>
          <w:rStyle w:val="Znakapoznpodarou"/>
        </w:rPr>
        <w:footnoteRef/>
      </w:r>
      <w:r w:rsidRPr="001B134E">
        <w:t xml:space="preserve"> </w:t>
      </w:r>
      <w:r>
        <w:t>S výjimkou</w:t>
      </w:r>
      <w:r w:rsidRPr="001B134E">
        <w:t xml:space="preserve"> osob, kterým bylo pozastaveno či posunuto vyplácení podpory v nezaměstnanosti z důvodu výplaty odstupného, popřípadě z důvodu výkonu nekolidujícího zaměstnání.</w:t>
      </w:r>
    </w:p>
  </w:footnote>
  <w:footnote w:id="16">
    <w:p w:rsidR="00F41CBA" w:rsidRPr="001B134E" w:rsidRDefault="00F41CBA" w:rsidP="00180298">
      <w:pPr>
        <w:pStyle w:val="Textpoznpodarou"/>
        <w:spacing w:before="0" w:after="0"/>
      </w:pPr>
      <w:r w:rsidRPr="001B134E">
        <w:rPr>
          <w:rStyle w:val="Znakapoznpodarou"/>
        </w:rPr>
        <w:footnoteRef/>
      </w:r>
      <w:r w:rsidRPr="001B134E">
        <w:t xml:space="preserve"> K 31. 12. 2017 bylo déle než 12 měsíců evidováno pouze 0,9 % uchazečů pobírajících podporu v nezaměstnanosti (k 30. 11. 2017 to bylo 1,1 %).</w:t>
      </w:r>
    </w:p>
  </w:footnote>
  <w:footnote w:id="17">
    <w:p w:rsidR="00F41CBA" w:rsidRPr="00CB747B" w:rsidRDefault="00F41CBA" w:rsidP="001B134E">
      <w:pPr>
        <w:pStyle w:val="Textpoznpodarou"/>
        <w:spacing w:before="0" w:after="0"/>
        <w:rPr>
          <w:sz w:val="16"/>
        </w:rPr>
      </w:pPr>
      <w:r w:rsidRPr="001B134E">
        <w:rPr>
          <w:rStyle w:val="Znakapoznpodarou"/>
        </w:rPr>
        <w:footnoteRef/>
      </w:r>
      <w:r w:rsidRPr="001B134E">
        <w:t xml:space="preserve"> Zdroj: Informační systém o průměrném výdělku (ISPV).</w:t>
      </w:r>
    </w:p>
  </w:footnote>
  <w:footnote w:id="18">
    <w:p w:rsidR="00F41CBA" w:rsidRDefault="00F41CBA" w:rsidP="0000735F">
      <w:pPr>
        <w:pStyle w:val="Textpoznpodarou"/>
        <w:spacing w:before="0" w:after="0"/>
      </w:pPr>
      <w:r>
        <w:rPr>
          <w:rStyle w:val="Znakapoznpodarou"/>
        </w:rPr>
        <w:footnoteRef/>
      </w:r>
      <w:r>
        <w:t xml:space="preserve"> Kvalifikovaný odhad podílu skupin na základě výběru z databází UP ČR provedenému v lednu 2018 s rozhodným datem 31. 12. 2017 </w:t>
      </w:r>
    </w:p>
  </w:footnote>
  <w:footnote w:id="19">
    <w:p w:rsidR="00F41CBA" w:rsidRPr="00636531" w:rsidRDefault="00F41CBA" w:rsidP="006E64B8">
      <w:pPr>
        <w:pStyle w:val="Textpoznpodarou"/>
        <w:spacing w:before="0" w:after="0"/>
      </w:pPr>
      <w:r>
        <w:rPr>
          <w:rStyle w:val="Znakapoznpodarou"/>
        </w:rPr>
        <w:footnoteRef/>
      </w:r>
      <w:r>
        <w:t xml:space="preserve"> </w:t>
      </w:r>
      <w:r w:rsidRPr="00636531">
        <w:t>Na základě odhadů provedených v listopadu 2017.</w:t>
      </w:r>
    </w:p>
  </w:footnote>
  <w:footnote w:id="20">
    <w:p w:rsidR="00F41CBA" w:rsidRPr="00636531" w:rsidRDefault="00F41CBA" w:rsidP="00636531">
      <w:pPr>
        <w:pStyle w:val="Textpoznpodarou"/>
        <w:spacing w:before="0" w:after="0"/>
      </w:pPr>
      <w:r>
        <w:rPr>
          <w:rStyle w:val="Znakapoznpodarou"/>
        </w:rPr>
        <w:footnoteRef/>
      </w:r>
      <w:r>
        <w:t xml:space="preserve"> </w:t>
      </w:r>
      <w:r w:rsidRPr="00636531">
        <w:t>zdroj: VŠPS, 1. pol. 2017. Nejsou zahrnuty osoby do 20 let věku, neboť uvedení této skupiny by mohlo údaj za celou populaci zkreslit s ohledem na nedokončená studia. U starších věkových skupin je tento jev více znatelný, neboť v celé skupině osob starších 55 let činí podíl osob s nejvýše dosaženým základním vzděláním 15,1 %.</w:t>
      </w:r>
    </w:p>
  </w:footnote>
  <w:footnote w:id="21">
    <w:p w:rsidR="00F41CBA" w:rsidRPr="00FE48AF" w:rsidRDefault="00F41CBA" w:rsidP="00636531">
      <w:pPr>
        <w:pStyle w:val="Textpoznpodarou"/>
        <w:spacing w:before="0" w:after="0"/>
        <w:rPr>
          <w:sz w:val="16"/>
        </w:rPr>
      </w:pPr>
      <w:r w:rsidRPr="00636531">
        <w:rPr>
          <w:rStyle w:val="Znakapoznpodarou"/>
        </w:rPr>
        <w:footnoteRef/>
      </w:r>
      <w:r w:rsidRPr="00636531">
        <w:t xml:space="preserve"> Současné statistické sledování </w:t>
      </w:r>
      <w:proofErr w:type="spellStart"/>
      <w:r>
        <w:t>UoZ</w:t>
      </w:r>
      <w:proofErr w:type="spellEnd"/>
      <w:r w:rsidRPr="00636531">
        <w:t xml:space="preserve"> ne</w:t>
      </w:r>
      <w:r>
        <w:t xml:space="preserve">umožňuje určit podíl </w:t>
      </w:r>
      <w:proofErr w:type="spellStart"/>
      <w:r>
        <w:t>UoZ</w:t>
      </w:r>
      <w:proofErr w:type="spellEnd"/>
      <w:r w:rsidRPr="00636531">
        <w:t xml:space="preserve"> s nejvýše dosaženým základním vzděláním ve věkové skupině 55 až 64 let. Nicméně z údajů VŠPS, které využívá jinou metodu sběru dat a není proto porovnatelné se statistikami uchazečů o zaměstnání dle MPSV, však vyplývá, že mezi staršími nezaměstnanými je skutečně vyšší zastoupení osob se základním vzděláním než v celém souboru nezaměstnaných osob. V 1. pol. 2017 činil podíl osob se základním vzděláním dle VŠPS mezi nezaměstnanými osobami 22,9 %, zatímco mezi nezaměstnanými ve věku 55 až 64 let 25,1 %, u žen stejného věku dokonce 29,5 %.</w:t>
      </w:r>
      <w:r>
        <w:rPr>
          <w:sz w:val="16"/>
        </w:rPr>
        <w:t xml:space="preserve">  </w:t>
      </w:r>
    </w:p>
  </w:footnote>
  <w:footnote w:id="22">
    <w:p w:rsidR="00F41CBA" w:rsidRPr="00636531" w:rsidRDefault="00F41CBA" w:rsidP="00636531">
      <w:pPr>
        <w:pStyle w:val="Textpoznpodarou"/>
        <w:spacing w:before="0" w:after="0"/>
      </w:pPr>
      <w:r w:rsidRPr="00636531">
        <w:rPr>
          <w:rStyle w:val="Znakapoznpodarou"/>
        </w:rPr>
        <w:footnoteRef/>
      </w:r>
      <w:r w:rsidRPr="00636531">
        <w:t xml:space="preserve"> Od 1. ledna 2018 se jedná o nástroj „pracovní místo zřízené pro osobu se zdravotním postižením“.</w:t>
      </w:r>
    </w:p>
  </w:footnote>
  <w:footnote w:id="23">
    <w:p w:rsidR="00F41CBA" w:rsidRPr="007B5796" w:rsidRDefault="00F41CBA" w:rsidP="007B5796">
      <w:pPr>
        <w:pStyle w:val="Textpoznpodarou"/>
        <w:spacing w:before="0" w:after="0"/>
      </w:pPr>
      <w:r w:rsidRPr="007B5796">
        <w:rPr>
          <w:rStyle w:val="Znakapoznpodarou"/>
        </w:rPr>
        <w:footnoteRef/>
      </w:r>
      <w:r w:rsidRPr="007B5796">
        <w:t xml:space="preserve"> Výběrové šetření osob se zdravotním postižením 2013. ČSÚ, 2014</w:t>
      </w:r>
    </w:p>
  </w:footnote>
  <w:footnote w:id="24">
    <w:p w:rsidR="00F41CBA" w:rsidRPr="00750355" w:rsidRDefault="00F41CBA" w:rsidP="00750355">
      <w:pPr>
        <w:pStyle w:val="Textpoznpodarou"/>
        <w:spacing w:before="0" w:after="0"/>
      </w:pPr>
      <w:r w:rsidRPr="00750355">
        <w:rPr>
          <w:rStyle w:val="Znakapoznpodarou"/>
        </w:rPr>
        <w:footnoteRef/>
      </w:r>
      <w:r w:rsidRPr="00750355">
        <w:t xml:space="preserve"> Obdobná výše finančních prostředků je ročně určena na realizaci všech nástrojů APZ dohromady.</w:t>
      </w:r>
    </w:p>
  </w:footnote>
  <w:footnote w:id="25">
    <w:p w:rsidR="00F41CBA" w:rsidRPr="00E96141" w:rsidRDefault="00F41CBA" w:rsidP="00750355">
      <w:pPr>
        <w:pStyle w:val="Textpoznpodarou"/>
        <w:spacing w:before="0" w:after="0"/>
        <w:rPr>
          <w:sz w:val="16"/>
        </w:rPr>
      </w:pPr>
      <w:r w:rsidRPr="00750355">
        <w:rPr>
          <w:rStyle w:val="Znakapoznpodarou"/>
        </w:rPr>
        <w:footnoteRef/>
      </w:r>
      <w:r w:rsidRPr="00750355">
        <w:t xml:space="preserve"> Nástrojem CHPM však mohou být podpořeny i OZP, které se neregistrují jako uchazeči o zaměstnání, podíl uchazečů o zaměstnání na počtu podpořených OZP nástroje CHPM činil zhruba 45,5 %.</w:t>
      </w:r>
    </w:p>
  </w:footnote>
  <w:footnote w:id="26">
    <w:p w:rsidR="00F41CBA" w:rsidRPr="007B5796" w:rsidRDefault="00F41CBA" w:rsidP="007B5796">
      <w:pPr>
        <w:pStyle w:val="Textpoznpodarou"/>
        <w:spacing w:before="0" w:after="0"/>
      </w:pPr>
      <w:r w:rsidRPr="007B5796">
        <w:rPr>
          <w:rStyle w:val="Znakapoznpodarou"/>
        </w:rPr>
        <w:footnoteRef/>
      </w:r>
      <w:r w:rsidRPr="007B5796">
        <w:t xml:space="preserve"> Pro úplnost uvádíme, že pro rok 2017 činila výše odvodu na jednu nezaměstnanou OZP z povinného podílu 71 901 Kč.</w:t>
      </w:r>
    </w:p>
  </w:footnote>
  <w:footnote w:id="27">
    <w:p w:rsidR="00F41CBA" w:rsidRPr="009E23B0" w:rsidRDefault="00F41CBA" w:rsidP="009E23B0">
      <w:pPr>
        <w:pStyle w:val="Textpoznpodarou"/>
        <w:spacing w:before="0" w:after="0"/>
      </w:pPr>
      <w:r w:rsidRPr="009E23B0">
        <w:rPr>
          <w:rStyle w:val="Znakapoznpodarou"/>
        </w:rPr>
        <w:footnoteRef/>
      </w:r>
      <w:r w:rsidRPr="009E23B0">
        <w:t xml:space="preserve"> NSD – nepojistné sociální dávky, ZAM – zaměstnanost (zprostředkování zaměstnání, popřípadě poradenství.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CBA" w:rsidRPr="00AB7C96" w:rsidRDefault="00F41CBA" w:rsidP="00CD2B30">
    <w:pPr>
      <w:pStyle w:val="Zhlav"/>
      <w:jc w:val="right"/>
      <w:rPr>
        <w:b/>
      </w:rPr>
    </w:pPr>
    <w:r w:rsidRPr="00AB7C96">
      <w:rPr>
        <w:b/>
      </w:rPr>
      <w:t>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CBA" w:rsidRPr="00734E29" w:rsidRDefault="00F41CBA" w:rsidP="00734E2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E6BE1"/>
    <w:multiLevelType w:val="hybridMultilevel"/>
    <w:tmpl w:val="E0A48600"/>
    <w:lvl w:ilvl="0" w:tplc="F8709F2A">
      <w:start w:val="2"/>
      <w:numFmt w:val="bullet"/>
      <w:lvlText w:val="-"/>
      <w:lvlJc w:val="left"/>
      <w:pPr>
        <w:ind w:left="1428" w:hanging="360"/>
      </w:pPr>
      <w:rPr>
        <w:rFonts w:ascii="Arial" w:eastAsiaTheme="minorHAnsi" w:hAnsi="Aria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nsid w:val="11E7085F"/>
    <w:multiLevelType w:val="hybridMultilevel"/>
    <w:tmpl w:val="0ECAAB18"/>
    <w:lvl w:ilvl="0" w:tplc="F8709F2A">
      <w:start w:val="2"/>
      <w:numFmt w:val="bullet"/>
      <w:lvlText w:val="-"/>
      <w:lvlJc w:val="left"/>
      <w:pPr>
        <w:ind w:left="1429" w:hanging="360"/>
      </w:pPr>
      <w:rPr>
        <w:rFonts w:ascii="Arial" w:eastAsiaTheme="minorHAnsi" w:hAnsi="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nsid w:val="29211687"/>
    <w:multiLevelType w:val="multilevel"/>
    <w:tmpl w:val="1DB8731C"/>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B01074D"/>
    <w:multiLevelType w:val="hybridMultilevel"/>
    <w:tmpl w:val="781E9C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D013273"/>
    <w:multiLevelType w:val="hybridMultilevel"/>
    <w:tmpl w:val="945ABCE6"/>
    <w:lvl w:ilvl="0" w:tplc="F8709F2A">
      <w:start w:val="2"/>
      <w:numFmt w:val="bullet"/>
      <w:lvlText w:val="-"/>
      <w:lvlJc w:val="left"/>
      <w:pPr>
        <w:ind w:left="1429" w:hanging="360"/>
      </w:pPr>
      <w:rPr>
        <w:rFonts w:ascii="Arial" w:eastAsiaTheme="minorHAnsi" w:hAnsi="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nsid w:val="4498436A"/>
    <w:multiLevelType w:val="hybridMultilevel"/>
    <w:tmpl w:val="07A0C76A"/>
    <w:lvl w:ilvl="0" w:tplc="F8709F2A">
      <w:start w:val="2"/>
      <w:numFmt w:val="bullet"/>
      <w:lvlText w:val="-"/>
      <w:lvlJc w:val="left"/>
      <w:pPr>
        <w:ind w:left="1428" w:hanging="360"/>
      </w:pPr>
      <w:rPr>
        <w:rFonts w:ascii="Arial" w:eastAsiaTheme="minorHAnsi" w:hAnsi="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nsid w:val="472B05B2"/>
    <w:multiLevelType w:val="multilevel"/>
    <w:tmpl w:val="78306A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86E6407"/>
    <w:multiLevelType w:val="hybridMultilevel"/>
    <w:tmpl w:val="6980F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B7F02BD"/>
    <w:multiLevelType w:val="hybridMultilevel"/>
    <w:tmpl w:val="514E6E66"/>
    <w:lvl w:ilvl="0" w:tplc="F8709F2A">
      <w:start w:val="2"/>
      <w:numFmt w:val="bullet"/>
      <w:lvlText w:val="-"/>
      <w:lvlJc w:val="left"/>
      <w:pPr>
        <w:ind w:left="1428" w:hanging="360"/>
      </w:pPr>
      <w:rPr>
        <w:rFonts w:ascii="Arial" w:eastAsiaTheme="minorHAnsi" w:hAnsi="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nsid w:val="4FFA69D5"/>
    <w:multiLevelType w:val="hybridMultilevel"/>
    <w:tmpl w:val="193EE46A"/>
    <w:lvl w:ilvl="0" w:tplc="F8709F2A">
      <w:start w:val="2"/>
      <w:numFmt w:val="bullet"/>
      <w:lvlText w:val="-"/>
      <w:lvlJc w:val="left"/>
      <w:pPr>
        <w:ind w:left="1771" w:hanging="360"/>
      </w:pPr>
      <w:rPr>
        <w:rFonts w:ascii="Arial" w:eastAsiaTheme="minorHAnsi" w:hAnsi="Arial" w:hint="default"/>
      </w:rPr>
    </w:lvl>
    <w:lvl w:ilvl="1" w:tplc="04050003" w:tentative="1">
      <w:start w:val="1"/>
      <w:numFmt w:val="bullet"/>
      <w:lvlText w:val="o"/>
      <w:lvlJc w:val="left"/>
      <w:pPr>
        <w:ind w:left="2491" w:hanging="360"/>
      </w:pPr>
      <w:rPr>
        <w:rFonts w:ascii="Courier New" w:hAnsi="Courier New" w:cs="Courier New" w:hint="default"/>
      </w:rPr>
    </w:lvl>
    <w:lvl w:ilvl="2" w:tplc="04050005" w:tentative="1">
      <w:start w:val="1"/>
      <w:numFmt w:val="bullet"/>
      <w:lvlText w:val=""/>
      <w:lvlJc w:val="left"/>
      <w:pPr>
        <w:ind w:left="3211" w:hanging="360"/>
      </w:pPr>
      <w:rPr>
        <w:rFonts w:ascii="Wingdings" w:hAnsi="Wingdings" w:hint="default"/>
      </w:rPr>
    </w:lvl>
    <w:lvl w:ilvl="3" w:tplc="04050001" w:tentative="1">
      <w:start w:val="1"/>
      <w:numFmt w:val="bullet"/>
      <w:lvlText w:val=""/>
      <w:lvlJc w:val="left"/>
      <w:pPr>
        <w:ind w:left="3931" w:hanging="360"/>
      </w:pPr>
      <w:rPr>
        <w:rFonts w:ascii="Symbol" w:hAnsi="Symbol" w:hint="default"/>
      </w:rPr>
    </w:lvl>
    <w:lvl w:ilvl="4" w:tplc="04050003" w:tentative="1">
      <w:start w:val="1"/>
      <w:numFmt w:val="bullet"/>
      <w:lvlText w:val="o"/>
      <w:lvlJc w:val="left"/>
      <w:pPr>
        <w:ind w:left="4651" w:hanging="360"/>
      </w:pPr>
      <w:rPr>
        <w:rFonts w:ascii="Courier New" w:hAnsi="Courier New" w:cs="Courier New" w:hint="default"/>
      </w:rPr>
    </w:lvl>
    <w:lvl w:ilvl="5" w:tplc="04050005" w:tentative="1">
      <w:start w:val="1"/>
      <w:numFmt w:val="bullet"/>
      <w:lvlText w:val=""/>
      <w:lvlJc w:val="left"/>
      <w:pPr>
        <w:ind w:left="5371" w:hanging="360"/>
      </w:pPr>
      <w:rPr>
        <w:rFonts w:ascii="Wingdings" w:hAnsi="Wingdings" w:hint="default"/>
      </w:rPr>
    </w:lvl>
    <w:lvl w:ilvl="6" w:tplc="04050001" w:tentative="1">
      <w:start w:val="1"/>
      <w:numFmt w:val="bullet"/>
      <w:lvlText w:val=""/>
      <w:lvlJc w:val="left"/>
      <w:pPr>
        <w:ind w:left="6091" w:hanging="360"/>
      </w:pPr>
      <w:rPr>
        <w:rFonts w:ascii="Symbol" w:hAnsi="Symbol" w:hint="default"/>
      </w:rPr>
    </w:lvl>
    <w:lvl w:ilvl="7" w:tplc="04050003" w:tentative="1">
      <w:start w:val="1"/>
      <w:numFmt w:val="bullet"/>
      <w:lvlText w:val="o"/>
      <w:lvlJc w:val="left"/>
      <w:pPr>
        <w:ind w:left="6811" w:hanging="360"/>
      </w:pPr>
      <w:rPr>
        <w:rFonts w:ascii="Courier New" w:hAnsi="Courier New" w:cs="Courier New" w:hint="default"/>
      </w:rPr>
    </w:lvl>
    <w:lvl w:ilvl="8" w:tplc="04050005" w:tentative="1">
      <w:start w:val="1"/>
      <w:numFmt w:val="bullet"/>
      <w:lvlText w:val=""/>
      <w:lvlJc w:val="left"/>
      <w:pPr>
        <w:ind w:left="7531" w:hanging="360"/>
      </w:pPr>
      <w:rPr>
        <w:rFonts w:ascii="Wingdings" w:hAnsi="Wingdings" w:hint="default"/>
      </w:rPr>
    </w:lvl>
  </w:abstractNum>
  <w:abstractNum w:abstractNumId="10">
    <w:nsid w:val="55B42348"/>
    <w:multiLevelType w:val="hybridMultilevel"/>
    <w:tmpl w:val="8C18FB64"/>
    <w:lvl w:ilvl="0" w:tplc="F8709F2A">
      <w:start w:val="2"/>
      <w:numFmt w:val="bullet"/>
      <w:lvlText w:val="-"/>
      <w:lvlJc w:val="left"/>
      <w:pPr>
        <w:ind w:left="720" w:hanging="360"/>
      </w:pPr>
      <w:rPr>
        <w:rFonts w:ascii="Arial" w:eastAsiaTheme="minorHAns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6C76B8A"/>
    <w:multiLevelType w:val="multilevel"/>
    <w:tmpl w:val="8CB80E6E"/>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74C3B83"/>
    <w:multiLevelType w:val="hybridMultilevel"/>
    <w:tmpl w:val="0A48B868"/>
    <w:lvl w:ilvl="0" w:tplc="7CA6927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8545D88"/>
    <w:multiLevelType w:val="hybridMultilevel"/>
    <w:tmpl w:val="D77C6A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8C3711F"/>
    <w:multiLevelType w:val="hybridMultilevel"/>
    <w:tmpl w:val="E28A60B6"/>
    <w:lvl w:ilvl="0" w:tplc="F8709F2A">
      <w:start w:val="2"/>
      <w:numFmt w:val="bullet"/>
      <w:lvlText w:val="-"/>
      <w:lvlJc w:val="left"/>
      <w:pPr>
        <w:ind w:left="1429" w:hanging="360"/>
      </w:pPr>
      <w:rPr>
        <w:rFonts w:ascii="Arial" w:eastAsiaTheme="minorHAnsi" w:hAnsi="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nsid w:val="5AE67A1D"/>
    <w:multiLevelType w:val="hybridMultilevel"/>
    <w:tmpl w:val="F7565A44"/>
    <w:lvl w:ilvl="0" w:tplc="F8709F2A">
      <w:start w:val="2"/>
      <w:numFmt w:val="bullet"/>
      <w:lvlText w:val="-"/>
      <w:lvlJc w:val="left"/>
      <w:pPr>
        <w:ind w:left="720" w:hanging="360"/>
      </w:pPr>
      <w:rPr>
        <w:rFonts w:ascii="Arial" w:eastAsiaTheme="minorHAns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00D12D0"/>
    <w:multiLevelType w:val="hybridMultilevel"/>
    <w:tmpl w:val="E800D24A"/>
    <w:lvl w:ilvl="0" w:tplc="F8709F2A">
      <w:start w:val="2"/>
      <w:numFmt w:val="bullet"/>
      <w:lvlText w:val="-"/>
      <w:lvlJc w:val="left"/>
      <w:pPr>
        <w:ind w:left="720" w:hanging="360"/>
      </w:pPr>
      <w:rPr>
        <w:rFonts w:ascii="Arial" w:eastAsiaTheme="minorHAns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46073FE"/>
    <w:multiLevelType w:val="hybridMultilevel"/>
    <w:tmpl w:val="7DA0F6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81A6D18"/>
    <w:multiLevelType w:val="hybridMultilevel"/>
    <w:tmpl w:val="7046BC26"/>
    <w:lvl w:ilvl="0" w:tplc="F8709F2A">
      <w:start w:val="2"/>
      <w:numFmt w:val="bullet"/>
      <w:lvlText w:val="-"/>
      <w:lvlJc w:val="left"/>
      <w:pPr>
        <w:ind w:left="720" w:hanging="360"/>
      </w:pPr>
      <w:rPr>
        <w:rFonts w:ascii="Arial" w:eastAsiaTheme="minorHAnsi" w:hAnsi="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F4E5327"/>
    <w:multiLevelType w:val="hybridMultilevel"/>
    <w:tmpl w:val="BBF2CD98"/>
    <w:lvl w:ilvl="0" w:tplc="A814ACDC">
      <w:start w:val="1"/>
      <w:numFmt w:val="upperLetter"/>
      <w:pStyle w:val="Nadpis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02E58F9"/>
    <w:multiLevelType w:val="hybridMultilevel"/>
    <w:tmpl w:val="26E6CE86"/>
    <w:lvl w:ilvl="0" w:tplc="F8709F2A">
      <w:start w:val="2"/>
      <w:numFmt w:val="bullet"/>
      <w:lvlText w:val="-"/>
      <w:lvlJc w:val="left"/>
      <w:pPr>
        <w:ind w:left="354" w:hanging="360"/>
      </w:pPr>
      <w:rPr>
        <w:rFonts w:ascii="Arial" w:eastAsiaTheme="minorHAnsi" w:hAnsi="Arial" w:hint="default"/>
      </w:rPr>
    </w:lvl>
    <w:lvl w:ilvl="1" w:tplc="04050003" w:tentative="1">
      <w:start w:val="1"/>
      <w:numFmt w:val="bullet"/>
      <w:lvlText w:val="o"/>
      <w:lvlJc w:val="left"/>
      <w:pPr>
        <w:ind w:left="1074" w:hanging="360"/>
      </w:pPr>
      <w:rPr>
        <w:rFonts w:ascii="Courier New" w:hAnsi="Courier New" w:cs="Courier New" w:hint="default"/>
      </w:rPr>
    </w:lvl>
    <w:lvl w:ilvl="2" w:tplc="04050005" w:tentative="1">
      <w:start w:val="1"/>
      <w:numFmt w:val="bullet"/>
      <w:lvlText w:val=""/>
      <w:lvlJc w:val="left"/>
      <w:pPr>
        <w:ind w:left="1794" w:hanging="360"/>
      </w:pPr>
      <w:rPr>
        <w:rFonts w:ascii="Wingdings" w:hAnsi="Wingdings" w:hint="default"/>
      </w:rPr>
    </w:lvl>
    <w:lvl w:ilvl="3" w:tplc="04050001" w:tentative="1">
      <w:start w:val="1"/>
      <w:numFmt w:val="bullet"/>
      <w:lvlText w:val=""/>
      <w:lvlJc w:val="left"/>
      <w:pPr>
        <w:ind w:left="2514" w:hanging="360"/>
      </w:pPr>
      <w:rPr>
        <w:rFonts w:ascii="Symbol" w:hAnsi="Symbol" w:hint="default"/>
      </w:rPr>
    </w:lvl>
    <w:lvl w:ilvl="4" w:tplc="04050003" w:tentative="1">
      <w:start w:val="1"/>
      <w:numFmt w:val="bullet"/>
      <w:lvlText w:val="o"/>
      <w:lvlJc w:val="left"/>
      <w:pPr>
        <w:ind w:left="3234" w:hanging="360"/>
      </w:pPr>
      <w:rPr>
        <w:rFonts w:ascii="Courier New" w:hAnsi="Courier New" w:cs="Courier New" w:hint="default"/>
      </w:rPr>
    </w:lvl>
    <w:lvl w:ilvl="5" w:tplc="04050005" w:tentative="1">
      <w:start w:val="1"/>
      <w:numFmt w:val="bullet"/>
      <w:lvlText w:val=""/>
      <w:lvlJc w:val="left"/>
      <w:pPr>
        <w:ind w:left="3954" w:hanging="360"/>
      </w:pPr>
      <w:rPr>
        <w:rFonts w:ascii="Wingdings" w:hAnsi="Wingdings" w:hint="default"/>
      </w:rPr>
    </w:lvl>
    <w:lvl w:ilvl="6" w:tplc="04050001" w:tentative="1">
      <w:start w:val="1"/>
      <w:numFmt w:val="bullet"/>
      <w:lvlText w:val=""/>
      <w:lvlJc w:val="left"/>
      <w:pPr>
        <w:ind w:left="4674" w:hanging="360"/>
      </w:pPr>
      <w:rPr>
        <w:rFonts w:ascii="Symbol" w:hAnsi="Symbol" w:hint="default"/>
      </w:rPr>
    </w:lvl>
    <w:lvl w:ilvl="7" w:tplc="04050003" w:tentative="1">
      <w:start w:val="1"/>
      <w:numFmt w:val="bullet"/>
      <w:lvlText w:val="o"/>
      <w:lvlJc w:val="left"/>
      <w:pPr>
        <w:ind w:left="5394" w:hanging="360"/>
      </w:pPr>
      <w:rPr>
        <w:rFonts w:ascii="Courier New" w:hAnsi="Courier New" w:cs="Courier New" w:hint="default"/>
      </w:rPr>
    </w:lvl>
    <w:lvl w:ilvl="8" w:tplc="04050005" w:tentative="1">
      <w:start w:val="1"/>
      <w:numFmt w:val="bullet"/>
      <w:lvlText w:val=""/>
      <w:lvlJc w:val="left"/>
      <w:pPr>
        <w:ind w:left="6114" w:hanging="360"/>
      </w:pPr>
      <w:rPr>
        <w:rFonts w:ascii="Wingdings" w:hAnsi="Wingdings" w:hint="default"/>
      </w:rPr>
    </w:lvl>
  </w:abstractNum>
  <w:abstractNum w:abstractNumId="21">
    <w:nsid w:val="757D184B"/>
    <w:multiLevelType w:val="hybridMultilevel"/>
    <w:tmpl w:val="418C117C"/>
    <w:lvl w:ilvl="0" w:tplc="A7BC615A">
      <w:start w:val="213"/>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80B08A3"/>
    <w:multiLevelType w:val="multilevel"/>
    <w:tmpl w:val="A6FE0A0A"/>
    <w:lvl w:ilvl="0">
      <w:start w:val="1"/>
      <w:numFmt w:val="ordinal"/>
      <w:pStyle w:val="Nadpis2"/>
      <w:lvlText w:val="%1"/>
      <w:lvlJc w:val="left"/>
      <w:pPr>
        <w:ind w:left="360" w:hanging="360"/>
      </w:pPr>
      <w:rPr>
        <w:rFonts w:hint="default"/>
        <w:sz w:val="24"/>
      </w:rPr>
    </w:lvl>
    <w:lvl w:ilvl="1">
      <w:start w:val="1"/>
      <w:numFmt w:val="ordinal"/>
      <w:pStyle w:val="Nadpis3"/>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BDC75EB"/>
    <w:multiLevelType w:val="hybridMultilevel"/>
    <w:tmpl w:val="F3883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1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7"/>
  </w:num>
  <w:num w:numId="9">
    <w:abstractNumId w:val="4"/>
  </w:num>
  <w:num w:numId="10">
    <w:abstractNumId w:val="14"/>
  </w:num>
  <w:num w:numId="11">
    <w:abstractNumId w:val="0"/>
  </w:num>
  <w:num w:numId="12">
    <w:abstractNumId w:val="8"/>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0"/>
  </w:num>
  <w:num w:numId="17">
    <w:abstractNumId w:val="6"/>
  </w:num>
  <w:num w:numId="18">
    <w:abstractNumId w:val="17"/>
  </w:num>
  <w:num w:numId="19">
    <w:abstractNumId w:val="9"/>
  </w:num>
  <w:num w:numId="20">
    <w:abstractNumId w:val="1"/>
  </w:num>
  <w:num w:numId="21">
    <w:abstractNumId w:val="5"/>
  </w:num>
  <w:num w:numId="22">
    <w:abstractNumId w:val="2"/>
  </w:num>
  <w:num w:numId="23">
    <w:abstractNumId w:val="15"/>
  </w:num>
  <w:num w:numId="24">
    <w:abstractNumId w:val="21"/>
  </w:num>
  <w:num w:numId="25">
    <w:abstractNumId w:val="19"/>
    <w:lvlOverride w:ilvl="0">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25D"/>
    <w:rsid w:val="0000735F"/>
    <w:rsid w:val="0002267B"/>
    <w:rsid w:val="00044175"/>
    <w:rsid w:val="00044F8A"/>
    <w:rsid w:val="000C3E0A"/>
    <w:rsid w:val="000C3F9E"/>
    <w:rsid w:val="000D14E1"/>
    <w:rsid w:val="000D26C7"/>
    <w:rsid w:val="000E0C7B"/>
    <w:rsid w:val="000F0815"/>
    <w:rsid w:val="000F5C85"/>
    <w:rsid w:val="001000BA"/>
    <w:rsid w:val="0011200D"/>
    <w:rsid w:val="00114B29"/>
    <w:rsid w:val="0016645B"/>
    <w:rsid w:val="00180298"/>
    <w:rsid w:val="001A60FA"/>
    <w:rsid w:val="001B134E"/>
    <w:rsid w:val="001B2FA0"/>
    <w:rsid w:val="001D717B"/>
    <w:rsid w:val="002150C3"/>
    <w:rsid w:val="002214B1"/>
    <w:rsid w:val="00227EB3"/>
    <w:rsid w:val="002362E7"/>
    <w:rsid w:val="002424FF"/>
    <w:rsid w:val="002A3A1A"/>
    <w:rsid w:val="002C1E7B"/>
    <w:rsid w:val="002D68DD"/>
    <w:rsid w:val="002F556E"/>
    <w:rsid w:val="00312E06"/>
    <w:rsid w:val="00324849"/>
    <w:rsid w:val="00327C14"/>
    <w:rsid w:val="00336F6E"/>
    <w:rsid w:val="003A1096"/>
    <w:rsid w:val="003B69A2"/>
    <w:rsid w:val="003D09FA"/>
    <w:rsid w:val="003D6696"/>
    <w:rsid w:val="003E1F27"/>
    <w:rsid w:val="00413C26"/>
    <w:rsid w:val="00422013"/>
    <w:rsid w:val="00423BAC"/>
    <w:rsid w:val="0045648F"/>
    <w:rsid w:val="00465AA5"/>
    <w:rsid w:val="00475321"/>
    <w:rsid w:val="004A62B5"/>
    <w:rsid w:val="004B62AC"/>
    <w:rsid w:val="004F5ECD"/>
    <w:rsid w:val="00503C4A"/>
    <w:rsid w:val="00522B75"/>
    <w:rsid w:val="00551CC6"/>
    <w:rsid w:val="00552917"/>
    <w:rsid w:val="00563CBE"/>
    <w:rsid w:val="005758F4"/>
    <w:rsid w:val="00585F98"/>
    <w:rsid w:val="005C3CBF"/>
    <w:rsid w:val="005D7066"/>
    <w:rsid w:val="005F195F"/>
    <w:rsid w:val="005F5360"/>
    <w:rsid w:val="00606D2C"/>
    <w:rsid w:val="0062671F"/>
    <w:rsid w:val="00636031"/>
    <w:rsid w:val="00636531"/>
    <w:rsid w:val="00643FB7"/>
    <w:rsid w:val="0064644C"/>
    <w:rsid w:val="0065342C"/>
    <w:rsid w:val="00667F3A"/>
    <w:rsid w:val="006B440A"/>
    <w:rsid w:val="006C6EEE"/>
    <w:rsid w:val="006C7E51"/>
    <w:rsid w:val="006E64B8"/>
    <w:rsid w:val="006E7A3D"/>
    <w:rsid w:val="006E7CAB"/>
    <w:rsid w:val="006F25D2"/>
    <w:rsid w:val="0070390E"/>
    <w:rsid w:val="0070745F"/>
    <w:rsid w:val="00707A60"/>
    <w:rsid w:val="00734E29"/>
    <w:rsid w:val="00740DC1"/>
    <w:rsid w:val="00750355"/>
    <w:rsid w:val="00774F94"/>
    <w:rsid w:val="0078556D"/>
    <w:rsid w:val="007B53ED"/>
    <w:rsid w:val="007B5796"/>
    <w:rsid w:val="007C73CF"/>
    <w:rsid w:val="007F0BB5"/>
    <w:rsid w:val="0080161E"/>
    <w:rsid w:val="00813009"/>
    <w:rsid w:val="00820FB7"/>
    <w:rsid w:val="008523B5"/>
    <w:rsid w:val="008950BE"/>
    <w:rsid w:val="008B05B2"/>
    <w:rsid w:val="008C0148"/>
    <w:rsid w:val="008C67F5"/>
    <w:rsid w:val="008D625D"/>
    <w:rsid w:val="008F7C8B"/>
    <w:rsid w:val="0092029D"/>
    <w:rsid w:val="00930B53"/>
    <w:rsid w:val="009524F7"/>
    <w:rsid w:val="00963465"/>
    <w:rsid w:val="00972C41"/>
    <w:rsid w:val="009A06DA"/>
    <w:rsid w:val="009A6A6C"/>
    <w:rsid w:val="009E23B0"/>
    <w:rsid w:val="009F33E5"/>
    <w:rsid w:val="00A61479"/>
    <w:rsid w:val="00A738B8"/>
    <w:rsid w:val="00AA1F26"/>
    <w:rsid w:val="00AE52BE"/>
    <w:rsid w:val="00AF24B9"/>
    <w:rsid w:val="00B24349"/>
    <w:rsid w:val="00B32003"/>
    <w:rsid w:val="00B42C39"/>
    <w:rsid w:val="00B576F7"/>
    <w:rsid w:val="00B77F3C"/>
    <w:rsid w:val="00B85166"/>
    <w:rsid w:val="00BA1762"/>
    <w:rsid w:val="00BD225D"/>
    <w:rsid w:val="00C24AD8"/>
    <w:rsid w:val="00C2603A"/>
    <w:rsid w:val="00C402D0"/>
    <w:rsid w:val="00C44BFF"/>
    <w:rsid w:val="00C626FA"/>
    <w:rsid w:val="00C720E8"/>
    <w:rsid w:val="00C732BD"/>
    <w:rsid w:val="00C77F29"/>
    <w:rsid w:val="00CB1FB4"/>
    <w:rsid w:val="00CC1CC9"/>
    <w:rsid w:val="00CC4B6B"/>
    <w:rsid w:val="00CC64C7"/>
    <w:rsid w:val="00CD0317"/>
    <w:rsid w:val="00CD2B30"/>
    <w:rsid w:val="00CD4E07"/>
    <w:rsid w:val="00CF0528"/>
    <w:rsid w:val="00D24CB8"/>
    <w:rsid w:val="00D261D2"/>
    <w:rsid w:val="00D44A1C"/>
    <w:rsid w:val="00D714B3"/>
    <w:rsid w:val="00D76028"/>
    <w:rsid w:val="00D7624A"/>
    <w:rsid w:val="00D80954"/>
    <w:rsid w:val="00DC06B1"/>
    <w:rsid w:val="00DD2CEA"/>
    <w:rsid w:val="00DD71AE"/>
    <w:rsid w:val="00E15FBC"/>
    <w:rsid w:val="00E92E45"/>
    <w:rsid w:val="00EE42FF"/>
    <w:rsid w:val="00EF1DAE"/>
    <w:rsid w:val="00F03D56"/>
    <w:rsid w:val="00F07EED"/>
    <w:rsid w:val="00F2095D"/>
    <w:rsid w:val="00F251EB"/>
    <w:rsid w:val="00F41CBA"/>
    <w:rsid w:val="00F5007C"/>
    <w:rsid w:val="00F65844"/>
    <w:rsid w:val="00F82F2D"/>
    <w:rsid w:val="00F95FCD"/>
    <w:rsid w:val="00F977A3"/>
    <w:rsid w:val="00FC536A"/>
    <w:rsid w:val="00FD0406"/>
    <w:rsid w:val="00FD572A"/>
    <w:rsid w:val="00FD7C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3A1A"/>
    <w:pPr>
      <w:spacing w:before="120" w:after="120" w:line="240" w:lineRule="auto"/>
      <w:jc w:val="both"/>
    </w:pPr>
    <w:rPr>
      <w:rFonts w:ascii="Arial" w:hAnsi="Arial"/>
      <w:sz w:val="24"/>
    </w:rPr>
  </w:style>
  <w:style w:type="paragraph" w:styleId="Nadpis1">
    <w:name w:val="heading 1"/>
    <w:basedOn w:val="Normln"/>
    <w:next w:val="Normln"/>
    <w:link w:val="Nadpis1Char"/>
    <w:uiPriority w:val="9"/>
    <w:qFormat/>
    <w:rsid w:val="008D625D"/>
    <w:pPr>
      <w:keepNext/>
      <w:keepLines/>
      <w:numPr>
        <w:numId w:val="1"/>
      </w:numPr>
      <w:spacing w:before="480"/>
      <w:jc w:val="center"/>
      <w:outlineLvl w:val="0"/>
    </w:pPr>
    <w:rPr>
      <w:rFonts w:eastAsiaTheme="majorEastAsia" w:cstheme="majorBidi"/>
      <w:b/>
      <w:bCs/>
      <w:sz w:val="28"/>
      <w:szCs w:val="28"/>
    </w:rPr>
  </w:style>
  <w:style w:type="paragraph" w:styleId="Nadpis2">
    <w:name w:val="heading 2"/>
    <w:basedOn w:val="Normln"/>
    <w:next w:val="Normln"/>
    <w:link w:val="Nadpis2Char"/>
    <w:uiPriority w:val="9"/>
    <w:unhideWhenUsed/>
    <w:qFormat/>
    <w:rsid w:val="008D625D"/>
    <w:pPr>
      <w:keepNext/>
      <w:keepLines/>
      <w:numPr>
        <w:numId w:val="2"/>
      </w:numPr>
      <w:spacing w:before="200"/>
      <w:jc w:val="left"/>
      <w:outlineLvl w:val="1"/>
    </w:pPr>
    <w:rPr>
      <w:rFonts w:eastAsiaTheme="majorEastAsia" w:cstheme="majorBidi"/>
      <w:b/>
      <w:bCs/>
      <w:szCs w:val="26"/>
      <w:u w:val="single"/>
    </w:rPr>
  </w:style>
  <w:style w:type="paragraph" w:styleId="Nadpis3">
    <w:name w:val="heading 3"/>
    <w:basedOn w:val="Normln"/>
    <w:next w:val="Normln"/>
    <w:link w:val="Nadpis3Char"/>
    <w:autoRedefine/>
    <w:uiPriority w:val="9"/>
    <w:unhideWhenUsed/>
    <w:qFormat/>
    <w:rsid w:val="007B5796"/>
    <w:pPr>
      <w:keepNext/>
      <w:keepLines/>
      <w:numPr>
        <w:ilvl w:val="1"/>
        <w:numId w:val="2"/>
      </w:numPr>
      <w:spacing w:before="200" w:after="200"/>
      <w:outlineLvl w:val="2"/>
    </w:pPr>
    <w:rPr>
      <w:rFonts w:eastAsiaTheme="majorEastAsia" w:cstheme="majorBidi"/>
      <w:bCs/>
      <w:i/>
      <w:color w:val="1F497D" w:themeColor="text2"/>
    </w:rPr>
  </w:style>
  <w:style w:type="paragraph" w:styleId="Nadpis4">
    <w:name w:val="heading 4"/>
    <w:basedOn w:val="Normln"/>
    <w:next w:val="Normln"/>
    <w:link w:val="Nadpis4Char"/>
    <w:uiPriority w:val="9"/>
    <w:unhideWhenUsed/>
    <w:qFormat/>
    <w:rsid w:val="002424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D625D"/>
    <w:rPr>
      <w:rFonts w:ascii="Arial" w:eastAsiaTheme="majorEastAsia" w:hAnsi="Arial" w:cstheme="majorBidi"/>
      <w:b/>
      <w:bCs/>
      <w:sz w:val="28"/>
      <w:szCs w:val="28"/>
    </w:rPr>
  </w:style>
  <w:style w:type="character" w:customStyle="1" w:styleId="Nadpis2Char">
    <w:name w:val="Nadpis 2 Char"/>
    <w:basedOn w:val="Standardnpsmoodstavce"/>
    <w:link w:val="Nadpis2"/>
    <w:uiPriority w:val="9"/>
    <w:rsid w:val="008D625D"/>
    <w:rPr>
      <w:rFonts w:ascii="Arial" w:eastAsiaTheme="majorEastAsia" w:hAnsi="Arial" w:cstheme="majorBidi"/>
      <w:b/>
      <w:bCs/>
      <w:sz w:val="24"/>
      <w:szCs w:val="26"/>
      <w:u w:val="single"/>
    </w:rPr>
  </w:style>
  <w:style w:type="character" w:customStyle="1" w:styleId="Nadpis3Char">
    <w:name w:val="Nadpis 3 Char"/>
    <w:basedOn w:val="Standardnpsmoodstavce"/>
    <w:link w:val="Nadpis3"/>
    <w:uiPriority w:val="9"/>
    <w:rsid w:val="007B5796"/>
    <w:rPr>
      <w:rFonts w:ascii="Arial" w:eastAsiaTheme="majorEastAsia" w:hAnsi="Arial" w:cstheme="majorBidi"/>
      <w:bCs/>
      <w:i/>
      <w:color w:val="1F497D" w:themeColor="text2"/>
      <w:sz w:val="24"/>
    </w:rPr>
  </w:style>
  <w:style w:type="table" w:styleId="Mkatabulky">
    <w:name w:val="Table Grid"/>
    <w:basedOn w:val="Normlntabulka"/>
    <w:uiPriority w:val="59"/>
    <w:rsid w:val="008D6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D625D"/>
    <w:pPr>
      <w:tabs>
        <w:tab w:val="center" w:pos="4536"/>
        <w:tab w:val="right" w:pos="9072"/>
      </w:tabs>
    </w:pPr>
  </w:style>
  <w:style w:type="character" w:customStyle="1" w:styleId="ZhlavChar">
    <w:name w:val="Záhlaví Char"/>
    <w:basedOn w:val="Standardnpsmoodstavce"/>
    <w:link w:val="Zhlav"/>
    <w:uiPriority w:val="99"/>
    <w:rsid w:val="008D625D"/>
    <w:rPr>
      <w:rFonts w:ascii="Arial" w:hAnsi="Arial"/>
      <w:sz w:val="24"/>
    </w:rPr>
  </w:style>
  <w:style w:type="paragraph" w:styleId="Zpat">
    <w:name w:val="footer"/>
    <w:basedOn w:val="Normln"/>
    <w:link w:val="ZpatChar"/>
    <w:uiPriority w:val="99"/>
    <w:unhideWhenUsed/>
    <w:rsid w:val="008D625D"/>
    <w:pPr>
      <w:tabs>
        <w:tab w:val="center" w:pos="4536"/>
        <w:tab w:val="right" w:pos="9072"/>
      </w:tabs>
    </w:pPr>
  </w:style>
  <w:style w:type="character" w:customStyle="1" w:styleId="ZpatChar">
    <w:name w:val="Zápatí Char"/>
    <w:basedOn w:val="Standardnpsmoodstavce"/>
    <w:link w:val="Zpat"/>
    <w:uiPriority w:val="99"/>
    <w:rsid w:val="008D625D"/>
    <w:rPr>
      <w:rFonts w:ascii="Arial" w:hAnsi="Arial"/>
      <w:sz w:val="24"/>
    </w:rPr>
  </w:style>
  <w:style w:type="character" w:styleId="Hypertextovodkaz">
    <w:name w:val="Hyperlink"/>
    <w:basedOn w:val="Standardnpsmoodstavce"/>
    <w:uiPriority w:val="99"/>
    <w:unhideWhenUsed/>
    <w:rsid w:val="008D625D"/>
    <w:rPr>
      <w:color w:val="0000FF" w:themeColor="hyperlink"/>
      <w:u w:val="single"/>
    </w:rPr>
  </w:style>
  <w:style w:type="paragraph" w:styleId="Nadpisobsahu">
    <w:name w:val="TOC Heading"/>
    <w:basedOn w:val="Nadpis1"/>
    <w:next w:val="Normln"/>
    <w:uiPriority w:val="39"/>
    <w:semiHidden/>
    <w:unhideWhenUsed/>
    <w:qFormat/>
    <w:rsid w:val="008D625D"/>
    <w:pPr>
      <w:numPr>
        <w:numId w:val="0"/>
      </w:numPr>
      <w:jc w:val="left"/>
      <w:outlineLvl w:val="9"/>
    </w:pPr>
    <w:rPr>
      <w:rFonts w:asciiTheme="majorHAnsi" w:hAnsiTheme="majorHAnsi"/>
      <w:color w:val="365F91" w:themeColor="accent1" w:themeShade="BF"/>
      <w:lang w:eastAsia="cs-CZ"/>
    </w:rPr>
  </w:style>
  <w:style w:type="paragraph" w:styleId="Obsah1">
    <w:name w:val="toc 1"/>
    <w:basedOn w:val="Normln"/>
    <w:next w:val="Normln"/>
    <w:autoRedefine/>
    <w:uiPriority w:val="39"/>
    <w:unhideWhenUsed/>
    <w:qFormat/>
    <w:rsid w:val="004A62B5"/>
    <w:pPr>
      <w:tabs>
        <w:tab w:val="left" w:pos="284"/>
        <w:tab w:val="right" w:leader="dot" w:pos="9062"/>
      </w:tabs>
      <w:spacing w:after="100"/>
    </w:pPr>
    <w:rPr>
      <w:b/>
      <w:noProof/>
      <w:lang w:eastAsia="cs-CZ"/>
    </w:rPr>
  </w:style>
  <w:style w:type="paragraph" w:styleId="Obsah2">
    <w:name w:val="toc 2"/>
    <w:basedOn w:val="Normln"/>
    <w:next w:val="Normln"/>
    <w:autoRedefine/>
    <w:uiPriority w:val="39"/>
    <w:unhideWhenUsed/>
    <w:qFormat/>
    <w:rsid w:val="00B32003"/>
    <w:pPr>
      <w:tabs>
        <w:tab w:val="right" w:leader="dot" w:pos="9062"/>
      </w:tabs>
      <w:spacing w:after="100"/>
      <w:ind w:left="284" w:hanging="284"/>
    </w:pPr>
  </w:style>
  <w:style w:type="paragraph" w:styleId="Obsah3">
    <w:name w:val="toc 3"/>
    <w:basedOn w:val="Normln"/>
    <w:next w:val="Normln"/>
    <w:autoRedefine/>
    <w:uiPriority w:val="39"/>
    <w:unhideWhenUsed/>
    <w:qFormat/>
    <w:rsid w:val="008D625D"/>
    <w:pPr>
      <w:spacing w:after="100"/>
      <w:ind w:left="480"/>
    </w:pPr>
  </w:style>
  <w:style w:type="paragraph" w:styleId="Seznamobrzk">
    <w:name w:val="table of figures"/>
    <w:basedOn w:val="Normln"/>
    <w:next w:val="Normln"/>
    <w:uiPriority w:val="99"/>
    <w:unhideWhenUsed/>
    <w:rsid w:val="008D625D"/>
    <w:pPr>
      <w:tabs>
        <w:tab w:val="right" w:leader="dot" w:pos="9062"/>
      </w:tabs>
    </w:pPr>
    <w:rPr>
      <w:noProof/>
      <w:sz w:val="16"/>
      <w:szCs w:val="16"/>
    </w:rPr>
  </w:style>
  <w:style w:type="paragraph" w:styleId="Textbubliny">
    <w:name w:val="Balloon Text"/>
    <w:basedOn w:val="Normln"/>
    <w:link w:val="TextbublinyChar"/>
    <w:uiPriority w:val="99"/>
    <w:semiHidden/>
    <w:unhideWhenUsed/>
    <w:rsid w:val="008D625D"/>
    <w:rPr>
      <w:rFonts w:ascii="Tahoma" w:hAnsi="Tahoma" w:cs="Tahoma"/>
      <w:sz w:val="16"/>
      <w:szCs w:val="16"/>
    </w:rPr>
  </w:style>
  <w:style w:type="character" w:customStyle="1" w:styleId="TextbublinyChar">
    <w:name w:val="Text bubliny Char"/>
    <w:basedOn w:val="Standardnpsmoodstavce"/>
    <w:link w:val="Textbubliny"/>
    <w:uiPriority w:val="99"/>
    <w:semiHidden/>
    <w:rsid w:val="008D625D"/>
    <w:rPr>
      <w:rFonts w:ascii="Tahoma" w:hAnsi="Tahoma" w:cs="Tahoma"/>
      <w:sz w:val="16"/>
      <w:szCs w:val="16"/>
    </w:rPr>
  </w:style>
  <w:style w:type="paragraph" w:styleId="Titulek">
    <w:name w:val="caption"/>
    <w:basedOn w:val="Normln"/>
    <w:next w:val="Normln"/>
    <w:uiPriority w:val="35"/>
    <w:unhideWhenUsed/>
    <w:qFormat/>
    <w:rsid w:val="00CD2B30"/>
    <w:pPr>
      <w:spacing w:after="200"/>
    </w:pPr>
    <w:rPr>
      <w:b/>
      <w:bCs/>
      <w:color w:val="4F81BD" w:themeColor="accent1"/>
      <w:sz w:val="18"/>
      <w:szCs w:val="18"/>
    </w:rPr>
  </w:style>
  <w:style w:type="paragraph" w:styleId="Textpoznpodarou">
    <w:name w:val="footnote text"/>
    <w:basedOn w:val="Normln"/>
    <w:link w:val="TextpoznpodarouChar"/>
    <w:uiPriority w:val="99"/>
    <w:semiHidden/>
    <w:unhideWhenUsed/>
    <w:rsid w:val="00C77F29"/>
    <w:rPr>
      <w:sz w:val="20"/>
      <w:szCs w:val="20"/>
    </w:rPr>
  </w:style>
  <w:style w:type="character" w:customStyle="1" w:styleId="TextpoznpodarouChar">
    <w:name w:val="Text pozn. pod čarou Char"/>
    <w:basedOn w:val="Standardnpsmoodstavce"/>
    <w:link w:val="Textpoznpodarou"/>
    <w:uiPriority w:val="99"/>
    <w:semiHidden/>
    <w:rsid w:val="00C77F29"/>
    <w:rPr>
      <w:rFonts w:ascii="Arial" w:hAnsi="Arial"/>
      <w:sz w:val="20"/>
      <w:szCs w:val="20"/>
    </w:rPr>
  </w:style>
  <w:style w:type="character" w:styleId="Znakapoznpodarou">
    <w:name w:val="footnote reference"/>
    <w:basedOn w:val="Standardnpsmoodstavce"/>
    <w:uiPriority w:val="99"/>
    <w:semiHidden/>
    <w:unhideWhenUsed/>
    <w:rsid w:val="00C77F29"/>
    <w:rPr>
      <w:vertAlign w:val="superscript"/>
    </w:rPr>
  </w:style>
  <w:style w:type="paragraph" w:styleId="Odstavecseseznamem">
    <w:name w:val="List Paragraph"/>
    <w:basedOn w:val="Normln"/>
    <w:uiPriority w:val="34"/>
    <w:qFormat/>
    <w:rsid w:val="00227EB3"/>
    <w:pPr>
      <w:spacing w:before="0" w:after="0" w:line="276" w:lineRule="auto"/>
      <w:ind w:left="720"/>
      <w:contextualSpacing/>
    </w:pPr>
  </w:style>
  <w:style w:type="character" w:customStyle="1" w:styleId="Nadpis4Char">
    <w:name w:val="Nadpis 4 Char"/>
    <w:basedOn w:val="Standardnpsmoodstavce"/>
    <w:link w:val="Nadpis4"/>
    <w:uiPriority w:val="9"/>
    <w:rsid w:val="002424FF"/>
    <w:rPr>
      <w:rFonts w:asciiTheme="majorHAnsi" w:eastAsiaTheme="majorEastAsia" w:hAnsiTheme="majorHAnsi" w:cstheme="majorBidi"/>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3A1A"/>
    <w:pPr>
      <w:spacing w:before="120" w:after="120" w:line="240" w:lineRule="auto"/>
      <w:jc w:val="both"/>
    </w:pPr>
    <w:rPr>
      <w:rFonts w:ascii="Arial" w:hAnsi="Arial"/>
      <w:sz w:val="24"/>
    </w:rPr>
  </w:style>
  <w:style w:type="paragraph" w:styleId="Nadpis1">
    <w:name w:val="heading 1"/>
    <w:basedOn w:val="Normln"/>
    <w:next w:val="Normln"/>
    <w:link w:val="Nadpis1Char"/>
    <w:uiPriority w:val="9"/>
    <w:qFormat/>
    <w:rsid w:val="008D625D"/>
    <w:pPr>
      <w:keepNext/>
      <w:keepLines/>
      <w:numPr>
        <w:numId w:val="1"/>
      </w:numPr>
      <w:spacing w:before="480"/>
      <w:jc w:val="center"/>
      <w:outlineLvl w:val="0"/>
    </w:pPr>
    <w:rPr>
      <w:rFonts w:eastAsiaTheme="majorEastAsia" w:cstheme="majorBidi"/>
      <w:b/>
      <w:bCs/>
      <w:sz w:val="28"/>
      <w:szCs w:val="28"/>
    </w:rPr>
  </w:style>
  <w:style w:type="paragraph" w:styleId="Nadpis2">
    <w:name w:val="heading 2"/>
    <w:basedOn w:val="Normln"/>
    <w:next w:val="Normln"/>
    <w:link w:val="Nadpis2Char"/>
    <w:uiPriority w:val="9"/>
    <w:unhideWhenUsed/>
    <w:qFormat/>
    <w:rsid w:val="008D625D"/>
    <w:pPr>
      <w:keepNext/>
      <w:keepLines/>
      <w:numPr>
        <w:numId w:val="2"/>
      </w:numPr>
      <w:spacing w:before="200"/>
      <w:jc w:val="left"/>
      <w:outlineLvl w:val="1"/>
    </w:pPr>
    <w:rPr>
      <w:rFonts w:eastAsiaTheme="majorEastAsia" w:cstheme="majorBidi"/>
      <w:b/>
      <w:bCs/>
      <w:szCs w:val="26"/>
      <w:u w:val="single"/>
    </w:rPr>
  </w:style>
  <w:style w:type="paragraph" w:styleId="Nadpis3">
    <w:name w:val="heading 3"/>
    <w:basedOn w:val="Normln"/>
    <w:next w:val="Normln"/>
    <w:link w:val="Nadpis3Char"/>
    <w:autoRedefine/>
    <w:uiPriority w:val="9"/>
    <w:unhideWhenUsed/>
    <w:qFormat/>
    <w:rsid w:val="007B5796"/>
    <w:pPr>
      <w:keepNext/>
      <w:keepLines/>
      <w:numPr>
        <w:ilvl w:val="1"/>
        <w:numId w:val="2"/>
      </w:numPr>
      <w:spacing w:before="200" w:after="200"/>
      <w:outlineLvl w:val="2"/>
    </w:pPr>
    <w:rPr>
      <w:rFonts w:eastAsiaTheme="majorEastAsia" w:cstheme="majorBidi"/>
      <w:bCs/>
      <w:i/>
      <w:color w:val="1F497D" w:themeColor="text2"/>
    </w:rPr>
  </w:style>
  <w:style w:type="paragraph" w:styleId="Nadpis4">
    <w:name w:val="heading 4"/>
    <w:basedOn w:val="Normln"/>
    <w:next w:val="Normln"/>
    <w:link w:val="Nadpis4Char"/>
    <w:uiPriority w:val="9"/>
    <w:unhideWhenUsed/>
    <w:qFormat/>
    <w:rsid w:val="002424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D625D"/>
    <w:rPr>
      <w:rFonts w:ascii="Arial" w:eastAsiaTheme="majorEastAsia" w:hAnsi="Arial" w:cstheme="majorBidi"/>
      <w:b/>
      <w:bCs/>
      <w:sz w:val="28"/>
      <w:szCs w:val="28"/>
    </w:rPr>
  </w:style>
  <w:style w:type="character" w:customStyle="1" w:styleId="Nadpis2Char">
    <w:name w:val="Nadpis 2 Char"/>
    <w:basedOn w:val="Standardnpsmoodstavce"/>
    <w:link w:val="Nadpis2"/>
    <w:uiPriority w:val="9"/>
    <w:rsid w:val="008D625D"/>
    <w:rPr>
      <w:rFonts w:ascii="Arial" w:eastAsiaTheme="majorEastAsia" w:hAnsi="Arial" w:cstheme="majorBidi"/>
      <w:b/>
      <w:bCs/>
      <w:sz w:val="24"/>
      <w:szCs w:val="26"/>
      <w:u w:val="single"/>
    </w:rPr>
  </w:style>
  <w:style w:type="character" w:customStyle="1" w:styleId="Nadpis3Char">
    <w:name w:val="Nadpis 3 Char"/>
    <w:basedOn w:val="Standardnpsmoodstavce"/>
    <w:link w:val="Nadpis3"/>
    <w:uiPriority w:val="9"/>
    <w:rsid w:val="007B5796"/>
    <w:rPr>
      <w:rFonts w:ascii="Arial" w:eastAsiaTheme="majorEastAsia" w:hAnsi="Arial" w:cstheme="majorBidi"/>
      <w:bCs/>
      <w:i/>
      <w:color w:val="1F497D" w:themeColor="text2"/>
      <w:sz w:val="24"/>
    </w:rPr>
  </w:style>
  <w:style w:type="table" w:styleId="Mkatabulky">
    <w:name w:val="Table Grid"/>
    <w:basedOn w:val="Normlntabulka"/>
    <w:uiPriority w:val="59"/>
    <w:rsid w:val="008D6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D625D"/>
    <w:pPr>
      <w:tabs>
        <w:tab w:val="center" w:pos="4536"/>
        <w:tab w:val="right" w:pos="9072"/>
      </w:tabs>
    </w:pPr>
  </w:style>
  <w:style w:type="character" w:customStyle="1" w:styleId="ZhlavChar">
    <w:name w:val="Záhlaví Char"/>
    <w:basedOn w:val="Standardnpsmoodstavce"/>
    <w:link w:val="Zhlav"/>
    <w:uiPriority w:val="99"/>
    <w:rsid w:val="008D625D"/>
    <w:rPr>
      <w:rFonts w:ascii="Arial" w:hAnsi="Arial"/>
      <w:sz w:val="24"/>
    </w:rPr>
  </w:style>
  <w:style w:type="paragraph" w:styleId="Zpat">
    <w:name w:val="footer"/>
    <w:basedOn w:val="Normln"/>
    <w:link w:val="ZpatChar"/>
    <w:uiPriority w:val="99"/>
    <w:unhideWhenUsed/>
    <w:rsid w:val="008D625D"/>
    <w:pPr>
      <w:tabs>
        <w:tab w:val="center" w:pos="4536"/>
        <w:tab w:val="right" w:pos="9072"/>
      </w:tabs>
    </w:pPr>
  </w:style>
  <w:style w:type="character" w:customStyle="1" w:styleId="ZpatChar">
    <w:name w:val="Zápatí Char"/>
    <w:basedOn w:val="Standardnpsmoodstavce"/>
    <w:link w:val="Zpat"/>
    <w:uiPriority w:val="99"/>
    <w:rsid w:val="008D625D"/>
    <w:rPr>
      <w:rFonts w:ascii="Arial" w:hAnsi="Arial"/>
      <w:sz w:val="24"/>
    </w:rPr>
  </w:style>
  <w:style w:type="character" w:styleId="Hypertextovodkaz">
    <w:name w:val="Hyperlink"/>
    <w:basedOn w:val="Standardnpsmoodstavce"/>
    <w:uiPriority w:val="99"/>
    <w:unhideWhenUsed/>
    <w:rsid w:val="008D625D"/>
    <w:rPr>
      <w:color w:val="0000FF" w:themeColor="hyperlink"/>
      <w:u w:val="single"/>
    </w:rPr>
  </w:style>
  <w:style w:type="paragraph" w:styleId="Nadpisobsahu">
    <w:name w:val="TOC Heading"/>
    <w:basedOn w:val="Nadpis1"/>
    <w:next w:val="Normln"/>
    <w:uiPriority w:val="39"/>
    <w:semiHidden/>
    <w:unhideWhenUsed/>
    <w:qFormat/>
    <w:rsid w:val="008D625D"/>
    <w:pPr>
      <w:numPr>
        <w:numId w:val="0"/>
      </w:numPr>
      <w:jc w:val="left"/>
      <w:outlineLvl w:val="9"/>
    </w:pPr>
    <w:rPr>
      <w:rFonts w:asciiTheme="majorHAnsi" w:hAnsiTheme="majorHAnsi"/>
      <w:color w:val="365F91" w:themeColor="accent1" w:themeShade="BF"/>
      <w:lang w:eastAsia="cs-CZ"/>
    </w:rPr>
  </w:style>
  <w:style w:type="paragraph" w:styleId="Obsah1">
    <w:name w:val="toc 1"/>
    <w:basedOn w:val="Normln"/>
    <w:next w:val="Normln"/>
    <w:autoRedefine/>
    <w:uiPriority w:val="39"/>
    <w:unhideWhenUsed/>
    <w:qFormat/>
    <w:rsid w:val="004A62B5"/>
    <w:pPr>
      <w:tabs>
        <w:tab w:val="left" w:pos="284"/>
        <w:tab w:val="right" w:leader="dot" w:pos="9062"/>
      </w:tabs>
      <w:spacing w:after="100"/>
    </w:pPr>
    <w:rPr>
      <w:b/>
      <w:noProof/>
      <w:lang w:eastAsia="cs-CZ"/>
    </w:rPr>
  </w:style>
  <w:style w:type="paragraph" w:styleId="Obsah2">
    <w:name w:val="toc 2"/>
    <w:basedOn w:val="Normln"/>
    <w:next w:val="Normln"/>
    <w:autoRedefine/>
    <w:uiPriority w:val="39"/>
    <w:unhideWhenUsed/>
    <w:qFormat/>
    <w:rsid w:val="00B32003"/>
    <w:pPr>
      <w:tabs>
        <w:tab w:val="right" w:leader="dot" w:pos="9062"/>
      </w:tabs>
      <w:spacing w:after="100"/>
      <w:ind w:left="284" w:hanging="284"/>
    </w:pPr>
  </w:style>
  <w:style w:type="paragraph" w:styleId="Obsah3">
    <w:name w:val="toc 3"/>
    <w:basedOn w:val="Normln"/>
    <w:next w:val="Normln"/>
    <w:autoRedefine/>
    <w:uiPriority w:val="39"/>
    <w:unhideWhenUsed/>
    <w:qFormat/>
    <w:rsid w:val="008D625D"/>
    <w:pPr>
      <w:spacing w:after="100"/>
      <w:ind w:left="480"/>
    </w:pPr>
  </w:style>
  <w:style w:type="paragraph" w:styleId="Seznamobrzk">
    <w:name w:val="table of figures"/>
    <w:basedOn w:val="Normln"/>
    <w:next w:val="Normln"/>
    <w:uiPriority w:val="99"/>
    <w:unhideWhenUsed/>
    <w:rsid w:val="008D625D"/>
    <w:pPr>
      <w:tabs>
        <w:tab w:val="right" w:leader="dot" w:pos="9062"/>
      </w:tabs>
    </w:pPr>
    <w:rPr>
      <w:noProof/>
      <w:sz w:val="16"/>
      <w:szCs w:val="16"/>
    </w:rPr>
  </w:style>
  <w:style w:type="paragraph" w:styleId="Textbubliny">
    <w:name w:val="Balloon Text"/>
    <w:basedOn w:val="Normln"/>
    <w:link w:val="TextbublinyChar"/>
    <w:uiPriority w:val="99"/>
    <w:semiHidden/>
    <w:unhideWhenUsed/>
    <w:rsid w:val="008D625D"/>
    <w:rPr>
      <w:rFonts w:ascii="Tahoma" w:hAnsi="Tahoma" w:cs="Tahoma"/>
      <w:sz w:val="16"/>
      <w:szCs w:val="16"/>
    </w:rPr>
  </w:style>
  <w:style w:type="character" w:customStyle="1" w:styleId="TextbublinyChar">
    <w:name w:val="Text bubliny Char"/>
    <w:basedOn w:val="Standardnpsmoodstavce"/>
    <w:link w:val="Textbubliny"/>
    <w:uiPriority w:val="99"/>
    <w:semiHidden/>
    <w:rsid w:val="008D625D"/>
    <w:rPr>
      <w:rFonts w:ascii="Tahoma" w:hAnsi="Tahoma" w:cs="Tahoma"/>
      <w:sz w:val="16"/>
      <w:szCs w:val="16"/>
    </w:rPr>
  </w:style>
  <w:style w:type="paragraph" w:styleId="Titulek">
    <w:name w:val="caption"/>
    <w:basedOn w:val="Normln"/>
    <w:next w:val="Normln"/>
    <w:uiPriority w:val="35"/>
    <w:unhideWhenUsed/>
    <w:qFormat/>
    <w:rsid w:val="00CD2B30"/>
    <w:pPr>
      <w:spacing w:after="200"/>
    </w:pPr>
    <w:rPr>
      <w:b/>
      <w:bCs/>
      <w:color w:val="4F81BD" w:themeColor="accent1"/>
      <w:sz w:val="18"/>
      <w:szCs w:val="18"/>
    </w:rPr>
  </w:style>
  <w:style w:type="paragraph" w:styleId="Textpoznpodarou">
    <w:name w:val="footnote text"/>
    <w:basedOn w:val="Normln"/>
    <w:link w:val="TextpoznpodarouChar"/>
    <w:uiPriority w:val="99"/>
    <w:semiHidden/>
    <w:unhideWhenUsed/>
    <w:rsid w:val="00C77F29"/>
    <w:rPr>
      <w:sz w:val="20"/>
      <w:szCs w:val="20"/>
    </w:rPr>
  </w:style>
  <w:style w:type="character" w:customStyle="1" w:styleId="TextpoznpodarouChar">
    <w:name w:val="Text pozn. pod čarou Char"/>
    <w:basedOn w:val="Standardnpsmoodstavce"/>
    <w:link w:val="Textpoznpodarou"/>
    <w:uiPriority w:val="99"/>
    <w:semiHidden/>
    <w:rsid w:val="00C77F29"/>
    <w:rPr>
      <w:rFonts w:ascii="Arial" w:hAnsi="Arial"/>
      <w:sz w:val="20"/>
      <w:szCs w:val="20"/>
    </w:rPr>
  </w:style>
  <w:style w:type="character" w:styleId="Znakapoznpodarou">
    <w:name w:val="footnote reference"/>
    <w:basedOn w:val="Standardnpsmoodstavce"/>
    <w:uiPriority w:val="99"/>
    <w:semiHidden/>
    <w:unhideWhenUsed/>
    <w:rsid w:val="00C77F29"/>
    <w:rPr>
      <w:vertAlign w:val="superscript"/>
    </w:rPr>
  </w:style>
  <w:style w:type="paragraph" w:styleId="Odstavecseseznamem">
    <w:name w:val="List Paragraph"/>
    <w:basedOn w:val="Normln"/>
    <w:uiPriority w:val="34"/>
    <w:qFormat/>
    <w:rsid w:val="00227EB3"/>
    <w:pPr>
      <w:spacing w:before="0" w:after="0" w:line="276" w:lineRule="auto"/>
      <w:ind w:left="720"/>
      <w:contextualSpacing/>
    </w:pPr>
  </w:style>
  <w:style w:type="character" w:customStyle="1" w:styleId="Nadpis4Char">
    <w:name w:val="Nadpis 4 Char"/>
    <w:basedOn w:val="Standardnpsmoodstavce"/>
    <w:link w:val="Nadpis4"/>
    <w:uiPriority w:val="9"/>
    <w:rsid w:val="002424FF"/>
    <w:rPr>
      <w:rFonts w:asciiTheme="majorHAnsi" w:eastAsiaTheme="majorEastAsia" w:hAnsiTheme="majorHAnsi" w:cstheme="majorBidi"/>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737">
      <w:bodyDiv w:val="1"/>
      <w:marLeft w:val="0"/>
      <w:marRight w:val="0"/>
      <w:marTop w:val="0"/>
      <w:marBottom w:val="0"/>
      <w:divBdr>
        <w:top w:val="none" w:sz="0" w:space="0" w:color="auto"/>
        <w:left w:val="none" w:sz="0" w:space="0" w:color="auto"/>
        <w:bottom w:val="none" w:sz="0" w:space="0" w:color="auto"/>
        <w:right w:val="none" w:sz="0" w:space="0" w:color="auto"/>
      </w:divBdr>
    </w:div>
    <w:div w:id="727266120">
      <w:bodyDiv w:val="1"/>
      <w:marLeft w:val="0"/>
      <w:marRight w:val="0"/>
      <w:marTop w:val="0"/>
      <w:marBottom w:val="0"/>
      <w:divBdr>
        <w:top w:val="none" w:sz="0" w:space="0" w:color="auto"/>
        <w:left w:val="none" w:sz="0" w:space="0" w:color="auto"/>
        <w:bottom w:val="none" w:sz="0" w:space="0" w:color="auto"/>
        <w:right w:val="none" w:sz="0" w:space="0" w:color="auto"/>
      </w:divBdr>
    </w:div>
    <w:div w:id="826172206">
      <w:bodyDiv w:val="1"/>
      <w:marLeft w:val="0"/>
      <w:marRight w:val="0"/>
      <w:marTop w:val="0"/>
      <w:marBottom w:val="0"/>
      <w:divBdr>
        <w:top w:val="none" w:sz="0" w:space="0" w:color="auto"/>
        <w:left w:val="none" w:sz="0" w:space="0" w:color="auto"/>
        <w:bottom w:val="none" w:sz="0" w:space="0" w:color="auto"/>
        <w:right w:val="none" w:sz="0" w:space="0" w:color="auto"/>
      </w:divBdr>
    </w:div>
    <w:div w:id="1089961625">
      <w:bodyDiv w:val="1"/>
      <w:marLeft w:val="0"/>
      <w:marRight w:val="0"/>
      <w:marTop w:val="0"/>
      <w:marBottom w:val="0"/>
      <w:divBdr>
        <w:top w:val="none" w:sz="0" w:space="0" w:color="auto"/>
        <w:left w:val="none" w:sz="0" w:space="0" w:color="auto"/>
        <w:bottom w:val="none" w:sz="0" w:space="0" w:color="auto"/>
        <w:right w:val="none" w:sz="0" w:space="0" w:color="auto"/>
      </w:divBdr>
    </w:div>
    <w:div w:id="1141774797">
      <w:bodyDiv w:val="1"/>
      <w:marLeft w:val="0"/>
      <w:marRight w:val="0"/>
      <w:marTop w:val="0"/>
      <w:marBottom w:val="0"/>
      <w:divBdr>
        <w:top w:val="none" w:sz="0" w:space="0" w:color="auto"/>
        <w:left w:val="none" w:sz="0" w:space="0" w:color="auto"/>
        <w:bottom w:val="none" w:sz="0" w:space="0" w:color="auto"/>
        <w:right w:val="none" w:sz="0" w:space="0" w:color="auto"/>
      </w:divBdr>
    </w:div>
    <w:div w:id="1324164342">
      <w:bodyDiv w:val="1"/>
      <w:marLeft w:val="0"/>
      <w:marRight w:val="0"/>
      <w:marTop w:val="0"/>
      <w:marBottom w:val="0"/>
      <w:divBdr>
        <w:top w:val="none" w:sz="0" w:space="0" w:color="auto"/>
        <w:left w:val="none" w:sz="0" w:space="0" w:color="auto"/>
        <w:bottom w:val="none" w:sz="0" w:space="0" w:color="auto"/>
        <w:right w:val="none" w:sz="0" w:space="0" w:color="auto"/>
      </w:divBdr>
    </w:div>
    <w:div w:id="1340893467">
      <w:bodyDiv w:val="1"/>
      <w:marLeft w:val="0"/>
      <w:marRight w:val="0"/>
      <w:marTop w:val="0"/>
      <w:marBottom w:val="0"/>
      <w:divBdr>
        <w:top w:val="none" w:sz="0" w:space="0" w:color="auto"/>
        <w:left w:val="none" w:sz="0" w:space="0" w:color="auto"/>
        <w:bottom w:val="none" w:sz="0" w:space="0" w:color="auto"/>
        <w:right w:val="none" w:sz="0" w:space="0" w:color="auto"/>
      </w:divBdr>
    </w:div>
    <w:div w:id="1509827841">
      <w:bodyDiv w:val="1"/>
      <w:marLeft w:val="0"/>
      <w:marRight w:val="0"/>
      <w:marTop w:val="0"/>
      <w:marBottom w:val="0"/>
      <w:divBdr>
        <w:top w:val="none" w:sz="0" w:space="0" w:color="auto"/>
        <w:left w:val="none" w:sz="0" w:space="0" w:color="auto"/>
        <w:bottom w:val="none" w:sz="0" w:space="0" w:color="auto"/>
        <w:right w:val="none" w:sz="0" w:space="0" w:color="auto"/>
      </w:divBdr>
    </w:div>
    <w:div w:id="1515533028">
      <w:bodyDiv w:val="1"/>
      <w:marLeft w:val="0"/>
      <w:marRight w:val="0"/>
      <w:marTop w:val="0"/>
      <w:marBottom w:val="0"/>
      <w:divBdr>
        <w:top w:val="none" w:sz="0" w:space="0" w:color="auto"/>
        <w:left w:val="none" w:sz="0" w:space="0" w:color="auto"/>
        <w:bottom w:val="none" w:sz="0" w:space="0" w:color="auto"/>
        <w:right w:val="none" w:sz="0" w:space="0" w:color="auto"/>
      </w:divBdr>
    </w:div>
    <w:div w:id="1842038415">
      <w:bodyDiv w:val="1"/>
      <w:marLeft w:val="0"/>
      <w:marRight w:val="0"/>
      <w:marTop w:val="0"/>
      <w:marBottom w:val="0"/>
      <w:divBdr>
        <w:top w:val="none" w:sz="0" w:space="0" w:color="auto"/>
        <w:left w:val="none" w:sz="0" w:space="0" w:color="auto"/>
        <w:bottom w:val="none" w:sz="0" w:space="0" w:color="auto"/>
        <w:right w:val="none" w:sz="0" w:space="0" w:color="auto"/>
      </w:divBdr>
    </w:div>
    <w:div w:id="1865750955">
      <w:bodyDiv w:val="1"/>
      <w:marLeft w:val="0"/>
      <w:marRight w:val="0"/>
      <w:marTop w:val="0"/>
      <w:marBottom w:val="0"/>
      <w:divBdr>
        <w:top w:val="none" w:sz="0" w:space="0" w:color="auto"/>
        <w:left w:val="none" w:sz="0" w:space="0" w:color="auto"/>
        <w:bottom w:val="none" w:sz="0" w:space="0" w:color="auto"/>
        <w:right w:val="none" w:sz="0" w:space="0" w:color="auto"/>
      </w:divBdr>
    </w:div>
    <w:div w:id="1977292392">
      <w:bodyDiv w:val="1"/>
      <w:marLeft w:val="0"/>
      <w:marRight w:val="0"/>
      <w:marTop w:val="0"/>
      <w:marBottom w:val="0"/>
      <w:divBdr>
        <w:top w:val="none" w:sz="0" w:space="0" w:color="auto"/>
        <w:left w:val="none" w:sz="0" w:space="0" w:color="auto"/>
        <w:bottom w:val="none" w:sz="0" w:space="0" w:color="auto"/>
        <w:right w:val="none" w:sz="0" w:space="0" w:color="auto"/>
      </w:divBdr>
    </w:div>
    <w:div w:id="208378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2.xml"/><Relationship Id="rId26" Type="http://schemas.openxmlformats.org/officeDocument/2006/relationships/chart" Target="charts/chart6.xml"/><Relationship Id="rId39"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chart" Target="charts/chart12.xml"/><Relationship Id="rId42"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image" Target="media/image4.png"/><Relationship Id="rId33" Type="http://schemas.openxmlformats.org/officeDocument/2006/relationships/chart" Target="charts/chart11.xml"/><Relationship Id="rId38" Type="http://schemas.openxmlformats.org/officeDocument/2006/relationships/chart" Target="charts/chart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4.xml"/><Relationship Id="rId29" Type="http://schemas.openxmlformats.org/officeDocument/2006/relationships/chart" Target="charts/chart9.xml"/><Relationship Id="rId41"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3.png"/><Relationship Id="rId32" Type="http://schemas.openxmlformats.org/officeDocument/2006/relationships/image" Target="cid:image002.png@01D3C1D5.01EA3F40" TargetMode="External"/><Relationship Id="rId37" Type="http://schemas.openxmlformats.org/officeDocument/2006/relationships/chart" Target="charts/chart14.xml"/><Relationship Id="rId40" Type="http://schemas.openxmlformats.org/officeDocument/2006/relationships/image" Target="media/image6.emf"/><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ortal.mpsv.cz/sz/stat" TargetMode="External"/><Relationship Id="rId23" Type="http://schemas.openxmlformats.org/officeDocument/2006/relationships/image" Target="media/image2.png"/><Relationship Id="rId28" Type="http://schemas.openxmlformats.org/officeDocument/2006/relationships/chart" Target="charts/chart8.xm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3.xml"/><Relationship Id="rId31" Type="http://schemas.openxmlformats.org/officeDocument/2006/relationships/image" Target="media/image5.png"/><Relationship Id="rId44" Type="http://schemas.openxmlformats.org/officeDocument/2006/relationships/chart" Target="charts/chart1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V:\o401\Dudek%20Pavel\=Strategie=\=MPSV=\Anal&#253;za%20nab&#237;dky%20a%20popt&#225;vky%20na%20TP%20(2016)\=Zpr&#225;vy=\2pol2017\ANTP_2p2017_pracovn&#237;.docx" TargetMode="Externa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3.xml"/><Relationship Id="rId43" Type="http://schemas.openxmlformats.org/officeDocument/2006/relationships/image" Target="media/image9.emf"/></Relationships>
</file>

<file path=word/charts/_rels/chart1.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s-mpa-cls3-spo1.mpsvnet.mpsv.cz\spoldisk\SD_o410\o401\Dudek%20Pavel\=Strategie=\=MPSV=\Anal&#253;za%20nab&#237;dky%20a%20popt&#225;vky%20na%20TP%20(2016)\=Zpr&#225;vy=\data%20sledov&#225;n&#237;\struktura%20UoZ.xlsx" TargetMode="External"/><Relationship Id="rId1" Type="http://schemas.openxmlformats.org/officeDocument/2006/relationships/themeOverride" Target="../theme/themeOverride2.xml"/></Relationships>
</file>

<file path=word/charts/_rels/chart11.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struktura%20UoZ.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struktura%20UoZ.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cizinci.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cizinci.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2pol2017\Kopie%20-%204Q17_12%20intern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7.xml.rels><?xml version="1.0" encoding="UTF-8" standalone="yes"?>
<Relationships xmlns="http://schemas.openxmlformats.org/package/2006/relationships"><Relationship Id="rId2" Type="http://schemas.openxmlformats.org/officeDocument/2006/relationships/oleObject" Target="file:///\\s-mpa-cls3-spo1.mpsvnet.mpsv.cz\spoldisk\SD_o410\o401\Dudek%20Pavel\=Strategie=\=MPSV=\Anal&#253;za%20nab&#237;dky%20a%20popt&#225;vky%20na%20TP%20(2016)\=Zpr&#225;vy=\data%20sledov&#225;n&#237;\struktura%20UoZ.xlsx" TargetMode="External"/><Relationship Id="rId1" Type="http://schemas.openxmlformats.org/officeDocument/2006/relationships/themeOverride" Target="../theme/themeOverride1.xml"/></Relationships>
</file>

<file path=word/charts/_rels/chart8.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struktura%20UoZ.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struktura%20UoZ.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685994203756123E-2"/>
          <c:y val="0.11697878748762962"/>
          <c:w val="0.90569487684662819"/>
          <c:h val="0.67682698679058573"/>
        </c:manualLayout>
      </c:layout>
      <c:barChart>
        <c:barDir val="col"/>
        <c:grouping val="stacked"/>
        <c:varyColors val="0"/>
        <c:ser>
          <c:idx val="0"/>
          <c:order val="0"/>
          <c:tx>
            <c:strRef>
              <c:f>'Neobsazenost podle profesí'!$BB$76</c:f>
              <c:strCache>
                <c:ptCount val="1"/>
                <c:pt idx="0">
                  <c:v>nad 12</c:v>
                </c:pt>
              </c:strCache>
            </c:strRef>
          </c:tx>
          <c:spPr>
            <a:solidFill>
              <a:schemeClr val="accent2">
                <a:lumMod val="75000"/>
              </a:schemeClr>
            </a:solidFill>
          </c:spPr>
          <c:invertIfNegative val="0"/>
          <c:cat>
            <c:strRef>
              <c:f>'Neobsazenost podle profesí'!$AW$77:$AW$86</c:f>
              <c:strCache>
                <c:ptCount val="10"/>
                <c:pt idx="0">
                  <c:v>Zaměstnanci v ozbrojených silách</c:v>
                </c:pt>
                <c:pt idx="1">
                  <c:v>Zákonodárci a řídící pracovníci</c:v>
                </c:pt>
                <c:pt idx="2">
                  <c:v>Specialisté</c:v>
                </c:pt>
                <c:pt idx="3">
                  <c:v>Techničtí a odborní pracovníci</c:v>
                </c:pt>
                <c:pt idx="4">
                  <c:v>Úředníci</c:v>
                </c:pt>
                <c:pt idx="5">
                  <c:v>Pracovníci ve službách a prodeji</c:v>
                </c:pt>
                <c:pt idx="6">
                  <c:v>Kvalifikovaní pracovníci v zem., les., ryb.</c:v>
                </c:pt>
                <c:pt idx="7">
                  <c:v>Řemeslníci a opraváři</c:v>
                </c:pt>
                <c:pt idx="8">
                  <c:v>Obsluha strojů a zařízení, montéři</c:v>
                </c:pt>
                <c:pt idx="9">
                  <c:v>Pomocní a nekvalifik. pracovníci</c:v>
                </c:pt>
              </c:strCache>
            </c:strRef>
          </c:cat>
          <c:val>
            <c:numRef>
              <c:f>'Neobsazenost podle profesí'!$BB$77:$BB$86</c:f>
              <c:numCache>
                <c:formatCode>General</c:formatCode>
                <c:ptCount val="10"/>
                <c:pt idx="0">
                  <c:v>310</c:v>
                </c:pt>
                <c:pt idx="1">
                  <c:v>451</c:v>
                </c:pt>
                <c:pt idx="2" formatCode="#,##0">
                  <c:v>4419</c:v>
                </c:pt>
                <c:pt idx="3" formatCode="#,##0">
                  <c:v>3144</c:v>
                </c:pt>
                <c:pt idx="4" formatCode="#,##0">
                  <c:v>1332</c:v>
                </c:pt>
                <c:pt idx="5" formatCode="#,##0">
                  <c:v>6097</c:v>
                </c:pt>
                <c:pt idx="6">
                  <c:v>427</c:v>
                </c:pt>
                <c:pt idx="7" formatCode="#,##0">
                  <c:v>11726</c:v>
                </c:pt>
                <c:pt idx="8" formatCode="#,##0">
                  <c:v>11800</c:v>
                </c:pt>
                <c:pt idx="9" formatCode="#,##0">
                  <c:v>8509</c:v>
                </c:pt>
              </c:numCache>
            </c:numRef>
          </c:val>
        </c:ser>
        <c:ser>
          <c:idx val="1"/>
          <c:order val="1"/>
          <c:tx>
            <c:strRef>
              <c:f>'Neobsazenost podle profesí'!$BA$76</c:f>
              <c:strCache>
                <c:ptCount val="1"/>
                <c:pt idx="0">
                  <c:v>6-12M</c:v>
                </c:pt>
              </c:strCache>
            </c:strRef>
          </c:tx>
          <c:spPr>
            <a:solidFill>
              <a:schemeClr val="accent2">
                <a:lumMod val="60000"/>
                <a:lumOff val="40000"/>
              </a:schemeClr>
            </a:solidFill>
          </c:spPr>
          <c:invertIfNegative val="0"/>
          <c:cat>
            <c:strRef>
              <c:f>'Neobsazenost podle profesí'!$AW$77:$AW$86</c:f>
              <c:strCache>
                <c:ptCount val="10"/>
                <c:pt idx="0">
                  <c:v>Zaměstnanci v ozbrojených silách</c:v>
                </c:pt>
                <c:pt idx="1">
                  <c:v>Zákonodárci a řídící pracovníci</c:v>
                </c:pt>
                <c:pt idx="2">
                  <c:v>Specialisté</c:v>
                </c:pt>
                <c:pt idx="3">
                  <c:v>Techničtí a odborní pracovníci</c:v>
                </c:pt>
                <c:pt idx="4">
                  <c:v>Úředníci</c:v>
                </c:pt>
                <c:pt idx="5">
                  <c:v>Pracovníci ve službách a prodeji</c:v>
                </c:pt>
                <c:pt idx="6">
                  <c:v>Kvalifikovaní pracovníci v zem., les., ryb.</c:v>
                </c:pt>
                <c:pt idx="7">
                  <c:v>Řemeslníci a opraváři</c:v>
                </c:pt>
                <c:pt idx="8">
                  <c:v>Obsluha strojů a zařízení, montéři</c:v>
                </c:pt>
                <c:pt idx="9">
                  <c:v>Pomocní a nekvalifik. pracovníci</c:v>
                </c:pt>
              </c:strCache>
            </c:strRef>
          </c:cat>
          <c:val>
            <c:numRef>
              <c:f>'Neobsazenost podle profesí'!$BA$77:$BA$86</c:f>
              <c:numCache>
                <c:formatCode>General</c:formatCode>
                <c:ptCount val="10"/>
                <c:pt idx="0">
                  <c:v>20</c:v>
                </c:pt>
                <c:pt idx="1">
                  <c:v>407</c:v>
                </c:pt>
                <c:pt idx="2" formatCode="#,##0">
                  <c:v>3416</c:v>
                </c:pt>
                <c:pt idx="3" formatCode="#,##0">
                  <c:v>2804</c:v>
                </c:pt>
                <c:pt idx="4">
                  <c:v>1211</c:v>
                </c:pt>
                <c:pt idx="5" formatCode="#,##0">
                  <c:v>5764</c:v>
                </c:pt>
                <c:pt idx="6">
                  <c:v>276</c:v>
                </c:pt>
                <c:pt idx="7" formatCode="#,##0">
                  <c:v>10655</c:v>
                </c:pt>
                <c:pt idx="8" formatCode="#,##0">
                  <c:v>13006</c:v>
                </c:pt>
                <c:pt idx="9" formatCode="#,##0">
                  <c:v>7736</c:v>
                </c:pt>
              </c:numCache>
            </c:numRef>
          </c:val>
        </c:ser>
        <c:ser>
          <c:idx val="2"/>
          <c:order val="2"/>
          <c:tx>
            <c:strRef>
              <c:f>'Neobsazenost podle profesí'!$AZ$76</c:f>
              <c:strCache>
                <c:ptCount val="1"/>
                <c:pt idx="0">
                  <c:v>3-6M</c:v>
                </c:pt>
              </c:strCache>
            </c:strRef>
          </c:tx>
          <c:spPr>
            <a:solidFill>
              <a:schemeClr val="tx2">
                <a:lumMod val="40000"/>
                <a:lumOff val="60000"/>
              </a:schemeClr>
            </a:solidFill>
          </c:spPr>
          <c:invertIfNegative val="0"/>
          <c:cat>
            <c:strRef>
              <c:f>'Neobsazenost podle profesí'!$AW$77:$AW$86</c:f>
              <c:strCache>
                <c:ptCount val="10"/>
                <c:pt idx="0">
                  <c:v>Zaměstnanci v ozbrojených silách</c:v>
                </c:pt>
                <c:pt idx="1">
                  <c:v>Zákonodárci a řídící pracovníci</c:v>
                </c:pt>
                <c:pt idx="2">
                  <c:v>Specialisté</c:v>
                </c:pt>
                <c:pt idx="3">
                  <c:v>Techničtí a odborní pracovníci</c:v>
                </c:pt>
                <c:pt idx="4">
                  <c:v>Úředníci</c:v>
                </c:pt>
                <c:pt idx="5">
                  <c:v>Pracovníci ve službách a prodeji</c:v>
                </c:pt>
                <c:pt idx="6">
                  <c:v>Kvalifikovaní pracovníci v zem., les., ryb.</c:v>
                </c:pt>
                <c:pt idx="7">
                  <c:v>Řemeslníci a opraváři</c:v>
                </c:pt>
                <c:pt idx="8">
                  <c:v>Obsluha strojů a zařízení, montéři</c:v>
                </c:pt>
                <c:pt idx="9">
                  <c:v>Pomocní a nekvalifik. pracovníci</c:v>
                </c:pt>
              </c:strCache>
            </c:strRef>
          </c:cat>
          <c:val>
            <c:numRef>
              <c:f>'Neobsazenost podle profesí'!$AZ$77:$AZ$86</c:f>
              <c:numCache>
                <c:formatCode>General</c:formatCode>
                <c:ptCount val="10"/>
                <c:pt idx="0">
                  <c:v>0</c:v>
                </c:pt>
                <c:pt idx="1">
                  <c:v>212</c:v>
                </c:pt>
                <c:pt idx="2" formatCode="#,##0">
                  <c:v>1929</c:v>
                </c:pt>
                <c:pt idx="3" formatCode="#,##0">
                  <c:v>1853</c:v>
                </c:pt>
                <c:pt idx="4" formatCode="#,##0">
                  <c:v>1109</c:v>
                </c:pt>
                <c:pt idx="5" formatCode="#,##0">
                  <c:v>3811</c:v>
                </c:pt>
                <c:pt idx="6">
                  <c:v>306</c:v>
                </c:pt>
                <c:pt idx="7" formatCode="#,##0">
                  <c:v>7376</c:v>
                </c:pt>
                <c:pt idx="8" formatCode="#,##0">
                  <c:v>12823</c:v>
                </c:pt>
                <c:pt idx="9" formatCode="#,##0">
                  <c:v>6457</c:v>
                </c:pt>
              </c:numCache>
            </c:numRef>
          </c:val>
        </c:ser>
        <c:ser>
          <c:idx val="3"/>
          <c:order val="3"/>
          <c:tx>
            <c:strRef>
              <c:f>'Neobsazenost podle profesí'!$AY$76</c:f>
              <c:strCache>
                <c:ptCount val="1"/>
                <c:pt idx="0">
                  <c:v>0-3M</c:v>
                </c:pt>
              </c:strCache>
            </c:strRef>
          </c:tx>
          <c:spPr>
            <a:solidFill>
              <a:schemeClr val="accent3">
                <a:lumMod val="40000"/>
                <a:lumOff val="60000"/>
              </a:schemeClr>
            </a:solidFill>
          </c:spPr>
          <c:invertIfNegative val="0"/>
          <c:cat>
            <c:strRef>
              <c:f>'Neobsazenost podle profesí'!$AW$77:$AW$86</c:f>
              <c:strCache>
                <c:ptCount val="10"/>
                <c:pt idx="0">
                  <c:v>Zaměstnanci v ozbrojených silách</c:v>
                </c:pt>
                <c:pt idx="1">
                  <c:v>Zákonodárci a řídící pracovníci</c:v>
                </c:pt>
                <c:pt idx="2">
                  <c:v>Specialisté</c:v>
                </c:pt>
                <c:pt idx="3">
                  <c:v>Techničtí a odborní pracovníci</c:v>
                </c:pt>
                <c:pt idx="4">
                  <c:v>Úředníci</c:v>
                </c:pt>
                <c:pt idx="5">
                  <c:v>Pracovníci ve službách a prodeji</c:v>
                </c:pt>
                <c:pt idx="6">
                  <c:v>Kvalifikovaní pracovníci v zem., les., ryb.</c:v>
                </c:pt>
                <c:pt idx="7">
                  <c:v>Řemeslníci a opraváři</c:v>
                </c:pt>
                <c:pt idx="8">
                  <c:v>Obsluha strojů a zařízení, montéři</c:v>
                </c:pt>
                <c:pt idx="9">
                  <c:v>Pomocní a nekvalifik. pracovníci</c:v>
                </c:pt>
              </c:strCache>
            </c:strRef>
          </c:cat>
          <c:val>
            <c:numRef>
              <c:f>'Neobsazenost podle profesí'!$AY$77:$AY$86</c:f>
              <c:numCache>
                <c:formatCode>General</c:formatCode>
                <c:ptCount val="10"/>
                <c:pt idx="0">
                  <c:v>50</c:v>
                </c:pt>
                <c:pt idx="1">
                  <c:v>646</c:v>
                </c:pt>
                <c:pt idx="2" formatCode="#,##0">
                  <c:v>4505</c:v>
                </c:pt>
                <c:pt idx="3" formatCode="#,##0">
                  <c:v>4649</c:v>
                </c:pt>
                <c:pt idx="4" formatCode="#,##0">
                  <c:v>3014</c:v>
                </c:pt>
                <c:pt idx="5" formatCode="#,##0">
                  <c:v>9903</c:v>
                </c:pt>
                <c:pt idx="6">
                  <c:v>681</c:v>
                </c:pt>
                <c:pt idx="7" formatCode="#,##0">
                  <c:v>13811</c:v>
                </c:pt>
                <c:pt idx="8" formatCode="#,##0">
                  <c:v>21282</c:v>
                </c:pt>
                <c:pt idx="9" formatCode="#,##0">
                  <c:v>28688</c:v>
                </c:pt>
              </c:numCache>
            </c:numRef>
          </c:val>
        </c:ser>
        <c:dLbls>
          <c:showLegendKey val="0"/>
          <c:showVal val="0"/>
          <c:showCatName val="0"/>
          <c:showSerName val="0"/>
          <c:showPercent val="0"/>
          <c:showBubbleSize val="0"/>
        </c:dLbls>
        <c:gapWidth val="150"/>
        <c:overlap val="100"/>
        <c:axId val="82012032"/>
        <c:axId val="82013568"/>
      </c:barChart>
      <c:catAx>
        <c:axId val="82012032"/>
        <c:scaling>
          <c:orientation val="minMax"/>
        </c:scaling>
        <c:delete val="0"/>
        <c:axPos val="b"/>
        <c:numFmt formatCode="General" sourceLinked="1"/>
        <c:majorTickMark val="out"/>
        <c:minorTickMark val="none"/>
        <c:tickLblPos val="nextTo"/>
        <c:txPr>
          <a:bodyPr rot="0" vert="horz"/>
          <a:lstStyle/>
          <a:p>
            <a:pPr>
              <a:defRPr sz="800">
                <a:latin typeface="+mn-lt"/>
                <a:cs typeface="Arial" panose="020B0604020202020204" pitchFamily="34" charset="0"/>
              </a:defRPr>
            </a:pPr>
            <a:endParaRPr lang="cs-CZ"/>
          </a:p>
        </c:txPr>
        <c:crossAx val="82013568"/>
        <c:crosses val="autoZero"/>
        <c:auto val="1"/>
        <c:lblAlgn val="ctr"/>
        <c:lblOffset val="100"/>
        <c:noMultiLvlLbl val="0"/>
      </c:catAx>
      <c:valAx>
        <c:axId val="82013568"/>
        <c:scaling>
          <c:orientation val="minMax"/>
          <c:max val="70000"/>
          <c:min val="0"/>
        </c:scaling>
        <c:delete val="0"/>
        <c:axPos val="l"/>
        <c:majorGridlines/>
        <c:numFmt formatCode="General" sourceLinked="1"/>
        <c:majorTickMark val="out"/>
        <c:minorTickMark val="in"/>
        <c:tickLblPos val="nextTo"/>
        <c:txPr>
          <a:bodyPr rot="-5400000" vert="horz"/>
          <a:lstStyle/>
          <a:p>
            <a:pPr>
              <a:defRPr sz="800"/>
            </a:pPr>
            <a:endParaRPr lang="cs-CZ"/>
          </a:p>
        </c:txPr>
        <c:crossAx val="82012032"/>
        <c:crosses val="autoZero"/>
        <c:crossBetween val="between"/>
        <c:majorUnit val="10000"/>
        <c:minorUnit val="5000"/>
        <c:dispUnits>
          <c:builtInUnit val="thousands"/>
          <c:dispUnitsLbl>
            <c:layout>
              <c:manualLayout>
                <c:xMode val="edge"/>
                <c:yMode val="edge"/>
                <c:x val="3.8699971116050683E-2"/>
                <c:y val="3.8290262897465684E-2"/>
              </c:manualLayout>
            </c:layout>
            <c:txPr>
              <a:bodyPr rot="0" vert="horz"/>
              <a:lstStyle/>
              <a:p>
                <a:pPr>
                  <a:defRPr/>
                </a:pPr>
                <a:endParaRPr lang="cs-CZ"/>
              </a:p>
            </c:txPr>
          </c:dispUnitsLbl>
        </c:dispUnits>
      </c:valAx>
    </c:plotArea>
    <c:legend>
      <c:legendPos val="t"/>
      <c:layout>
        <c:manualLayout>
          <c:xMode val="edge"/>
          <c:yMode val="edge"/>
          <c:x val="0.42359445565172121"/>
          <c:y val="2.0182233064464043E-2"/>
          <c:w val="0.57440719215653591"/>
          <c:h val="5.8394778636715231E-2"/>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069939380107137E-2"/>
          <c:y val="4.520355190778369E-2"/>
          <c:w val="0.87989708796281885"/>
          <c:h val="0.74616114205679829"/>
        </c:manualLayout>
      </c:layout>
      <c:barChart>
        <c:barDir val="bar"/>
        <c:grouping val="percentStacked"/>
        <c:varyColors val="0"/>
        <c:ser>
          <c:idx val="0"/>
          <c:order val="0"/>
          <c:tx>
            <c:strRef>
              <c:f>Vzdělání!$AU$5:$AU$6</c:f>
              <c:strCache>
                <c:ptCount val="1"/>
                <c:pt idx="0">
                  <c:v>bez a neúplné ZŠ</c:v>
                </c:pt>
              </c:strCache>
            </c:strRef>
          </c:tx>
          <c:spPr>
            <a:solidFill>
              <a:srgbClr val="FF7C80"/>
            </a:solidFill>
          </c:spPr>
          <c:invertIfNegative val="0"/>
          <c:cat>
            <c:strRef>
              <c:f>Vzdělání!$AT$7:$AT$21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Vzdělání!$AU$7:$AU$21</c:f>
              <c:numCache>
                <c:formatCode>#,##0</c:formatCode>
                <c:ptCount val="15"/>
                <c:pt idx="0">
                  <c:v>116</c:v>
                </c:pt>
                <c:pt idx="1">
                  <c:v>312</c:v>
                </c:pt>
                <c:pt idx="2">
                  <c:v>182</c:v>
                </c:pt>
                <c:pt idx="3">
                  <c:v>120</c:v>
                </c:pt>
                <c:pt idx="4">
                  <c:v>2610</c:v>
                </c:pt>
                <c:pt idx="5">
                  <c:v>5072</c:v>
                </c:pt>
                <c:pt idx="6">
                  <c:v>833</c:v>
                </c:pt>
                <c:pt idx="7">
                  <c:v>86</c:v>
                </c:pt>
                <c:pt idx="8">
                  <c:v>456</c:v>
                </c:pt>
                <c:pt idx="9">
                  <c:v>30</c:v>
                </c:pt>
                <c:pt idx="10">
                  <c:v>90</c:v>
                </c:pt>
                <c:pt idx="11">
                  <c:v>63</c:v>
                </c:pt>
                <c:pt idx="12">
                  <c:v>28</c:v>
                </c:pt>
                <c:pt idx="13">
                  <c:v>1325</c:v>
                </c:pt>
                <c:pt idx="14">
                  <c:v>11323</c:v>
                </c:pt>
              </c:numCache>
            </c:numRef>
          </c:val>
        </c:ser>
        <c:ser>
          <c:idx val="1"/>
          <c:order val="1"/>
          <c:tx>
            <c:strRef>
              <c:f>Vzdělání!$AV$5:$AV$6</c:f>
              <c:strCache>
                <c:ptCount val="1"/>
                <c:pt idx="0">
                  <c:v>ZŠ</c:v>
                </c:pt>
              </c:strCache>
            </c:strRef>
          </c:tx>
          <c:spPr>
            <a:solidFill>
              <a:schemeClr val="accent2">
                <a:lumMod val="40000"/>
                <a:lumOff val="60000"/>
              </a:schemeClr>
            </a:solidFill>
          </c:spPr>
          <c:invertIfNegative val="0"/>
          <c:cat>
            <c:strRef>
              <c:f>Vzdělání!$AT$7:$AT$21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Vzdělání!$AV$7:$AV$21</c:f>
              <c:numCache>
                <c:formatCode>#,##0</c:formatCode>
                <c:ptCount val="15"/>
                <c:pt idx="0">
                  <c:v>4467</c:v>
                </c:pt>
                <c:pt idx="1">
                  <c:v>8374</c:v>
                </c:pt>
                <c:pt idx="2">
                  <c:v>3514</c:v>
                </c:pt>
                <c:pt idx="3">
                  <c:v>3039</c:v>
                </c:pt>
                <c:pt idx="4">
                  <c:v>1366</c:v>
                </c:pt>
                <c:pt idx="5">
                  <c:v>9993</c:v>
                </c:pt>
                <c:pt idx="6">
                  <c:v>3153</c:v>
                </c:pt>
                <c:pt idx="7">
                  <c:v>3137</c:v>
                </c:pt>
                <c:pt idx="8">
                  <c:v>2347</c:v>
                </c:pt>
                <c:pt idx="9">
                  <c:v>2380</c:v>
                </c:pt>
                <c:pt idx="10">
                  <c:v>9470</c:v>
                </c:pt>
                <c:pt idx="11">
                  <c:v>5463</c:v>
                </c:pt>
                <c:pt idx="12">
                  <c:v>2675</c:v>
                </c:pt>
                <c:pt idx="13">
                  <c:v>15252</c:v>
                </c:pt>
                <c:pt idx="14">
                  <c:v>74630</c:v>
                </c:pt>
              </c:numCache>
            </c:numRef>
          </c:val>
        </c:ser>
        <c:ser>
          <c:idx val="2"/>
          <c:order val="2"/>
          <c:tx>
            <c:strRef>
              <c:f>Vzdělání!$AW$5:$AW$6</c:f>
              <c:strCache>
                <c:ptCount val="1"/>
                <c:pt idx="0">
                  <c:v>nižší střední</c:v>
                </c:pt>
              </c:strCache>
            </c:strRef>
          </c:tx>
          <c:spPr>
            <a:solidFill>
              <a:srgbClr val="00CCFF"/>
            </a:solidFill>
          </c:spPr>
          <c:invertIfNegative val="0"/>
          <c:cat>
            <c:strRef>
              <c:f>Vzdělání!$AT$7:$AT$21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Vzdělání!$AW$7:$AW$21</c:f>
              <c:numCache>
                <c:formatCode>#,##0</c:formatCode>
                <c:ptCount val="15"/>
                <c:pt idx="0">
                  <c:v>20</c:v>
                </c:pt>
                <c:pt idx="1">
                  <c:v>16</c:v>
                </c:pt>
                <c:pt idx="2">
                  <c:v>8</c:v>
                </c:pt>
                <c:pt idx="3">
                  <c:v>9</c:v>
                </c:pt>
                <c:pt idx="4">
                  <c:v>6</c:v>
                </c:pt>
                <c:pt idx="5">
                  <c:v>22</c:v>
                </c:pt>
                <c:pt idx="6">
                  <c:v>12</c:v>
                </c:pt>
                <c:pt idx="7">
                  <c:v>5</c:v>
                </c:pt>
                <c:pt idx="8">
                  <c:v>13</c:v>
                </c:pt>
                <c:pt idx="9">
                  <c:v>3</c:v>
                </c:pt>
                <c:pt idx="10">
                  <c:v>16</c:v>
                </c:pt>
                <c:pt idx="11">
                  <c:v>13</c:v>
                </c:pt>
                <c:pt idx="12">
                  <c:v>10</c:v>
                </c:pt>
                <c:pt idx="13">
                  <c:v>21</c:v>
                </c:pt>
                <c:pt idx="14">
                  <c:v>174</c:v>
                </c:pt>
              </c:numCache>
            </c:numRef>
          </c:val>
        </c:ser>
        <c:ser>
          <c:idx val="3"/>
          <c:order val="3"/>
          <c:tx>
            <c:strRef>
              <c:f>Vzdělání!$AX$5:$AX$6</c:f>
              <c:strCache>
                <c:ptCount val="1"/>
                <c:pt idx="0">
                  <c:v>nižší střední odborné</c:v>
                </c:pt>
              </c:strCache>
            </c:strRef>
          </c:tx>
          <c:spPr>
            <a:solidFill>
              <a:srgbClr val="99CCFF"/>
            </a:solidFill>
          </c:spPr>
          <c:invertIfNegative val="0"/>
          <c:cat>
            <c:strRef>
              <c:f>Vzdělání!$AT$7:$AT$21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Vzdělání!$AX$7:$AX$21</c:f>
              <c:numCache>
                <c:formatCode>#,##0</c:formatCode>
                <c:ptCount val="15"/>
                <c:pt idx="0">
                  <c:v>204</c:v>
                </c:pt>
                <c:pt idx="1">
                  <c:v>654</c:v>
                </c:pt>
                <c:pt idx="2">
                  <c:v>299</c:v>
                </c:pt>
                <c:pt idx="3">
                  <c:v>223</c:v>
                </c:pt>
                <c:pt idx="4">
                  <c:v>245</c:v>
                </c:pt>
                <c:pt idx="5">
                  <c:v>1135</c:v>
                </c:pt>
                <c:pt idx="6">
                  <c:v>346</c:v>
                </c:pt>
                <c:pt idx="7">
                  <c:v>278</c:v>
                </c:pt>
                <c:pt idx="8">
                  <c:v>316</c:v>
                </c:pt>
                <c:pt idx="9">
                  <c:v>276</c:v>
                </c:pt>
                <c:pt idx="10">
                  <c:v>724</c:v>
                </c:pt>
                <c:pt idx="11">
                  <c:v>611</c:v>
                </c:pt>
                <c:pt idx="12">
                  <c:v>342</c:v>
                </c:pt>
                <c:pt idx="13">
                  <c:v>1568</c:v>
                </c:pt>
                <c:pt idx="14">
                  <c:v>7221</c:v>
                </c:pt>
              </c:numCache>
            </c:numRef>
          </c:val>
        </c:ser>
        <c:ser>
          <c:idx val="4"/>
          <c:order val="4"/>
          <c:tx>
            <c:strRef>
              <c:f>Vzdělání!$AY$5:$AY$6</c:f>
              <c:strCache>
                <c:ptCount val="1"/>
                <c:pt idx="0">
                  <c:v>Střední odb. (vyučen)</c:v>
                </c:pt>
              </c:strCache>
            </c:strRef>
          </c:tx>
          <c:spPr>
            <a:solidFill>
              <a:schemeClr val="accent1">
                <a:lumMod val="60000"/>
                <a:lumOff val="40000"/>
              </a:schemeClr>
            </a:solidFill>
          </c:spPr>
          <c:invertIfNegative val="0"/>
          <c:cat>
            <c:strRef>
              <c:f>Vzdělání!$AT$7:$AT$21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Vzdělání!$AY$7:$AY$21</c:f>
              <c:numCache>
                <c:formatCode>#,##0</c:formatCode>
                <c:ptCount val="15"/>
                <c:pt idx="0">
                  <c:v>5264</c:v>
                </c:pt>
                <c:pt idx="1">
                  <c:v>10399</c:v>
                </c:pt>
                <c:pt idx="2">
                  <c:v>5720</c:v>
                </c:pt>
                <c:pt idx="3">
                  <c:v>4022</c:v>
                </c:pt>
                <c:pt idx="4">
                  <c:v>2039</c:v>
                </c:pt>
                <c:pt idx="5">
                  <c:v>9381</c:v>
                </c:pt>
                <c:pt idx="6">
                  <c:v>4203</c:v>
                </c:pt>
                <c:pt idx="7">
                  <c:v>3765</c:v>
                </c:pt>
                <c:pt idx="8">
                  <c:v>4009</c:v>
                </c:pt>
                <c:pt idx="9">
                  <c:v>5957</c:v>
                </c:pt>
                <c:pt idx="10">
                  <c:v>14158</c:v>
                </c:pt>
                <c:pt idx="11">
                  <c:v>7637</c:v>
                </c:pt>
                <c:pt idx="12">
                  <c:v>5966</c:v>
                </c:pt>
                <c:pt idx="13">
                  <c:v>19356</c:v>
                </c:pt>
                <c:pt idx="14">
                  <c:v>101876</c:v>
                </c:pt>
              </c:numCache>
            </c:numRef>
          </c:val>
        </c:ser>
        <c:ser>
          <c:idx val="5"/>
          <c:order val="5"/>
          <c:tx>
            <c:strRef>
              <c:f>Vzdělání!$AZ$5:$AZ$6</c:f>
              <c:strCache>
                <c:ptCount val="1"/>
                <c:pt idx="0">
                  <c:v>Střední odb. bez mat. a vyuč.</c:v>
                </c:pt>
              </c:strCache>
            </c:strRef>
          </c:tx>
          <c:spPr>
            <a:solidFill>
              <a:schemeClr val="tx2">
                <a:lumMod val="60000"/>
                <a:lumOff val="40000"/>
              </a:schemeClr>
            </a:solidFill>
          </c:spPr>
          <c:invertIfNegative val="0"/>
          <c:cat>
            <c:strRef>
              <c:f>Vzdělání!$AT$7:$AT$21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Vzdělání!$AZ$7:$AZ$21</c:f>
              <c:numCache>
                <c:formatCode>#,##0</c:formatCode>
                <c:ptCount val="15"/>
                <c:pt idx="0">
                  <c:v>189</c:v>
                </c:pt>
                <c:pt idx="1">
                  <c:v>195</c:v>
                </c:pt>
                <c:pt idx="2">
                  <c:v>74</c:v>
                </c:pt>
                <c:pt idx="3">
                  <c:v>65</c:v>
                </c:pt>
                <c:pt idx="4">
                  <c:v>23</c:v>
                </c:pt>
                <c:pt idx="5">
                  <c:v>140</c:v>
                </c:pt>
                <c:pt idx="6">
                  <c:v>62</c:v>
                </c:pt>
                <c:pt idx="7">
                  <c:v>59</c:v>
                </c:pt>
                <c:pt idx="8">
                  <c:v>51</c:v>
                </c:pt>
                <c:pt idx="9">
                  <c:v>70</c:v>
                </c:pt>
                <c:pt idx="10">
                  <c:v>159</c:v>
                </c:pt>
                <c:pt idx="11">
                  <c:v>100</c:v>
                </c:pt>
                <c:pt idx="12">
                  <c:v>79</c:v>
                </c:pt>
                <c:pt idx="13">
                  <c:v>245</c:v>
                </c:pt>
                <c:pt idx="14">
                  <c:v>1511</c:v>
                </c:pt>
              </c:numCache>
            </c:numRef>
          </c:val>
        </c:ser>
        <c:ser>
          <c:idx val="6"/>
          <c:order val="6"/>
          <c:tx>
            <c:strRef>
              <c:f>Vzdělání!$BA$5:$BA$6</c:f>
              <c:strCache>
                <c:ptCount val="1"/>
                <c:pt idx="0">
                  <c:v> ÚSV</c:v>
                </c:pt>
              </c:strCache>
            </c:strRef>
          </c:tx>
          <c:spPr>
            <a:solidFill>
              <a:srgbClr val="CCECFF"/>
            </a:solidFill>
          </c:spPr>
          <c:invertIfNegative val="0"/>
          <c:cat>
            <c:strRef>
              <c:f>Vzdělání!$AT$7:$AT$21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Vzdělání!$BA$7:$BA$21</c:f>
              <c:numCache>
                <c:formatCode>#,##0</c:formatCode>
                <c:ptCount val="15"/>
                <c:pt idx="0">
                  <c:v>868</c:v>
                </c:pt>
                <c:pt idx="1">
                  <c:v>893</c:v>
                </c:pt>
                <c:pt idx="2">
                  <c:v>350</c:v>
                </c:pt>
                <c:pt idx="3">
                  <c:v>236</c:v>
                </c:pt>
                <c:pt idx="4">
                  <c:v>118</c:v>
                </c:pt>
                <c:pt idx="5">
                  <c:v>556</c:v>
                </c:pt>
                <c:pt idx="6">
                  <c:v>290</c:v>
                </c:pt>
                <c:pt idx="7">
                  <c:v>279</c:v>
                </c:pt>
                <c:pt idx="8">
                  <c:v>239</c:v>
                </c:pt>
                <c:pt idx="9">
                  <c:v>332</c:v>
                </c:pt>
                <c:pt idx="10">
                  <c:v>1199</c:v>
                </c:pt>
                <c:pt idx="11">
                  <c:v>519</c:v>
                </c:pt>
                <c:pt idx="12">
                  <c:v>432</c:v>
                </c:pt>
                <c:pt idx="13">
                  <c:v>1232</c:v>
                </c:pt>
                <c:pt idx="14">
                  <c:v>7543</c:v>
                </c:pt>
              </c:numCache>
            </c:numRef>
          </c:val>
        </c:ser>
        <c:ser>
          <c:idx val="7"/>
          <c:order val="7"/>
          <c:tx>
            <c:strRef>
              <c:f>Vzdělání!$BB$5:$BB$6</c:f>
              <c:strCache>
                <c:ptCount val="1"/>
                <c:pt idx="0">
                  <c:v>ÚSO (vyuč.+ mat.)</c:v>
                </c:pt>
              </c:strCache>
            </c:strRef>
          </c:tx>
          <c:spPr>
            <a:solidFill>
              <a:schemeClr val="accent1">
                <a:lumMod val="40000"/>
                <a:lumOff val="60000"/>
              </a:schemeClr>
            </a:solidFill>
          </c:spPr>
          <c:invertIfNegative val="0"/>
          <c:cat>
            <c:strRef>
              <c:f>Vzdělání!$AT$7:$AT$21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Vzdělání!$BB$7:$BB$21</c:f>
              <c:numCache>
                <c:formatCode>#,##0</c:formatCode>
                <c:ptCount val="15"/>
                <c:pt idx="0">
                  <c:v>994</c:v>
                </c:pt>
                <c:pt idx="1">
                  <c:v>1254</c:v>
                </c:pt>
                <c:pt idx="2">
                  <c:v>623</c:v>
                </c:pt>
                <c:pt idx="3">
                  <c:v>409</c:v>
                </c:pt>
                <c:pt idx="4">
                  <c:v>161</c:v>
                </c:pt>
                <c:pt idx="5">
                  <c:v>929</c:v>
                </c:pt>
                <c:pt idx="6">
                  <c:v>410</c:v>
                </c:pt>
                <c:pt idx="7">
                  <c:v>422</c:v>
                </c:pt>
                <c:pt idx="8">
                  <c:v>425</c:v>
                </c:pt>
                <c:pt idx="9">
                  <c:v>620</c:v>
                </c:pt>
                <c:pt idx="10">
                  <c:v>1778</c:v>
                </c:pt>
                <c:pt idx="11">
                  <c:v>927</c:v>
                </c:pt>
                <c:pt idx="12">
                  <c:v>830</c:v>
                </c:pt>
                <c:pt idx="13">
                  <c:v>2208</c:v>
                </c:pt>
                <c:pt idx="14">
                  <c:v>11990</c:v>
                </c:pt>
              </c:numCache>
            </c:numRef>
          </c:val>
        </c:ser>
        <c:ser>
          <c:idx val="8"/>
          <c:order val="8"/>
          <c:tx>
            <c:strRef>
              <c:f>Vzdělání!$BC$5:$BC$6</c:f>
              <c:strCache>
                <c:ptCount val="1"/>
                <c:pt idx="0">
                  <c:v>ÚSO s maturitou (bez vyučení)</c:v>
                </c:pt>
              </c:strCache>
            </c:strRef>
          </c:tx>
          <c:spPr>
            <a:solidFill>
              <a:schemeClr val="accent5">
                <a:lumMod val="40000"/>
                <a:lumOff val="60000"/>
              </a:schemeClr>
            </a:solidFill>
          </c:spPr>
          <c:invertIfNegative val="0"/>
          <c:cat>
            <c:strRef>
              <c:f>Vzdělání!$AT$7:$AT$21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Vzdělání!$BC$7:$BC$21</c:f>
              <c:numCache>
                <c:formatCode>#,##0</c:formatCode>
                <c:ptCount val="15"/>
                <c:pt idx="0">
                  <c:v>5147</c:v>
                </c:pt>
                <c:pt idx="1">
                  <c:v>4868</c:v>
                </c:pt>
                <c:pt idx="2">
                  <c:v>2238</c:v>
                </c:pt>
                <c:pt idx="3">
                  <c:v>1657</c:v>
                </c:pt>
                <c:pt idx="4">
                  <c:v>707</c:v>
                </c:pt>
                <c:pt idx="5">
                  <c:v>3281</c:v>
                </c:pt>
                <c:pt idx="6">
                  <c:v>1840</c:v>
                </c:pt>
                <c:pt idx="7">
                  <c:v>1671</c:v>
                </c:pt>
                <c:pt idx="8">
                  <c:v>1603</c:v>
                </c:pt>
                <c:pt idx="9">
                  <c:v>2333</c:v>
                </c:pt>
                <c:pt idx="10">
                  <c:v>6101</c:v>
                </c:pt>
                <c:pt idx="11">
                  <c:v>2758</c:v>
                </c:pt>
                <c:pt idx="12">
                  <c:v>2432</c:v>
                </c:pt>
                <c:pt idx="13">
                  <c:v>5531</c:v>
                </c:pt>
                <c:pt idx="14">
                  <c:v>42167</c:v>
                </c:pt>
              </c:numCache>
            </c:numRef>
          </c:val>
        </c:ser>
        <c:ser>
          <c:idx val="9"/>
          <c:order val="9"/>
          <c:tx>
            <c:strRef>
              <c:f>Vzdělání!$BD$5:$BD$6</c:f>
              <c:strCache>
                <c:ptCount val="1"/>
                <c:pt idx="0">
                  <c:v>VOŠ</c:v>
                </c:pt>
              </c:strCache>
            </c:strRef>
          </c:tx>
          <c:spPr>
            <a:solidFill>
              <a:schemeClr val="accent3">
                <a:lumMod val="40000"/>
                <a:lumOff val="60000"/>
              </a:schemeClr>
            </a:solidFill>
          </c:spPr>
          <c:invertIfNegative val="0"/>
          <c:cat>
            <c:strRef>
              <c:f>Vzdělání!$AT$7:$AT$21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Vzdělání!$BD$7:$BD$21</c:f>
              <c:numCache>
                <c:formatCode>#,##0</c:formatCode>
                <c:ptCount val="15"/>
                <c:pt idx="0">
                  <c:v>362</c:v>
                </c:pt>
                <c:pt idx="1">
                  <c:v>334</c:v>
                </c:pt>
                <c:pt idx="2">
                  <c:v>120</c:v>
                </c:pt>
                <c:pt idx="3">
                  <c:v>86</c:v>
                </c:pt>
                <c:pt idx="4">
                  <c:v>24</c:v>
                </c:pt>
                <c:pt idx="5">
                  <c:v>115</c:v>
                </c:pt>
                <c:pt idx="6">
                  <c:v>74</c:v>
                </c:pt>
                <c:pt idx="7">
                  <c:v>89</c:v>
                </c:pt>
                <c:pt idx="8">
                  <c:v>90</c:v>
                </c:pt>
                <c:pt idx="9">
                  <c:v>133</c:v>
                </c:pt>
                <c:pt idx="10">
                  <c:v>371</c:v>
                </c:pt>
                <c:pt idx="11">
                  <c:v>155</c:v>
                </c:pt>
                <c:pt idx="12">
                  <c:v>115</c:v>
                </c:pt>
                <c:pt idx="13">
                  <c:v>218</c:v>
                </c:pt>
                <c:pt idx="14">
                  <c:v>2286</c:v>
                </c:pt>
              </c:numCache>
            </c:numRef>
          </c:val>
        </c:ser>
        <c:ser>
          <c:idx val="10"/>
          <c:order val="10"/>
          <c:tx>
            <c:strRef>
              <c:f>Vzdělání!$BE$5:$BE$6</c:f>
              <c:strCache>
                <c:ptCount val="1"/>
                <c:pt idx="0">
                  <c:v>bakalář.</c:v>
                </c:pt>
              </c:strCache>
            </c:strRef>
          </c:tx>
          <c:spPr>
            <a:solidFill>
              <a:schemeClr val="accent3">
                <a:lumMod val="60000"/>
                <a:lumOff val="40000"/>
              </a:schemeClr>
            </a:solidFill>
          </c:spPr>
          <c:invertIfNegative val="0"/>
          <c:cat>
            <c:strRef>
              <c:f>Vzdělání!$AT$7:$AT$21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Vzdělání!$BE$7:$BE$21</c:f>
              <c:numCache>
                <c:formatCode>#,##0</c:formatCode>
                <c:ptCount val="15"/>
                <c:pt idx="0">
                  <c:v>718</c:v>
                </c:pt>
                <c:pt idx="1">
                  <c:v>474</c:v>
                </c:pt>
                <c:pt idx="2">
                  <c:v>278</c:v>
                </c:pt>
                <c:pt idx="3">
                  <c:v>186</c:v>
                </c:pt>
                <c:pt idx="4">
                  <c:v>49</c:v>
                </c:pt>
                <c:pt idx="5">
                  <c:v>259</c:v>
                </c:pt>
                <c:pt idx="6">
                  <c:v>204</c:v>
                </c:pt>
                <c:pt idx="7">
                  <c:v>200</c:v>
                </c:pt>
                <c:pt idx="8">
                  <c:v>177</c:v>
                </c:pt>
                <c:pt idx="9">
                  <c:v>271</c:v>
                </c:pt>
                <c:pt idx="10">
                  <c:v>747</c:v>
                </c:pt>
                <c:pt idx="11">
                  <c:v>319</c:v>
                </c:pt>
                <c:pt idx="12">
                  <c:v>305</c:v>
                </c:pt>
                <c:pt idx="13">
                  <c:v>662</c:v>
                </c:pt>
                <c:pt idx="14">
                  <c:v>4849</c:v>
                </c:pt>
              </c:numCache>
            </c:numRef>
          </c:val>
        </c:ser>
        <c:ser>
          <c:idx val="11"/>
          <c:order val="11"/>
          <c:tx>
            <c:strRef>
              <c:f>Vzdělání!$BF$5:$BF$6</c:f>
              <c:strCache>
                <c:ptCount val="1"/>
                <c:pt idx="0">
                  <c:v>VŠ (vč. doktor.)</c:v>
                </c:pt>
              </c:strCache>
            </c:strRef>
          </c:tx>
          <c:spPr>
            <a:solidFill>
              <a:srgbClr val="92D050"/>
            </a:solidFill>
          </c:spPr>
          <c:invertIfNegative val="0"/>
          <c:cat>
            <c:strRef>
              <c:f>Vzdělání!$AT$7:$AT$21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Vzdělání!$BF$7:$BF$21</c:f>
              <c:numCache>
                <c:formatCode>#,##0</c:formatCode>
                <c:ptCount val="15"/>
                <c:pt idx="0">
                  <c:v>3438</c:v>
                </c:pt>
                <c:pt idx="1">
                  <c:v>1597</c:v>
                </c:pt>
                <c:pt idx="2">
                  <c:v>706</c:v>
                </c:pt>
                <c:pt idx="3">
                  <c:v>465</c:v>
                </c:pt>
                <c:pt idx="4">
                  <c:v>140</c:v>
                </c:pt>
                <c:pt idx="5">
                  <c:v>639</c:v>
                </c:pt>
                <c:pt idx="6">
                  <c:v>434</c:v>
                </c:pt>
                <c:pt idx="7">
                  <c:v>492</c:v>
                </c:pt>
                <c:pt idx="8">
                  <c:v>426</c:v>
                </c:pt>
                <c:pt idx="9">
                  <c:v>587</c:v>
                </c:pt>
                <c:pt idx="10">
                  <c:v>2477</c:v>
                </c:pt>
                <c:pt idx="11">
                  <c:v>954</c:v>
                </c:pt>
                <c:pt idx="12">
                  <c:v>826</c:v>
                </c:pt>
                <c:pt idx="13">
                  <c:v>1869</c:v>
                </c:pt>
                <c:pt idx="14">
                  <c:v>15050</c:v>
                </c:pt>
              </c:numCache>
            </c:numRef>
          </c:val>
        </c:ser>
        <c:dLbls>
          <c:showLegendKey val="0"/>
          <c:showVal val="0"/>
          <c:showCatName val="0"/>
          <c:showSerName val="0"/>
          <c:showPercent val="0"/>
          <c:showBubbleSize val="0"/>
        </c:dLbls>
        <c:gapWidth val="150"/>
        <c:overlap val="100"/>
        <c:axId val="29625344"/>
        <c:axId val="29643520"/>
      </c:barChart>
      <c:catAx>
        <c:axId val="29625344"/>
        <c:scaling>
          <c:orientation val="maxMin"/>
        </c:scaling>
        <c:delete val="0"/>
        <c:axPos val="l"/>
        <c:majorTickMark val="out"/>
        <c:minorTickMark val="none"/>
        <c:tickLblPos val="nextTo"/>
        <c:txPr>
          <a:bodyPr/>
          <a:lstStyle/>
          <a:p>
            <a:pPr>
              <a:defRPr sz="800"/>
            </a:pPr>
            <a:endParaRPr lang="cs-CZ"/>
          </a:p>
        </c:txPr>
        <c:crossAx val="29643520"/>
        <c:crosses val="autoZero"/>
        <c:auto val="1"/>
        <c:lblAlgn val="ctr"/>
        <c:lblOffset val="100"/>
        <c:noMultiLvlLbl val="0"/>
      </c:catAx>
      <c:valAx>
        <c:axId val="29643520"/>
        <c:scaling>
          <c:orientation val="minMax"/>
        </c:scaling>
        <c:delete val="0"/>
        <c:axPos val="t"/>
        <c:majorGridlines/>
        <c:numFmt formatCode="0%" sourceLinked="1"/>
        <c:majorTickMark val="out"/>
        <c:minorTickMark val="none"/>
        <c:tickLblPos val="nextTo"/>
        <c:txPr>
          <a:bodyPr/>
          <a:lstStyle/>
          <a:p>
            <a:pPr>
              <a:defRPr sz="800"/>
            </a:pPr>
            <a:endParaRPr lang="cs-CZ"/>
          </a:p>
        </c:txPr>
        <c:crossAx val="29625344"/>
        <c:crosses val="autoZero"/>
        <c:crossBetween val="between"/>
      </c:valAx>
    </c:plotArea>
    <c:legend>
      <c:legendPos val="b"/>
      <c:layout>
        <c:manualLayout>
          <c:xMode val="edge"/>
          <c:yMode val="edge"/>
          <c:x val="0.1235781298088727"/>
          <c:y val="0.83697385035229388"/>
          <c:w val="0.75284360205962397"/>
          <c:h val="0.14952412354325534"/>
        </c:manualLayout>
      </c:layout>
      <c:overlay val="0"/>
      <c:txPr>
        <a:bodyPr/>
        <a:lstStyle/>
        <a:p>
          <a:pPr>
            <a:defRPr sz="800"/>
          </a:pPr>
          <a:endParaRPr lang="cs-CZ"/>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57347755772953E-2"/>
          <c:y val="4.6121593291404611E-2"/>
          <c:w val="0.84613483920570531"/>
          <c:h val="0.77958566499942228"/>
        </c:manualLayout>
      </c:layout>
      <c:barChart>
        <c:barDir val="col"/>
        <c:grouping val="clustered"/>
        <c:varyColors val="0"/>
        <c:ser>
          <c:idx val="2"/>
          <c:order val="0"/>
          <c:tx>
            <c:strRef>
              <c:f>'Nekolidující zaměstnání'!$C$48</c:f>
              <c:strCache>
                <c:ptCount val="1"/>
                <c:pt idx="0">
                  <c:v>UoZ nek.</c:v>
                </c:pt>
              </c:strCache>
            </c:strRef>
          </c:tx>
          <c:spPr>
            <a:solidFill>
              <a:schemeClr val="tx2">
                <a:lumMod val="60000"/>
                <a:lumOff val="40000"/>
              </a:schemeClr>
            </a:solidFill>
          </c:spPr>
          <c:invertIfNegative val="0"/>
          <c:cat>
            <c:strRef>
              <c:f>'Nekolidující zaměstnání'!$A$49:$A$73</c:f>
              <c:strCache>
                <c:ptCount val="25"/>
                <c:pt idx="0">
                  <c:v>1_16</c:v>
                </c:pt>
                <c:pt idx="1">
                  <c:v>2</c:v>
                </c:pt>
                <c:pt idx="2">
                  <c:v>3</c:v>
                </c:pt>
                <c:pt idx="3">
                  <c:v>4</c:v>
                </c:pt>
                <c:pt idx="4">
                  <c:v>5</c:v>
                </c:pt>
                <c:pt idx="5">
                  <c:v>6</c:v>
                </c:pt>
                <c:pt idx="6">
                  <c:v>7</c:v>
                </c:pt>
                <c:pt idx="7">
                  <c:v>8</c:v>
                </c:pt>
                <c:pt idx="8">
                  <c:v>9</c:v>
                </c:pt>
                <c:pt idx="9">
                  <c:v>10</c:v>
                </c:pt>
                <c:pt idx="10">
                  <c:v>11</c:v>
                </c:pt>
                <c:pt idx="11">
                  <c:v>12</c:v>
                </c:pt>
                <c:pt idx="12">
                  <c:v>1_17</c:v>
                </c:pt>
                <c:pt idx="13">
                  <c:v>2</c:v>
                </c:pt>
                <c:pt idx="14">
                  <c:v>3</c:v>
                </c:pt>
                <c:pt idx="15">
                  <c:v>4</c:v>
                </c:pt>
                <c:pt idx="16">
                  <c:v>5</c:v>
                </c:pt>
                <c:pt idx="17">
                  <c:v>6</c:v>
                </c:pt>
                <c:pt idx="18">
                  <c:v>7</c:v>
                </c:pt>
                <c:pt idx="19">
                  <c:v>8</c:v>
                </c:pt>
                <c:pt idx="20">
                  <c:v>9</c:v>
                </c:pt>
                <c:pt idx="21">
                  <c:v>10</c:v>
                </c:pt>
                <c:pt idx="22">
                  <c:v>11</c:v>
                </c:pt>
                <c:pt idx="23">
                  <c:v>12</c:v>
                </c:pt>
                <c:pt idx="24">
                  <c:v>1_18</c:v>
                </c:pt>
              </c:strCache>
            </c:strRef>
          </c:cat>
          <c:val>
            <c:numRef>
              <c:f>'Nekolidující zaměstnání'!$C$49:$C$73</c:f>
              <c:numCache>
                <c:formatCode>#,##0</c:formatCode>
                <c:ptCount val="25"/>
                <c:pt idx="0">
                  <c:v>40254</c:v>
                </c:pt>
                <c:pt idx="1">
                  <c:v>45597</c:v>
                </c:pt>
                <c:pt idx="2">
                  <c:v>47751</c:v>
                </c:pt>
                <c:pt idx="3">
                  <c:v>48157</c:v>
                </c:pt>
                <c:pt idx="4">
                  <c:v>48480</c:v>
                </c:pt>
                <c:pt idx="5">
                  <c:v>48406</c:v>
                </c:pt>
                <c:pt idx="6">
                  <c:v>46300</c:v>
                </c:pt>
                <c:pt idx="7">
                  <c:v>45578</c:v>
                </c:pt>
                <c:pt idx="8">
                  <c:v>44789</c:v>
                </c:pt>
                <c:pt idx="9">
                  <c:v>43757</c:v>
                </c:pt>
                <c:pt idx="10">
                  <c:v>43117</c:v>
                </c:pt>
                <c:pt idx="11">
                  <c:v>40933</c:v>
                </c:pt>
                <c:pt idx="12">
                  <c:v>30151</c:v>
                </c:pt>
                <c:pt idx="13">
                  <c:v>33494</c:v>
                </c:pt>
                <c:pt idx="14">
                  <c:v>35629</c:v>
                </c:pt>
                <c:pt idx="15">
                  <c:v>35483</c:v>
                </c:pt>
                <c:pt idx="16">
                  <c:v>35771</c:v>
                </c:pt>
                <c:pt idx="17">
                  <c:v>35308</c:v>
                </c:pt>
                <c:pt idx="18">
                  <c:v>33475</c:v>
                </c:pt>
                <c:pt idx="19">
                  <c:v>28640</c:v>
                </c:pt>
                <c:pt idx="20">
                  <c:v>23184</c:v>
                </c:pt>
                <c:pt idx="21">
                  <c:v>15242</c:v>
                </c:pt>
                <c:pt idx="22">
                  <c:v>14832</c:v>
                </c:pt>
                <c:pt idx="23">
                  <c:v>14246</c:v>
                </c:pt>
                <c:pt idx="24">
                  <c:v>11870</c:v>
                </c:pt>
              </c:numCache>
            </c:numRef>
          </c:val>
        </c:ser>
        <c:dLbls>
          <c:showLegendKey val="0"/>
          <c:showVal val="0"/>
          <c:showCatName val="0"/>
          <c:showSerName val="0"/>
          <c:showPercent val="0"/>
          <c:showBubbleSize val="0"/>
        </c:dLbls>
        <c:gapWidth val="150"/>
        <c:axId val="29661824"/>
        <c:axId val="29663616"/>
      </c:barChart>
      <c:lineChart>
        <c:grouping val="standard"/>
        <c:varyColors val="0"/>
        <c:ser>
          <c:idx val="3"/>
          <c:order val="1"/>
          <c:tx>
            <c:strRef>
              <c:f>'Nekolidující zaměstnání'!$D$48</c:f>
              <c:strCache>
                <c:ptCount val="1"/>
                <c:pt idx="0">
                  <c:v>podíl nek. (pravá osa)</c:v>
                </c:pt>
              </c:strCache>
            </c:strRef>
          </c:tx>
          <c:marker>
            <c:symbol val="none"/>
          </c:marker>
          <c:cat>
            <c:strRef>
              <c:f>'Nekolidující zaměstnání'!$A$49:$A$73</c:f>
              <c:strCache>
                <c:ptCount val="25"/>
                <c:pt idx="0">
                  <c:v>1_16</c:v>
                </c:pt>
                <c:pt idx="1">
                  <c:v>2</c:v>
                </c:pt>
                <c:pt idx="2">
                  <c:v>3</c:v>
                </c:pt>
                <c:pt idx="3">
                  <c:v>4</c:v>
                </c:pt>
                <c:pt idx="4">
                  <c:v>5</c:v>
                </c:pt>
                <c:pt idx="5">
                  <c:v>6</c:v>
                </c:pt>
                <c:pt idx="6">
                  <c:v>7</c:v>
                </c:pt>
                <c:pt idx="7">
                  <c:v>8</c:v>
                </c:pt>
                <c:pt idx="8">
                  <c:v>9</c:v>
                </c:pt>
                <c:pt idx="9">
                  <c:v>10</c:v>
                </c:pt>
                <c:pt idx="10">
                  <c:v>11</c:v>
                </c:pt>
                <c:pt idx="11">
                  <c:v>12</c:v>
                </c:pt>
                <c:pt idx="12">
                  <c:v>1_17</c:v>
                </c:pt>
                <c:pt idx="13">
                  <c:v>2</c:v>
                </c:pt>
                <c:pt idx="14">
                  <c:v>3</c:v>
                </c:pt>
                <c:pt idx="15">
                  <c:v>4</c:v>
                </c:pt>
                <c:pt idx="16">
                  <c:v>5</c:v>
                </c:pt>
                <c:pt idx="17">
                  <c:v>6</c:v>
                </c:pt>
                <c:pt idx="18">
                  <c:v>7</c:v>
                </c:pt>
                <c:pt idx="19">
                  <c:v>8</c:v>
                </c:pt>
                <c:pt idx="20">
                  <c:v>9</c:v>
                </c:pt>
                <c:pt idx="21">
                  <c:v>10</c:v>
                </c:pt>
                <c:pt idx="22">
                  <c:v>11</c:v>
                </c:pt>
                <c:pt idx="23">
                  <c:v>12</c:v>
                </c:pt>
                <c:pt idx="24">
                  <c:v>1_18</c:v>
                </c:pt>
              </c:strCache>
            </c:strRef>
          </c:cat>
          <c:val>
            <c:numRef>
              <c:f>'Nekolidující zaměstnání'!$D$49:$D$73</c:f>
              <c:numCache>
                <c:formatCode>0.00%</c:formatCode>
                <c:ptCount val="25"/>
                <c:pt idx="0">
                  <c:v>8.6122682139395765E-2</c:v>
                </c:pt>
                <c:pt idx="1">
                  <c:v>9.8854427278679421E-2</c:v>
                </c:pt>
                <c:pt idx="2">
                  <c:v>0.10776355253447797</c:v>
                </c:pt>
                <c:pt idx="3">
                  <c:v>0.11605214960478118</c:v>
                </c:pt>
                <c:pt idx="4">
                  <c:v>0.12279977405652133</c:v>
                </c:pt>
                <c:pt idx="5">
                  <c:v>0.12594970962303031</c:v>
                </c:pt>
                <c:pt idx="6">
                  <c:v>0.11791161467604866</c:v>
                </c:pt>
                <c:pt idx="7">
                  <c:v>0.11732574123364756</c:v>
                </c:pt>
                <c:pt idx="8">
                  <c:v>0.11840859942155883</c:v>
                </c:pt>
                <c:pt idx="9">
                  <c:v>0.1194749948122017</c:v>
                </c:pt>
                <c:pt idx="10">
                  <c:v>0.11885983652878665</c:v>
                </c:pt>
                <c:pt idx="11">
                  <c:v>0.10733061858075951</c:v>
                </c:pt>
                <c:pt idx="12">
                  <c:v>7.7426197177311668E-2</c:v>
                </c:pt>
                <c:pt idx="13">
                  <c:v>8.8093885452173545E-2</c:v>
                </c:pt>
                <c:pt idx="14">
                  <c:v>0.10004998427461023</c:v>
                </c:pt>
                <c:pt idx="15">
                  <c:v>0.10844470796059891</c:v>
                </c:pt>
                <c:pt idx="16">
                  <c:v>0.11594348520846232</c:v>
                </c:pt>
                <c:pt idx="17">
                  <c:v>0.11870669280087681</c:v>
                </c:pt>
                <c:pt idx="18">
                  <c:v>0.11045157288319024</c:v>
                </c:pt>
                <c:pt idx="19">
                  <c:v>9.6487504463894674E-2</c:v>
                </c:pt>
                <c:pt idx="20">
                  <c:v>8.1371637154940946E-2</c:v>
                </c:pt>
                <c:pt idx="21">
                  <c:v>5.6207660792188016E-2</c:v>
                </c:pt>
                <c:pt idx="22">
                  <c:v>5.5870930315780748E-2</c:v>
                </c:pt>
                <c:pt idx="23">
                  <c:v>5.0766160644287649E-2</c:v>
                </c:pt>
                <c:pt idx="24">
                  <c:v>4.1040286555935113E-2</c:v>
                </c:pt>
              </c:numCache>
            </c:numRef>
          </c:val>
          <c:smooth val="0"/>
        </c:ser>
        <c:dLbls>
          <c:showLegendKey val="0"/>
          <c:showVal val="0"/>
          <c:showCatName val="0"/>
          <c:showSerName val="0"/>
          <c:showPercent val="0"/>
          <c:showBubbleSize val="0"/>
        </c:dLbls>
        <c:marker val="1"/>
        <c:smooth val="0"/>
        <c:axId val="29667328"/>
        <c:axId val="29665536"/>
      </c:lineChart>
      <c:catAx>
        <c:axId val="29661824"/>
        <c:scaling>
          <c:orientation val="minMax"/>
        </c:scaling>
        <c:delete val="0"/>
        <c:axPos val="b"/>
        <c:majorTickMark val="out"/>
        <c:minorTickMark val="none"/>
        <c:tickLblPos val="nextTo"/>
        <c:txPr>
          <a:bodyPr/>
          <a:lstStyle/>
          <a:p>
            <a:pPr>
              <a:defRPr sz="800"/>
            </a:pPr>
            <a:endParaRPr lang="cs-CZ"/>
          </a:p>
        </c:txPr>
        <c:crossAx val="29663616"/>
        <c:crosses val="autoZero"/>
        <c:auto val="1"/>
        <c:lblAlgn val="ctr"/>
        <c:lblOffset val="100"/>
        <c:noMultiLvlLbl val="0"/>
      </c:catAx>
      <c:valAx>
        <c:axId val="29663616"/>
        <c:scaling>
          <c:orientation val="minMax"/>
          <c:max val="50000"/>
        </c:scaling>
        <c:delete val="0"/>
        <c:axPos val="l"/>
        <c:majorGridlines/>
        <c:numFmt formatCode="#,##0" sourceLinked="1"/>
        <c:majorTickMark val="out"/>
        <c:minorTickMark val="none"/>
        <c:tickLblPos val="nextTo"/>
        <c:txPr>
          <a:bodyPr/>
          <a:lstStyle/>
          <a:p>
            <a:pPr>
              <a:defRPr sz="800"/>
            </a:pPr>
            <a:endParaRPr lang="cs-CZ"/>
          </a:p>
        </c:txPr>
        <c:crossAx val="29661824"/>
        <c:crosses val="autoZero"/>
        <c:crossBetween val="between"/>
        <c:dispUnits>
          <c:builtInUnit val="thousands"/>
          <c:dispUnitsLbl>
            <c:txPr>
              <a:bodyPr/>
              <a:lstStyle/>
              <a:p>
                <a:pPr>
                  <a:defRPr sz="800"/>
                </a:pPr>
                <a:endParaRPr lang="cs-CZ"/>
              </a:p>
            </c:txPr>
          </c:dispUnitsLbl>
        </c:dispUnits>
      </c:valAx>
      <c:valAx>
        <c:axId val="29665536"/>
        <c:scaling>
          <c:orientation val="minMax"/>
          <c:max val="0.15000000000000002"/>
        </c:scaling>
        <c:delete val="0"/>
        <c:axPos val="r"/>
        <c:numFmt formatCode="0%" sourceLinked="0"/>
        <c:majorTickMark val="out"/>
        <c:minorTickMark val="none"/>
        <c:tickLblPos val="nextTo"/>
        <c:txPr>
          <a:bodyPr/>
          <a:lstStyle/>
          <a:p>
            <a:pPr>
              <a:defRPr sz="800"/>
            </a:pPr>
            <a:endParaRPr lang="cs-CZ"/>
          </a:p>
        </c:txPr>
        <c:crossAx val="29667328"/>
        <c:crosses val="max"/>
        <c:crossBetween val="between"/>
        <c:majorUnit val="1.5000000000000003E-2"/>
      </c:valAx>
      <c:catAx>
        <c:axId val="29667328"/>
        <c:scaling>
          <c:orientation val="minMax"/>
        </c:scaling>
        <c:delete val="1"/>
        <c:axPos val="b"/>
        <c:majorTickMark val="out"/>
        <c:minorTickMark val="none"/>
        <c:tickLblPos val="nextTo"/>
        <c:crossAx val="29665536"/>
        <c:crosses val="autoZero"/>
        <c:auto val="1"/>
        <c:lblAlgn val="ctr"/>
        <c:lblOffset val="100"/>
        <c:noMultiLvlLbl val="0"/>
      </c:catAx>
    </c:plotArea>
    <c:legend>
      <c:legendPos val="b"/>
      <c:overlay val="0"/>
      <c:txPr>
        <a:bodyPr/>
        <a:lstStyle/>
        <a:p>
          <a:pPr>
            <a:defRPr sz="800"/>
          </a:pPr>
          <a:endParaRPr lang="cs-CZ"/>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917329407279849E-2"/>
          <c:y val="4.6858359957401494E-2"/>
          <c:w val="0.84002874432014862"/>
          <c:h val="0.75902526561176653"/>
        </c:manualLayout>
      </c:layout>
      <c:barChart>
        <c:barDir val="col"/>
        <c:grouping val="stacked"/>
        <c:varyColors val="0"/>
        <c:ser>
          <c:idx val="3"/>
          <c:order val="0"/>
          <c:tx>
            <c:strRef>
              <c:f>'Nekolidující zaměstnání'!$AH$47</c:f>
              <c:strCache>
                <c:ptCount val="1"/>
                <c:pt idx="0">
                  <c:v>reálně dostupní UoZ</c:v>
                </c:pt>
              </c:strCache>
            </c:strRef>
          </c:tx>
          <c:spPr>
            <a:solidFill>
              <a:schemeClr val="accent3">
                <a:lumMod val="60000"/>
                <a:lumOff val="40000"/>
              </a:schemeClr>
            </a:solidFill>
          </c:spPr>
          <c:invertIfNegative val="0"/>
          <c:cat>
            <c:strRef>
              <c:f>('Nekolidující zaměstnání'!$AA$49:$AA$67,'Nekolidující zaměstnání'!$AA$68:$AA$73)</c:f>
              <c:strCache>
                <c:ptCount val="25"/>
                <c:pt idx="0">
                  <c:v>1_16</c:v>
                </c:pt>
                <c:pt idx="1">
                  <c:v>2</c:v>
                </c:pt>
                <c:pt idx="2">
                  <c:v>3</c:v>
                </c:pt>
                <c:pt idx="3">
                  <c:v>4</c:v>
                </c:pt>
                <c:pt idx="4">
                  <c:v>5</c:v>
                </c:pt>
                <c:pt idx="5">
                  <c:v>6</c:v>
                </c:pt>
                <c:pt idx="6">
                  <c:v>7</c:v>
                </c:pt>
                <c:pt idx="7">
                  <c:v>8</c:v>
                </c:pt>
                <c:pt idx="8">
                  <c:v>9</c:v>
                </c:pt>
                <c:pt idx="9">
                  <c:v>10</c:v>
                </c:pt>
                <c:pt idx="10">
                  <c:v>11</c:v>
                </c:pt>
                <c:pt idx="11">
                  <c:v>12</c:v>
                </c:pt>
                <c:pt idx="12">
                  <c:v>1_17</c:v>
                </c:pt>
                <c:pt idx="13">
                  <c:v>2</c:v>
                </c:pt>
                <c:pt idx="14">
                  <c:v>3</c:v>
                </c:pt>
                <c:pt idx="15">
                  <c:v>4</c:v>
                </c:pt>
                <c:pt idx="16">
                  <c:v>5</c:v>
                </c:pt>
                <c:pt idx="17">
                  <c:v>6</c:v>
                </c:pt>
                <c:pt idx="18">
                  <c:v>7</c:v>
                </c:pt>
                <c:pt idx="19">
                  <c:v>8</c:v>
                </c:pt>
                <c:pt idx="20">
                  <c:v>9</c:v>
                </c:pt>
                <c:pt idx="21">
                  <c:v>10</c:v>
                </c:pt>
                <c:pt idx="22">
                  <c:v>11</c:v>
                </c:pt>
                <c:pt idx="23">
                  <c:v>12</c:v>
                </c:pt>
                <c:pt idx="24">
                  <c:v>1_18</c:v>
                </c:pt>
              </c:strCache>
            </c:strRef>
          </c:cat>
          <c:val>
            <c:numRef>
              <c:f>('Nekolidující zaměstnání'!$AH$49:$AH$66,'Nekolidující zaměstnání'!$AH$67:$AH$73)</c:f>
              <c:numCache>
                <c:formatCode>#,##0</c:formatCode>
                <c:ptCount val="25"/>
                <c:pt idx="0">
                  <c:v>410450</c:v>
                </c:pt>
                <c:pt idx="1">
                  <c:v>397969</c:v>
                </c:pt>
                <c:pt idx="2">
                  <c:v>376931</c:v>
                </c:pt>
                <c:pt idx="3">
                  <c:v>348253</c:v>
                </c:pt>
                <c:pt idx="4">
                  <c:v>327399</c:v>
                </c:pt>
                <c:pt idx="5">
                  <c:v>317188</c:v>
                </c:pt>
                <c:pt idx="6">
                  <c:v>328635</c:v>
                </c:pt>
                <c:pt idx="7">
                  <c:v>324996</c:v>
                </c:pt>
                <c:pt idx="8">
                  <c:v>314505</c:v>
                </c:pt>
                <c:pt idx="9">
                  <c:v>302124</c:v>
                </c:pt>
                <c:pt idx="10">
                  <c:v>297548</c:v>
                </c:pt>
                <c:pt idx="11">
                  <c:v>319237</c:v>
                </c:pt>
                <c:pt idx="12">
                  <c:v>337017</c:v>
                </c:pt>
                <c:pt idx="13">
                  <c:v>323327</c:v>
                </c:pt>
                <c:pt idx="14">
                  <c:v>296469</c:v>
                </c:pt>
                <c:pt idx="15">
                  <c:v>268351</c:v>
                </c:pt>
                <c:pt idx="16">
                  <c:v>249095</c:v>
                </c:pt>
                <c:pt idx="17">
                  <c:v>239191</c:v>
                </c:pt>
                <c:pt idx="18">
                  <c:v>247761</c:v>
                </c:pt>
                <c:pt idx="19">
                  <c:v>246185</c:v>
                </c:pt>
                <c:pt idx="20">
                  <c:v>239303</c:v>
                </c:pt>
                <c:pt idx="21">
                  <c:v>233268</c:v>
                </c:pt>
                <c:pt idx="22">
                  <c:v>227667</c:v>
                </c:pt>
                <c:pt idx="23">
                  <c:v>245683</c:v>
                </c:pt>
                <c:pt idx="24">
                  <c:v>256375</c:v>
                </c:pt>
              </c:numCache>
            </c:numRef>
          </c:val>
        </c:ser>
        <c:ser>
          <c:idx val="0"/>
          <c:order val="1"/>
          <c:tx>
            <c:strRef>
              <c:f>'Nekolidující zaměstnání'!$AD$47</c:f>
              <c:strCache>
                <c:ptCount val="1"/>
                <c:pt idx="0">
                  <c:v>nedosaž UoZ</c:v>
                </c:pt>
              </c:strCache>
            </c:strRef>
          </c:tx>
          <c:spPr>
            <a:solidFill>
              <a:srgbClr val="FF9999"/>
            </a:solidFill>
          </c:spPr>
          <c:invertIfNegative val="0"/>
          <c:cat>
            <c:strRef>
              <c:f>('Nekolidující zaměstnání'!$AA$49:$AA$67,'Nekolidující zaměstnání'!$AA$68:$AA$73)</c:f>
              <c:strCache>
                <c:ptCount val="25"/>
                <c:pt idx="0">
                  <c:v>1_16</c:v>
                </c:pt>
                <c:pt idx="1">
                  <c:v>2</c:v>
                </c:pt>
                <c:pt idx="2">
                  <c:v>3</c:v>
                </c:pt>
                <c:pt idx="3">
                  <c:v>4</c:v>
                </c:pt>
                <c:pt idx="4">
                  <c:v>5</c:v>
                </c:pt>
                <c:pt idx="5">
                  <c:v>6</c:v>
                </c:pt>
                <c:pt idx="6">
                  <c:v>7</c:v>
                </c:pt>
                <c:pt idx="7">
                  <c:v>8</c:v>
                </c:pt>
                <c:pt idx="8">
                  <c:v>9</c:v>
                </c:pt>
                <c:pt idx="9">
                  <c:v>10</c:v>
                </c:pt>
                <c:pt idx="10">
                  <c:v>11</c:v>
                </c:pt>
                <c:pt idx="11">
                  <c:v>12</c:v>
                </c:pt>
                <c:pt idx="12">
                  <c:v>1_17</c:v>
                </c:pt>
                <c:pt idx="13">
                  <c:v>2</c:v>
                </c:pt>
                <c:pt idx="14">
                  <c:v>3</c:v>
                </c:pt>
                <c:pt idx="15">
                  <c:v>4</c:v>
                </c:pt>
                <c:pt idx="16">
                  <c:v>5</c:v>
                </c:pt>
                <c:pt idx="17">
                  <c:v>6</c:v>
                </c:pt>
                <c:pt idx="18">
                  <c:v>7</c:v>
                </c:pt>
                <c:pt idx="19">
                  <c:v>8</c:v>
                </c:pt>
                <c:pt idx="20">
                  <c:v>9</c:v>
                </c:pt>
                <c:pt idx="21">
                  <c:v>10</c:v>
                </c:pt>
                <c:pt idx="22">
                  <c:v>11</c:v>
                </c:pt>
                <c:pt idx="23">
                  <c:v>12</c:v>
                </c:pt>
                <c:pt idx="24">
                  <c:v>1_18</c:v>
                </c:pt>
              </c:strCache>
            </c:strRef>
          </c:cat>
          <c:val>
            <c:numRef>
              <c:f>('Nekolidující zaměstnání'!$AD$49:$AD$66,'Nekolidující zaměstnání'!$AD$67:$AD$73)</c:f>
              <c:numCache>
                <c:formatCode>#,##0</c:formatCode>
                <c:ptCount val="25"/>
                <c:pt idx="0">
                  <c:v>16699</c:v>
                </c:pt>
                <c:pt idx="1">
                  <c:v>17688</c:v>
                </c:pt>
                <c:pt idx="2">
                  <c:v>18427</c:v>
                </c:pt>
                <c:pt idx="3">
                  <c:v>18550</c:v>
                </c:pt>
                <c:pt idx="4">
                  <c:v>18910</c:v>
                </c:pt>
                <c:pt idx="5">
                  <c:v>18734</c:v>
                </c:pt>
                <c:pt idx="6">
                  <c:v>17732</c:v>
                </c:pt>
                <c:pt idx="7">
                  <c:v>17900</c:v>
                </c:pt>
                <c:pt idx="8">
                  <c:v>18964</c:v>
                </c:pt>
                <c:pt idx="9">
                  <c:v>20363</c:v>
                </c:pt>
                <c:pt idx="10">
                  <c:v>22090</c:v>
                </c:pt>
                <c:pt idx="11">
                  <c:v>21203</c:v>
                </c:pt>
                <c:pt idx="12">
                  <c:v>22248</c:v>
                </c:pt>
                <c:pt idx="13">
                  <c:v>23387</c:v>
                </c:pt>
                <c:pt idx="14">
                  <c:v>24014</c:v>
                </c:pt>
                <c:pt idx="15">
                  <c:v>23365</c:v>
                </c:pt>
                <c:pt idx="16">
                  <c:v>23655</c:v>
                </c:pt>
                <c:pt idx="17">
                  <c:v>22940</c:v>
                </c:pt>
                <c:pt idx="18">
                  <c:v>21838</c:v>
                </c:pt>
                <c:pt idx="19">
                  <c:v>22001</c:v>
                </c:pt>
                <c:pt idx="20">
                  <c:v>22428</c:v>
                </c:pt>
                <c:pt idx="21">
                  <c:v>22663</c:v>
                </c:pt>
                <c:pt idx="22">
                  <c:v>22970</c:v>
                </c:pt>
                <c:pt idx="23">
                  <c:v>20691</c:v>
                </c:pt>
                <c:pt idx="24">
                  <c:v>20983</c:v>
                </c:pt>
              </c:numCache>
            </c:numRef>
          </c:val>
        </c:ser>
        <c:ser>
          <c:idx val="1"/>
          <c:order val="2"/>
          <c:tx>
            <c:strRef>
              <c:f>'Nekolidující zaměstnání'!$AF$47</c:f>
              <c:strCache>
                <c:ptCount val="1"/>
                <c:pt idx="0">
                  <c:v>nekolid UoZ</c:v>
                </c:pt>
              </c:strCache>
            </c:strRef>
          </c:tx>
          <c:spPr>
            <a:solidFill>
              <a:schemeClr val="accent2">
                <a:lumMod val="40000"/>
                <a:lumOff val="60000"/>
              </a:schemeClr>
            </a:solidFill>
          </c:spPr>
          <c:invertIfNegative val="0"/>
          <c:cat>
            <c:strRef>
              <c:f>('Nekolidující zaměstnání'!$AA$49:$AA$67,'Nekolidující zaměstnání'!$AA$68:$AA$73)</c:f>
              <c:strCache>
                <c:ptCount val="25"/>
                <c:pt idx="0">
                  <c:v>1_16</c:v>
                </c:pt>
                <c:pt idx="1">
                  <c:v>2</c:v>
                </c:pt>
                <c:pt idx="2">
                  <c:v>3</c:v>
                </c:pt>
                <c:pt idx="3">
                  <c:v>4</c:v>
                </c:pt>
                <c:pt idx="4">
                  <c:v>5</c:v>
                </c:pt>
                <c:pt idx="5">
                  <c:v>6</c:v>
                </c:pt>
                <c:pt idx="6">
                  <c:v>7</c:v>
                </c:pt>
                <c:pt idx="7">
                  <c:v>8</c:v>
                </c:pt>
                <c:pt idx="8">
                  <c:v>9</c:v>
                </c:pt>
                <c:pt idx="9">
                  <c:v>10</c:v>
                </c:pt>
                <c:pt idx="10">
                  <c:v>11</c:v>
                </c:pt>
                <c:pt idx="11">
                  <c:v>12</c:v>
                </c:pt>
                <c:pt idx="12">
                  <c:v>1_17</c:v>
                </c:pt>
                <c:pt idx="13">
                  <c:v>2</c:v>
                </c:pt>
                <c:pt idx="14">
                  <c:v>3</c:v>
                </c:pt>
                <c:pt idx="15">
                  <c:v>4</c:v>
                </c:pt>
                <c:pt idx="16">
                  <c:v>5</c:v>
                </c:pt>
                <c:pt idx="17">
                  <c:v>6</c:v>
                </c:pt>
                <c:pt idx="18">
                  <c:v>7</c:v>
                </c:pt>
                <c:pt idx="19">
                  <c:v>8</c:v>
                </c:pt>
                <c:pt idx="20">
                  <c:v>9</c:v>
                </c:pt>
                <c:pt idx="21">
                  <c:v>10</c:v>
                </c:pt>
                <c:pt idx="22">
                  <c:v>11</c:v>
                </c:pt>
                <c:pt idx="23">
                  <c:v>12</c:v>
                </c:pt>
                <c:pt idx="24">
                  <c:v>1_18</c:v>
                </c:pt>
              </c:strCache>
            </c:strRef>
          </c:cat>
          <c:val>
            <c:numRef>
              <c:f>('Nekolidující zaměstnání'!$AF$49:$AF$66,'Nekolidující zaměstnání'!$AF$67:$AF$73)</c:f>
              <c:numCache>
                <c:formatCode>#,##0</c:formatCode>
                <c:ptCount val="25"/>
                <c:pt idx="0">
                  <c:v>40254</c:v>
                </c:pt>
                <c:pt idx="1">
                  <c:v>45597</c:v>
                </c:pt>
                <c:pt idx="2">
                  <c:v>47751</c:v>
                </c:pt>
                <c:pt idx="3">
                  <c:v>48157</c:v>
                </c:pt>
                <c:pt idx="4">
                  <c:v>48480</c:v>
                </c:pt>
                <c:pt idx="5">
                  <c:v>48406</c:v>
                </c:pt>
                <c:pt idx="6">
                  <c:v>46300</c:v>
                </c:pt>
                <c:pt idx="7">
                  <c:v>45578</c:v>
                </c:pt>
                <c:pt idx="8">
                  <c:v>44789</c:v>
                </c:pt>
                <c:pt idx="9">
                  <c:v>43757</c:v>
                </c:pt>
                <c:pt idx="10">
                  <c:v>43117</c:v>
                </c:pt>
                <c:pt idx="11">
                  <c:v>40933</c:v>
                </c:pt>
                <c:pt idx="12">
                  <c:v>30151</c:v>
                </c:pt>
                <c:pt idx="13">
                  <c:v>33494</c:v>
                </c:pt>
                <c:pt idx="14">
                  <c:v>35629</c:v>
                </c:pt>
                <c:pt idx="15">
                  <c:v>35483</c:v>
                </c:pt>
                <c:pt idx="16">
                  <c:v>35771</c:v>
                </c:pt>
                <c:pt idx="17">
                  <c:v>35308</c:v>
                </c:pt>
                <c:pt idx="18">
                  <c:v>33475</c:v>
                </c:pt>
                <c:pt idx="19">
                  <c:v>28640</c:v>
                </c:pt>
                <c:pt idx="20">
                  <c:v>23184</c:v>
                </c:pt>
                <c:pt idx="21">
                  <c:v>15242</c:v>
                </c:pt>
                <c:pt idx="22">
                  <c:v>14832</c:v>
                </c:pt>
                <c:pt idx="23">
                  <c:v>14246</c:v>
                </c:pt>
                <c:pt idx="24">
                  <c:v>11870</c:v>
                </c:pt>
              </c:numCache>
            </c:numRef>
          </c:val>
        </c:ser>
        <c:dLbls>
          <c:showLegendKey val="0"/>
          <c:showVal val="0"/>
          <c:showCatName val="0"/>
          <c:showSerName val="0"/>
          <c:showPercent val="0"/>
          <c:showBubbleSize val="0"/>
        </c:dLbls>
        <c:gapWidth val="150"/>
        <c:overlap val="100"/>
        <c:axId val="29707648"/>
        <c:axId val="29717632"/>
      </c:barChart>
      <c:lineChart>
        <c:grouping val="standard"/>
        <c:varyColors val="0"/>
        <c:ser>
          <c:idx val="4"/>
          <c:order val="3"/>
          <c:tx>
            <c:strRef>
              <c:f>'Nekolidující zaměstnání'!$AI$47</c:f>
              <c:strCache>
                <c:ptCount val="1"/>
                <c:pt idx="0">
                  <c:v>podíl reálně dostupných UoZ (p. osa)</c:v>
                </c:pt>
              </c:strCache>
            </c:strRef>
          </c:tx>
          <c:marker>
            <c:symbol val="none"/>
          </c:marker>
          <c:cat>
            <c:strRef>
              <c:f>'Nekolidující zaměstnání'!$AA$49:$AA$73</c:f>
              <c:strCache>
                <c:ptCount val="25"/>
                <c:pt idx="0">
                  <c:v>1_16</c:v>
                </c:pt>
                <c:pt idx="1">
                  <c:v>2</c:v>
                </c:pt>
                <c:pt idx="2">
                  <c:v>3</c:v>
                </c:pt>
                <c:pt idx="3">
                  <c:v>4</c:v>
                </c:pt>
                <c:pt idx="4">
                  <c:v>5</c:v>
                </c:pt>
                <c:pt idx="5">
                  <c:v>6</c:v>
                </c:pt>
                <c:pt idx="6">
                  <c:v>7</c:v>
                </c:pt>
                <c:pt idx="7">
                  <c:v>8</c:v>
                </c:pt>
                <c:pt idx="8">
                  <c:v>9</c:v>
                </c:pt>
                <c:pt idx="9">
                  <c:v>10</c:v>
                </c:pt>
                <c:pt idx="10">
                  <c:v>11</c:v>
                </c:pt>
                <c:pt idx="11">
                  <c:v>12</c:v>
                </c:pt>
                <c:pt idx="12">
                  <c:v>1_17</c:v>
                </c:pt>
                <c:pt idx="13">
                  <c:v>2</c:v>
                </c:pt>
                <c:pt idx="14">
                  <c:v>3</c:v>
                </c:pt>
                <c:pt idx="15">
                  <c:v>4</c:v>
                </c:pt>
                <c:pt idx="16">
                  <c:v>5</c:v>
                </c:pt>
                <c:pt idx="17">
                  <c:v>6</c:v>
                </c:pt>
                <c:pt idx="18">
                  <c:v>7</c:v>
                </c:pt>
                <c:pt idx="19">
                  <c:v>8</c:v>
                </c:pt>
                <c:pt idx="20">
                  <c:v>9</c:v>
                </c:pt>
                <c:pt idx="21">
                  <c:v>10</c:v>
                </c:pt>
                <c:pt idx="22">
                  <c:v>11</c:v>
                </c:pt>
                <c:pt idx="23">
                  <c:v>12</c:v>
                </c:pt>
                <c:pt idx="24">
                  <c:v>1_18</c:v>
                </c:pt>
              </c:strCache>
            </c:strRef>
          </c:cat>
          <c:val>
            <c:numRef>
              <c:f>('Nekolidující zaměstnání'!$AI$49:$AI$66,'Nekolidující zaměstnání'!$AI$67:$AI$73)</c:f>
              <c:numCache>
                <c:formatCode>0.00%</c:formatCode>
                <c:ptCount val="25"/>
                <c:pt idx="0">
                  <c:v>0.87815011884818883</c:v>
                </c:pt>
                <c:pt idx="1">
                  <c:v>0.86279793779566138</c:v>
                </c:pt>
                <c:pt idx="2">
                  <c:v>0.85065074281948683</c:v>
                </c:pt>
                <c:pt idx="3">
                  <c:v>0.83924474648158853</c:v>
                </c:pt>
                <c:pt idx="4">
                  <c:v>0.829301221665244</c:v>
                </c:pt>
                <c:pt idx="5">
                  <c:v>0.82530546824587336</c:v>
                </c:pt>
                <c:pt idx="6">
                  <c:v>0.83693052892145248</c:v>
                </c:pt>
                <c:pt idx="7">
                  <c:v>0.83659652898263459</c:v>
                </c:pt>
                <c:pt idx="8">
                  <c:v>0.8314563075995749</c:v>
                </c:pt>
                <c:pt idx="9">
                  <c:v>0.82492545952971241</c:v>
                </c:pt>
                <c:pt idx="10">
                  <c:v>0.82024506898595473</c:v>
                </c:pt>
                <c:pt idx="11">
                  <c:v>0.83707289189323841</c:v>
                </c:pt>
                <c:pt idx="12">
                  <c:v>0.86544209791071758</c:v>
                </c:pt>
                <c:pt idx="13">
                  <c:v>0.85039504692168499</c:v>
                </c:pt>
                <c:pt idx="14">
                  <c:v>0.83251617468661543</c:v>
                </c:pt>
                <c:pt idx="15">
                  <c:v>0.82014614959092169</c:v>
                </c:pt>
                <c:pt idx="16">
                  <c:v>0.80738426233546501</c:v>
                </c:pt>
                <c:pt idx="17">
                  <c:v>0.80416824962429267</c:v>
                </c:pt>
                <c:pt idx="18">
                  <c:v>0.81749341744920379</c:v>
                </c:pt>
                <c:pt idx="19">
                  <c:v>0.829391630113265</c:v>
                </c:pt>
                <c:pt idx="20">
                  <c:v>0.8399101486408227</c:v>
                </c:pt>
                <c:pt idx="21">
                  <c:v>0.86021838457368538</c:v>
                </c:pt>
                <c:pt idx="22">
                  <c:v>0.85760295929091535</c:v>
                </c:pt>
                <c:pt idx="23">
                  <c:v>0.87550067707219725</c:v>
                </c:pt>
                <c:pt idx="24">
                  <c:v>0.88641141244969368</c:v>
                </c:pt>
              </c:numCache>
            </c:numRef>
          </c:val>
          <c:smooth val="0"/>
        </c:ser>
        <c:dLbls>
          <c:showLegendKey val="0"/>
          <c:showVal val="0"/>
          <c:showCatName val="0"/>
          <c:showSerName val="0"/>
          <c:showPercent val="0"/>
          <c:showBubbleSize val="0"/>
        </c:dLbls>
        <c:marker val="1"/>
        <c:smooth val="0"/>
        <c:axId val="29720960"/>
        <c:axId val="29719168"/>
      </c:lineChart>
      <c:catAx>
        <c:axId val="29707648"/>
        <c:scaling>
          <c:orientation val="minMax"/>
        </c:scaling>
        <c:delete val="0"/>
        <c:axPos val="b"/>
        <c:majorTickMark val="out"/>
        <c:minorTickMark val="none"/>
        <c:tickLblPos val="nextTo"/>
        <c:txPr>
          <a:bodyPr/>
          <a:lstStyle/>
          <a:p>
            <a:pPr>
              <a:defRPr sz="800"/>
            </a:pPr>
            <a:endParaRPr lang="cs-CZ"/>
          </a:p>
        </c:txPr>
        <c:crossAx val="29717632"/>
        <c:crosses val="autoZero"/>
        <c:auto val="1"/>
        <c:lblAlgn val="ctr"/>
        <c:lblOffset val="100"/>
        <c:noMultiLvlLbl val="0"/>
      </c:catAx>
      <c:valAx>
        <c:axId val="29717632"/>
        <c:scaling>
          <c:orientation val="minMax"/>
        </c:scaling>
        <c:delete val="0"/>
        <c:axPos val="l"/>
        <c:majorGridlines/>
        <c:numFmt formatCode="#,##0" sourceLinked="1"/>
        <c:majorTickMark val="out"/>
        <c:minorTickMark val="none"/>
        <c:tickLblPos val="nextTo"/>
        <c:txPr>
          <a:bodyPr/>
          <a:lstStyle/>
          <a:p>
            <a:pPr>
              <a:defRPr sz="800"/>
            </a:pPr>
            <a:endParaRPr lang="cs-CZ"/>
          </a:p>
        </c:txPr>
        <c:crossAx val="29707648"/>
        <c:crosses val="autoZero"/>
        <c:crossBetween val="between"/>
      </c:valAx>
      <c:valAx>
        <c:axId val="29719168"/>
        <c:scaling>
          <c:orientation val="minMax"/>
          <c:max val="1"/>
          <c:min val="0.5"/>
        </c:scaling>
        <c:delete val="0"/>
        <c:axPos val="r"/>
        <c:numFmt formatCode="0%" sourceLinked="0"/>
        <c:majorTickMark val="out"/>
        <c:minorTickMark val="none"/>
        <c:tickLblPos val="nextTo"/>
        <c:txPr>
          <a:bodyPr/>
          <a:lstStyle/>
          <a:p>
            <a:pPr>
              <a:defRPr sz="800"/>
            </a:pPr>
            <a:endParaRPr lang="cs-CZ"/>
          </a:p>
        </c:txPr>
        <c:crossAx val="29720960"/>
        <c:crosses val="max"/>
        <c:crossBetween val="between"/>
      </c:valAx>
      <c:catAx>
        <c:axId val="29720960"/>
        <c:scaling>
          <c:orientation val="minMax"/>
        </c:scaling>
        <c:delete val="1"/>
        <c:axPos val="b"/>
        <c:majorTickMark val="out"/>
        <c:minorTickMark val="none"/>
        <c:tickLblPos val="nextTo"/>
        <c:crossAx val="29719168"/>
        <c:crosses val="autoZero"/>
        <c:auto val="1"/>
        <c:lblAlgn val="ctr"/>
        <c:lblOffset val="100"/>
        <c:noMultiLvlLbl val="0"/>
      </c:catAx>
    </c:plotArea>
    <c:legend>
      <c:legendPos val="b"/>
      <c:overlay val="0"/>
      <c:txPr>
        <a:bodyPr/>
        <a:lstStyle/>
        <a:p>
          <a:pPr>
            <a:defRPr sz="800"/>
          </a:pPr>
          <a:endParaRPr lang="cs-CZ"/>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8701709142324875E-2"/>
          <c:y val="0.1139130253076958"/>
          <c:w val="0.94197461668718918"/>
          <c:h val="0.66606649646547766"/>
        </c:manualLayout>
      </c:layout>
      <c:barChart>
        <c:barDir val="col"/>
        <c:grouping val="clustered"/>
        <c:varyColors val="0"/>
        <c:ser>
          <c:idx val="2"/>
          <c:order val="0"/>
          <c:tx>
            <c:strRef>
              <c:f>'Nabídka a poptávka'!$CF$4</c:f>
              <c:strCache>
                <c:ptCount val="1"/>
                <c:pt idx="0">
                  <c:v>UoZ/VPM k 31. 12.2017</c:v>
                </c:pt>
              </c:strCache>
            </c:strRef>
          </c:tx>
          <c:spPr>
            <a:solidFill>
              <a:schemeClr val="accent1">
                <a:lumMod val="60000"/>
                <a:lumOff val="40000"/>
              </a:schemeClr>
            </a:solidFill>
            <a:ln w="28575">
              <a:noFill/>
            </a:ln>
          </c:spPr>
          <c:invertIfNegative val="0"/>
          <c:dPt>
            <c:idx val="0"/>
            <c:invertIfNegative val="0"/>
            <c:bubble3D val="0"/>
            <c:spPr>
              <a:solidFill>
                <a:srgbClr val="00B0F0"/>
              </a:solidFill>
              <a:ln w="28575">
                <a:noFill/>
              </a:ln>
            </c:spPr>
          </c:dPt>
          <c:cat>
            <c:strRef>
              <c:f>'Nabídka a poptávka'!$BU$70:$BU$80</c:f>
              <c:strCache>
                <c:ptCount val="11"/>
                <c:pt idx="0">
                  <c:v>Celkem</c:v>
                </c:pt>
                <c:pt idx="1">
                  <c:v>Zaměst. v ozbr. silách</c:v>
                </c:pt>
                <c:pt idx="2">
                  <c:v>Zákon. a řídící prac.</c:v>
                </c:pt>
                <c:pt idx="3">
                  <c:v>Specialisté</c:v>
                </c:pt>
                <c:pt idx="4">
                  <c:v>Tech., odbor prac.</c:v>
                </c:pt>
                <c:pt idx="5">
                  <c:v>Úředníci</c:v>
                </c:pt>
                <c:pt idx="6">
                  <c:v>Prac. ve službách a prodeji</c:v>
                </c:pt>
                <c:pt idx="7">
                  <c:v>Kvalif. prac. v zem., les., ryb.</c:v>
                </c:pt>
                <c:pt idx="8">
                  <c:v>Řemeslníci a opraváři</c:v>
                </c:pt>
                <c:pt idx="9">
                  <c:v>Obsl. strojů a zaříz., montéři</c:v>
                </c:pt>
                <c:pt idx="10">
                  <c:v>Pomoc., nekvalif. prac.</c:v>
                </c:pt>
              </c:strCache>
            </c:strRef>
          </c:cat>
          <c:val>
            <c:numRef>
              <c:f>'Nabídka a poptávka'!$CF$9:$CF$19</c:f>
              <c:numCache>
                <c:formatCode>0.00</c:formatCode>
                <c:ptCount val="11"/>
                <c:pt idx="0">
                  <c:v>1.2949998846304713</c:v>
                </c:pt>
                <c:pt idx="1">
                  <c:v>0.28947368421052633</c:v>
                </c:pt>
                <c:pt idx="2">
                  <c:v>2.0757134536983108</c:v>
                </c:pt>
                <c:pt idx="3">
                  <c:v>0.92921159501470385</c:v>
                </c:pt>
                <c:pt idx="4">
                  <c:v>1.4902920410783056</c:v>
                </c:pt>
                <c:pt idx="5">
                  <c:v>4.724220623501199</c:v>
                </c:pt>
                <c:pt idx="6">
                  <c:v>2.1783745748797938</c:v>
                </c:pt>
                <c:pt idx="7">
                  <c:v>2.1537551744529866</c:v>
                </c:pt>
                <c:pt idx="8">
                  <c:v>0.77452442690286605</c:v>
                </c:pt>
                <c:pt idx="9">
                  <c:v>0.46063372990953988</c:v>
                </c:pt>
                <c:pt idx="10">
                  <c:v>1.6716464363523187</c:v>
                </c:pt>
              </c:numCache>
            </c:numRef>
          </c:val>
        </c:ser>
        <c:ser>
          <c:idx val="0"/>
          <c:order val="1"/>
          <c:tx>
            <c:strRef>
              <c:f>'Nabídka a poptávka'!$BI$4:$BI$8</c:f>
              <c:strCache>
                <c:ptCount val="1"/>
                <c:pt idx="0">
                  <c:v>UoZ/VPM k 30.6.2017</c:v>
                </c:pt>
              </c:strCache>
            </c:strRef>
          </c:tx>
          <c:spPr>
            <a:solidFill>
              <a:schemeClr val="accent2">
                <a:lumMod val="40000"/>
                <a:lumOff val="60000"/>
              </a:schemeClr>
            </a:solidFill>
          </c:spPr>
          <c:invertIfNegative val="0"/>
          <c:dPt>
            <c:idx val="0"/>
            <c:invertIfNegative val="0"/>
            <c:bubble3D val="0"/>
            <c:spPr>
              <a:solidFill>
                <a:schemeClr val="accent2">
                  <a:lumMod val="60000"/>
                  <a:lumOff val="40000"/>
                </a:schemeClr>
              </a:solidFill>
            </c:spPr>
          </c:dPt>
          <c:cat>
            <c:strRef>
              <c:f>'Nabídka a poptávka'!$BU$70:$BU$80</c:f>
              <c:strCache>
                <c:ptCount val="11"/>
                <c:pt idx="0">
                  <c:v>Celkem</c:v>
                </c:pt>
                <c:pt idx="1">
                  <c:v>Zaměst. v ozbr. silách</c:v>
                </c:pt>
                <c:pt idx="2">
                  <c:v>Zákon. a řídící prac.</c:v>
                </c:pt>
                <c:pt idx="3">
                  <c:v>Specialisté</c:v>
                </c:pt>
                <c:pt idx="4">
                  <c:v>Tech., odbor prac.</c:v>
                </c:pt>
                <c:pt idx="5">
                  <c:v>Úředníci</c:v>
                </c:pt>
                <c:pt idx="6">
                  <c:v>Prac. ve službách a prodeji</c:v>
                </c:pt>
                <c:pt idx="7">
                  <c:v>Kvalif. prac. v zem., les., ryb.</c:v>
                </c:pt>
                <c:pt idx="8">
                  <c:v>Řemeslníci a opraváři</c:v>
                </c:pt>
                <c:pt idx="9">
                  <c:v>Obsl. strojů a zaříz., montéři</c:v>
                </c:pt>
                <c:pt idx="10">
                  <c:v>Pomoc., nekvalif. prac.</c:v>
                </c:pt>
              </c:strCache>
            </c:strRef>
          </c:cat>
          <c:val>
            <c:numRef>
              <c:f>'Nabídka a poptávka'!$BI$9:$BI$19</c:f>
              <c:numCache>
                <c:formatCode>0.00</c:formatCode>
                <c:ptCount val="11"/>
                <c:pt idx="0">
                  <c:v>1.620444119986489</c:v>
                </c:pt>
                <c:pt idx="1">
                  <c:v>0.21148036253776434</c:v>
                </c:pt>
                <c:pt idx="2">
                  <c:v>2.2965944272445822</c:v>
                </c:pt>
                <c:pt idx="3">
                  <c:v>1.1488082141547489</c:v>
                </c:pt>
                <c:pt idx="4">
                  <c:v>1.6848811565792698</c:v>
                </c:pt>
                <c:pt idx="5">
                  <c:v>5.9993268259845172</c:v>
                </c:pt>
                <c:pt idx="6">
                  <c:v>2.5430513595166162</c:v>
                </c:pt>
                <c:pt idx="7">
                  <c:v>1.6935914552736984</c:v>
                </c:pt>
                <c:pt idx="8">
                  <c:v>0.78728093467870419</c:v>
                </c:pt>
                <c:pt idx="9">
                  <c:v>0.64872817469967414</c:v>
                </c:pt>
                <c:pt idx="10">
                  <c:v>2.0745851370851369</c:v>
                </c:pt>
              </c:numCache>
            </c:numRef>
          </c:val>
        </c:ser>
        <c:dLbls>
          <c:showLegendKey val="0"/>
          <c:showVal val="0"/>
          <c:showCatName val="0"/>
          <c:showSerName val="0"/>
          <c:showPercent val="0"/>
          <c:showBubbleSize val="0"/>
        </c:dLbls>
        <c:gapWidth val="150"/>
        <c:axId val="29362048"/>
        <c:axId val="29363584"/>
      </c:barChart>
      <c:catAx>
        <c:axId val="29362048"/>
        <c:scaling>
          <c:orientation val="minMax"/>
        </c:scaling>
        <c:delete val="0"/>
        <c:axPos val="b"/>
        <c:majorTickMark val="out"/>
        <c:minorTickMark val="none"/>
        <c:tickLblPos val="nextTo"/>
        <c:txPr>
          <a:bodyPr/>
          <a:lstStyle/>
          <a:p>
            <a:pPr>
              <a:defRPr sz="800"/>
            </a:pPr>
            <a:endParaRPr lang="cs-CZ"/>
          </a:p>
        </c:txPr>
        <c:crossAx val="29363584"/>
        <c:crosses val="autoZero"/>
        <c:auto val="1"/>
        <c:lblAlgn val="ctr"/>
        <c:lblOffset val="100"/>
        <c:noMultiLvlLbl val="0"/>
      </c:catAx>
      <c:valAx>
        <c:axId val="29363584"/>
        <c:scaling>
          <c:orientation val="minMax"/>
        </c:scaling>
        <c:delete val="0"/>
        <c:axPos val="l"/>
        <c:majorGridlines/>
        <c:numFmt formatCode="0" sourceLinked="0"/>
        <c:majorTickMark val="out"/>
        <c:minorTickMark val="none"/>
        <c:tickLblPos val="nextTo"/>
        <c:txPr>
          <a:bodyPr/>
          <a:lstStyle/>
          <a:p>
            <a:pPr>
              <a:defRPr sz="800"/>
            </a:pPr>
            <a:endParaRPr lang="cs-CZ"/>
          </a:p>
        </c:txPr>
        <c:crossAx val="29362048"/>
        <c:crosses val="autoZero"/>
        <c:crossBetween val="between"/>
      </c:valAx>
    </c:plotArea>
    <c:legend>
      <c:legendPos val="t"/>
      <c:overlay val="0"/>
      <c:txPr>
        <a:bodyPr/>
        <a:lstStyle/>
        <a:p>
          <a:pPr>
            <a:defRPr sz="800"/>
          </a:pPr>
          <a:endParaRPr lang="cs-CZ"/>
        </a:p>
      </c:txPr>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7"/>
          <c:order val="0"/>
          <c:tx>
            <c:strRef>
              <c:f>List1!$A$10</c:f>
              <c:strCache>
                <c:ptCount val="1"/>
                <c:pt idx="0">
                  <c:v>ostatní</c:v>
                </c:pt>
              </c:strCache>
            </c:strRef>
          </c:tx>
          <c:spPr>
            <a:solidFill>
              <a:schemeClr val="bg1">
                <a:lumMod val="75000"/>
              </a:schemeClr>
            </a:solidFill>
          </c:spPr>
          <c:invertIfNegative val="0"/>
          <c:cat>
            <c:numRef>
              <c:f>(List1!$B$2:$N$2,List1!$P$2)</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(List1!$B$10:$N$10,List1!$P$10)</c:f>
              <c:numCache>
                <c:formatCode>#,##0</c:formatCode>
                <c:ptCount val="14"/>
                <c:pt idx="0">
                  <c:v>13382</c:v>
                </c:pt>
                <c:pt idx="1">
                  <c:v>18380</c:v>
                </c:pt>
                <c:pt idx="2">
                  <c:v>24151</c:v>
                </c:pt>
                <c:pt idx="3">
                  <c:v>36156</c:v>
                </c:pt>
                <c:pt idx="4">
                  <c:v>54295</c:v>
                </c:pt>
                <c:pt idx="5">
                  <c:v>39121</c:v>
                </c:pt>
                <c:pt idx="6">
                  <c:v>36180</c:v>
                </c:pt>
                <c:pt idx="7">
                  <c:v>36383</c:v>
                </c:pt>
                <c:pt idx="8">
                  <c:v>36605</c:v>
                </c:pt>
                <c:pt idx="9">
                  <c:v>36965</c:v>
                </c:pt>
                <c:pt idx="10">
                  <c:v>40740</c:v>
                </c:pt>
                <c:pt idx="11">
                  <c:v>51654</c:v>
                </c:pt>
                <c:pt idx="12">
                  <c:v>63243</c:v>
                </c:pt>
                <c:pt idx="13">
                  <c:v>82600</c:v>
                </c:pt>
              </c:numCache>
            </c:numRef>
          </c:val>
        </c:ser>
        <c:ser>
          <c:idx val="5"/>
          <c:order val="1"/>
          <c:tx>
            <c:strRef>
              <c:f>List1!$A$8</c:f>
              <c:strCache>
                <c:ptCount val="1"/>
                <c:pt idx="0">
                  <c:v>Rusko</c:v>
                </c:pt>
              </c:strCache>
            </c:strRef>
          </c:tx>
          <c:spPr>
            <a:solidFill>
              <a:srgbClr val="FF0000"/>
            </a:solidFill>
            <a:ln w="25400">
              <a:noFill/>
            </a:ln>
          </c:spPr>
          <c:invertIfNegative val="0"/>
          <c:cat>
            <c:numRef>
              <c:f>(List1!$B$2:$N$2,List1!$P$2)</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(List1!$B$8:$N$8,List1!$P$8)</c:f>
              <c:numCache>
                <c:formatCode>#,##0</c:formatCode>
                <c:ptCount val="14"/>
                <c:pt idx="0">
                  <c:v>1078</c:v>
                </c:pt>
                <c:pt idx="1">
                  <c:v>2447</c:v>
                </c:pt>
                <c:pt idx="2">
                  <c:v>2380</c:v>
                </c:pt>
                <c:pt idx="3">
                  <c:v>2488</c:v>
                </c:pt>
                <c:pt idx="4">
                  <c:v>3314</c:v>
                </c:pt>
                <c:pt idx="5">
                  <c:v>3612</c:v>
                </c:pt>
                <c:pt idx="6">
                  <c:v>3658</c:v>
                </c:pt>
                <c:pt idx="7">
                  <c:v>3931</c:v>
                </c:pt>
                <c:pt idx="8" formatCode="General">
                  <c:v>3950</c:v>
                </c:pt>
                <c:pt idx="9" formatCode="General">
                  <c:v>3992</c:v>
                </c:pt>
                <c:pt idx="10" formatCode="General">
                  <c:v>4720</c:v>
                </c:pt>
                <c:pt idx="11">
                  <c:v>6703</c:v>
                </c:pt>
                <c:pt idx="12" formatCode="General">
                  <c:v>8290</c:v>
                </c:pt>
                <c:pt idx="13" formatCode="General">
                  <c:v>11080</c:v>
                </c:pt>
              </c:numCache>
            </c:numRef>
          </c:val>
        </c:ser>
        <c:ser>
          <c:idx val="6"/>
          <c:order val="2"/>
          <c:tx>
            <c:strRef>
              <c:f>List1!$A$9</c:f>
              <c:strCache>
                <c:ptCount val="1"/>
                <c:pt idx="0">
                  <c:v>Vietnam</c:v>
                </c:pt>
              </c:strCache>
            </c:strRef>
          </c:tx>
          <c:spPr>
            <a:pattFill prst="trellis">
              <a:fgClr>
                <a:srgbClr val="FF0000"/>
              </a:fgClr>
              <a:bgClr>
                <a:srgbClr val="FFFF00"/>
              </a:bgClr>
            </a:pattFill>
          </c:spPr>
          <c:invertIfNegative val="0"/>
          <c:cat>
            <c:numRef>
              <c:f>(List1!$B$2:$N$2,List1!$P$2)</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(List1!$B$9:$N$9,List1!$P$9)</c:f>
              <c:numCache>
                <c:formatCode>General</c:formatCode>
                <c:ptCount val="14"/>
                <c:pt idx="0">
                  <c:v>183</c:v>
                </c:pt>
                <c:pt idx="1">
                  <c:v>256</c:v>
                </c:pt>
                <c:pt idx="2">
                  <c:v>692</c:v>
                </c:pt>
                <c:pt idx="3" formatCode="#,##0">
                  <c:v>5425</c:v>
                </c:pt>
                <c:pt idx="4" formatCode="#,##0">
                  <c:v>16254</c:v>
                </c:pt>
                <c:pt idx="5" formatCode="#,##0">
                  <c:v>3670</c:v>
                </c:pt>
                <c:pt idx="6" formatCode="#,##0">
                  <c:v>3132</c:v>
                </c:pt>
                <c:pt idx="7" formatCode="#,##0">
                  <c:v>2776</c:v>
                </c:pt>
                <c:pt idx="8">
                  <c:v>2868</c:v>
                </c:pt>
                <c:pt idx="9">
                  <c:v>2898</c:v>
                </c:pt>
                <c:pt idx="10">
                  <c:v>3981</c:v>
                </c:pt>
                <c:pt idx="11" formatCode="#,##0">
                  <c:v>5098</c:v>
                </c:pt>
                <c:pt idx="12">
                  <c:v>6565</c:v>
                </c:pt>
                <c:pt idx="13">
                  <c:v>9805</c:v>
                </c:pt>
              </c:numCache>
            </c:numRef>
          </c:val>
        </c:ser>
        <c:ser>
          <c:idx val="3"/>
          <c:order val="3"/>
          <c:tx>
            <c:strRef>
              <c:f>List1!$A$6</c:f>
              <c:strCache>
                <c:ptCount val="1"/>
                <c:pt idx="0">
                  <c:v>Rumunsko</c:v>
                </c:pt>
              </c:strCache>
            </c:strRef>
          </c:tx>
          <c:spPr>
            <a:pattFill prst="dkVert">
              <a:fgClr>
                <a:srgbClr val="FF0000"/>
              </a:fgClr>
              <a:bgClr>
                <a:srgbClr val="FFFF00"/>
              </a:bgClr>
            </a:pattFill>
          </c:spPr>
          <c:invertIfNegative val="0"/>
          <c:cat>
            <c:numRef>
              <c:f>(List1!$B$2:$N$2,List1!$P$2)</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(List1!$B$6:$N$6,List1!$P$6)</c:f>
              <c:numCache>
                <c:formatCode>General</c:formatCode>
                <c:ptCount val="14"/>
                <c:pt idx="0">
                  <c:v>590</c:v>
                </c:pt>
                <c:pt idx="1">
                  <c:v>929</c:v>
                </c:pt>
                <c:pt idx="2" formatCode="#,##0">
                  <c:v>1240</c:v>
                </c:pt>
                <c:pt idx="3" formatCode="#,##0">
                  <c:v>4313</c:v>
                </c:pt>
                <c:pt idx="4" formatCode="#,##0">
                  <c:v>3605</c:v>
                </c:pt>
                <c:pt idx="5" formatCode="#,##0">
                  <c:v>3780</c:v>
                </c:pt>
                <c:pt idx="6" formatCode="#,##0">
                  <c:v>4815</c:v>
                </c:pt>
                <c:pt idx="7" formatCode="#,##0">
                  <c:v>6372</c:v>
                </c:pt>
                <c:pt idx="8">
                  <c:v>20100</c:v>
                </c:pt>
                <c:pt idx="9">
                  <c:v>20316</c:v>
                </c:pt>
                <c:pt idx="10">
                  <c:v>19596</c:v>
                </c:pt>
                <c:pt idx="11" formatCode="#,##0">
                  <c:v>22861</c:v>
                </c:pt>
                <c:pt idx="12">
                  <c:v>31355</c:v>
                </c:pt>
                <c:pt idx="13">
                  <c:v>39504</c:v>
                </c:pt>
              </c:numCache>
            </c:numRef>
          </c:val>
        </c:ser>
        <c:ser>
          <c:idx val="4"/>
          <c:order val="4"/>
          <c:tx>
            <c:strRef>
              <c:f>List1!$A$7</c:f>
              <c:strCache>
                <c:ptCount val="1"/>
                <c:pt idx="0">
                  <c:v>Bulharsko</c:v>
                </c:pt>
              </c:strCache>
            </c:strRef>
          </c:tx>
          <c:spPr>
            <a:pattFill prst="dkHorz">
              <a:fgClr>
                <a:schemeClr val="accent3">
                  <a:lumMod val="75000"/>
                </a:schemeClr>
              </a:fgClr>
              <a:bgClr>
                <a:schemeClr val="bg1"/>
              </a:bgClr>
            </a:pattFill>
          </c:spPr>
          <c:invertIfNegative val="0"/>
          <c:cat>
            <c:numRef>
              <c:f>(List1!$B$2:$N$2,List1!$P$2)</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(List1!$B$7:$N$7,List1!$P$7)</c:f>
              <c:numCache>
                <c:formatCode>#,##0</c:formatCode>
                <c:ptCount val="14"/>
                <c:pt idx="0">
                  <c:v>1651</c:v>
                </c:pt>
                <c:pt idx="1">
                  <c:v>1732</c:v>
                </c:pt>
                <c:pt idx="2">
                  <c:v>1953</c:v>
                </c:pt>
                <c:pt idx="3">
                  <c:v>5393</c:v>
                </c:pt>
                <c:pt idx="4">
                  <c:v>5108</c:v>
                </c:pt>
                <c:pt idx="5">
                  <c:v>4578</c:v>
                </c:pt>
                <c:pt idx="6">
                  <c:v>5667</c:v>
                </c:pt>
                <c:pt idx="7">
                  <c:v>7007</c:v>
                </c:pt>
                <c:pt idx="8" formatCode="General">
                  <c:v>7315</c:v>
                </c:pt>
                <c:pt idx="9" formatCode="General">
                  <c:v>7394</c:v>
                </c:pt>
                <c:pt idx="10" formatCode="General">
                  <c:v>13685</c:v>
                </c:pt>
                <c:pt idx="11">
                  <c:v>19782</c:v>
                </c:pt>
                <c:pt idx="12" formatCode="General">
                  <c:v>25784</c:v>
                </c:pt>
                <c:pt idx="13" formatCode="General">
                  <c:v>31528</c:v>
                </c:pt>
              </c:numCache>
            </c:numRef>
          </c:val>
        </c:ser>
        <c:ser>
          <c:idx val="2"/>
          <c:order val="5"/>
          <c:tx>
            <c:strRef>
              <c:f>List1!$A$5</c:f>
              <c:strCache>
                <c:ptCount val="1"/>
                <c:pt idx="0">
                  <c:v>Polsko</c:v>
                </c:pt>
              </c:strCache>
            </c:strRef>
          </c:tx>
          <c:spPr>
            <a:pattFill prst="dkHorz">
              <a:fgClr>
                <a:srgbClr val="FF0000"/>
              </a:fgClr>
              <a:bgClr>
                <a:schemeClr val="bg1"/>
              </a:bgClr>
            </a:pattFill>
          </c:spPr>
          <c:invertIfNegative val="0"/>
          <c:cat>
            <c:numRef>
              <c:f>(List1!$B$2:$N$2,List1!$P$2)</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(List1!$B$5:$N$5,List1!$P$5)</c:f>
              <c:numCache>
                <c:formatCode>#,##0</c:formatCode>
                <c:ptCount val="14"/>
                <c:pt idx="0">
                  <c:v>8882</c:v>
                </c:pt>
                <c:pt idx="1">
                  <c:v>12635</c:v>
                </c:pt>
                <c:pt idx="2">
                  <c:v>17149</c:v>
                </c:pt>
                <c:pt idx="3">
                  <c:v>23642</c:v>
                </c:pt>
                <c:pt idx="4">
                  <c:v>20680</c:v>
                </c:pt>
                <c:pt idx="5">
                  <c:v>20278</c:v>
                </c:pt>
                <c:pt idx="6">
                  <c:v>19049</c:v>
                </c:pt>
                <c:pt idx="7">
                  <c:v>19718</c:v>
                </c:pt>
                <c:pt idx="8" formatCode="General">
                  <c:v>6846</c:v>
                </c:pt>
                <c:pt idx="9" formatCode="General">
                  <c:v>6919</c:v>
                </c:pt>
                <c:pt idx="10" formatCode="General">
                  <c:v>13755</c:v>
                </c:pt>
                <c:pt idx="11">
                  <c:v>24982</c:v>
                </c:pt>
                <c:pt idx="12" formatCode="General">
                  <c:v>31522</c:v>
                </c:pt>
                <c:pt idx="13" formatCode="General">
                  <c:v>39083</c:v>
                </c:pt>
              </c:numCache>
            </c:numRef>
          </c:val>
        </c:ser>
        <c:ser>
          <c:idx val="1"/>
          <c:order val="6"/>
          <c:tx>
            <c:strRef>
              <c:f>List1!$A$4</c:f>
              <c:strCache>
                <c:ptCount val="1"/>
                <c:pt idx="0">
                  <c:v>Ukrajina</c:v>
                </c:pt>
              </c:strCache>
            </c:strRef>
          </c:tx>
          <c:spPr>
            <a:pattFill prst="ltHorz">
              <a:fgClr>
                <a:srgbClr val="0070C0"/>
              </a:fgClr>
              <a:bgClr>
                <a:srgbClr val="FFFF00"/>
              </a:bgClr>
            </a:pattFill>
          </c:spPr>
          <c:invertIfNegative val="0"/>
          <c:cat>
            <c:numRef>
              <c:f>(List1!$B$2:$N$2,List1!$P$2)</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(List1!$B$4:$N$4,List1!$P$4)</c:f>
              <c:numCache>
                <c:formatCode>#,##0</c:formatCode>
                <c:ptCount val="14"/>
                <c:pt idx="0">
                  <c:v>22399</c:v>
                </c:pt>
                <c:pt idx="1">
                  <c:v>40060</c:v>
                </c:pt>
                <c:pt idx="2">
                  <c:v>46155</c:v>
                </c:pt>
                <c:pt idx="3">
                  <c:v>61592</c:v>
                </c:pt>
                <c:pt idx="4">
                  <c:v>81072</c:v>
                </c:pt>
                <c:pt idx="5">
                  <c:v>57478</c:v>
                </c:pt>
                <c:pt idx="6">
                  <c:v>42139</c:v>
                </c:pt>
                <c:pt idx="7">
                  <c:v>35250</c:v>
                </c:pt>
                <c:pt idx="8" formatCode="General">
                  <c:v>35815</c:v>
                </c:pt>
                <c:pt idx="9" formatCode="General">
                  <c:v>36198</c:v>
                </c:pt>
                <c:pt idx="10" formatCode="General">
                  <c:v>35319</c:v>
                </c:pt>
                <c:pt idx="11">
                  <c:v>41847</c:v>
                </c:pt>
                <c:pt idx="12" formatCode="General">
                  <c:v>54571</c:v>
                </c:pt>
                <c:pt idx="13" formatCode="General">
                  <c:v>81695</c:v>
                </c:pt>
              </c:numCache>
            </c:numRef>
          </c:val>
        </c:ser>
        <c:ser>
          <c:idx val="0"/>
          <c:order val="7"/>
          <c:tx>
            <c:strRef>
              <c:f>List1!$A$3</c:f>
              <c:strCache>
                <c:ptCount val="1"/>
                <c:pt idx="0">
                  <c:v>Slovensko</c:v>
                </c:pt>
              </c:strCache>
            </c:strRef>
          </c:tx>
          <c:spPr>
            <a:solidFill>
              <a:srgbClr val="00B0F0"/>
            </a:solidFill>
            <a:ln>
              <a:noFill/>
            </a:ln>
          </c:spPr>
          <c:invertIfNegative val="0"/>
          <c:cat>
            <c:numRef>
              <c:f>(List1!$B$2:$N$2,List1!$P$2)</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(List1!$B$3:$N$3,List1!$P$3)</c:f>
              <c:numCache>
                <c:formatCode>#,##0</c:formatCode>
                <c:ptCount val="14"/>
                <c:pt idx="0">
                  <c:v>59819</c:v>
                </c:pt>
                <c:pt idx="1">
                  <c:v>75297</c:v>
                </c:pt>
                <c:pt idx="2">
                  <c:v>91355</c:v>
                </c:pt>
                <c:pt idx="3">
                  <c:v>101233</c:v>
                </c:pt>
                <c:pt idx="4">
                  <c:v>100223</c:v>
                </c:pt>
                <c:pt idx="5">
                  <c:v>98192</c:v>
                </c:pt>
                <c:pt idx="6">
                  <c:v>100727</c:v>
                </c:pt>
                <c:pt idx="7">
                  <c:v>106425</c:v>
                </c:pt>
                <c:pt idx="8" formatCode="General">
                  <c:v>108445</c:v>
                </c:pt>
                <c:pt idx="9" formatCode="General">
                  <c:v>109602</c:v>
                </c:pt>
                <c:pt idx="10" formatCode="General">
                  <c:v>129203</c:v>
                </c:pt>
                <c:pt idx="11">
                  <c:v>150317</c:v>
                </c:pt>
                <c:pt idx="12" formatCode="General">
                  <c:v>161559</c:v>
                </c:pt>
                <c:pt idx="13" formatCode="General">
                  <c:v>177059</c:v>
                </c:pt>
              </c:numCache>
            </c:numRef>
          </c:val>
        </c:ser>
        <c:dLbls>
          <c:showLegendKey val="0"/>
          <c:showVal val="0"/>
          <c:showCatName val="0"/>
          <c:showSerName val="0"/>
          <c:showPercent val="0"/>
          <c:showBubbleSize val="0"/>
        </c:dLbls>
        <c:gapWidth val="150"/>
        <c:overlap val="100"/>
        <c:axId val="29419392"/>
        <c:axId val="29420928"/>
      </c:barChart>
      <c:catAx>
        <c:axId val="29419392"/>
        <c:scaling>
          <c:orientation val="minMax"/>
        </c:scaling>
        <c:delete val="0"/>
        <c:axPos val="l"/>
        <c:numFmt formatCode="General" sourceLinked="1"/>
        <c:majorTickMark val="out"/>
        <c:minorTickMark val="none"/>
        <c:tickLblPos val="nextTo"/>
        <c:txPr>
          <a:bodyPr/>
          <a:lstStyle/>
          <a:p>
            <a:pPr>
              <a:defRPr sz="800"/>
            </a:pPr>
            <a:endParaRPr lang="cs-CZ"/>
          </a:p>
        </c:txPr>
        <c:crossAx val="29420928"/>
        <c:crosses val="autoZero"/>
        <c:auto val="1"/>
        <c:lblAlgn val="ctr"/>
        <c:lblOffset val="100"/>
        <c:noMultiLvlLbl val="0"/>
      </c:catAx>
      <c:valAx>
        <c:axId val="29420928"/>
        <c:scaling>
          <c:orientation val="minMax"/>
        </c:scaling>
        <c:delete val="0"/>
        <c:axPos val="b"/>
        <c:majorGridlines/>
        <c:numFmt formatCode="0%" sourceLinked="1"/>
        <c:majorTickMark val="out"/>
        <c:minorTickMark val="none"/>
        <c:tickLblPos val="nextTo"/>
        <c:txPr>
          <a:bodyPr/>
          <a:lstStyle/>
          <a:p>
            <a:pPr>
              <a:defRPr sz="800"/>
            </a:pPr>
            <a:endParaRPr lang="cs-CZ"/>
          </a:p>
        </c:txPr>
        <c:crossAx val="29419392"/>
        <c:crosses val="autoZero"/>
        <c:crossBetween val="between"/>
      </c:valAx>
    </c:plotArea>
    <c:legend>
      <c:legendPos val="r"/>
      <c:overlay val="0"/>
      <c:txPr>
        <a:bodyPr/>
        <a:lstStyle/>
        <a:p>
          <a:pPr>
            <a:defRPr sz="800"/>
          </a:pPr>
          <a:endParaRPr lang="cs-CZ"/>
        </a:p>
      </c:txPr>
    </c:legend>
    <c:plotVisOnly val="1"/>
    <c:dispBlanksAs val="zero"/>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List1!$A$3</c:f>
              <c:strCache>
                <c:ptCount val="1"/>
                <c:pt idx="0">
                  <c:v>Slovensko</c:v>
                </c:pt>
              </c:strCache>
            </c:strRef>
          </c:tx>
          <c:spPr>
            <a:ln w="38100">
              <a:solidFill>
                <a:srgbClr val="00B0F0"/>
              </a:solidFill>
            </a:ln>
          </c:spPr>
          <c:marker>
            <c:symbol val="none"/>
          </c:marker>
          <c:cat>
            <c:numRef>
              <c:f>(List1!$B$2:$N$2,List1!$P$2)</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(List1!$B$3:$N$3,List1!$P$3)</c:f>
              <c:numCache>
                <c:formatCode>#,##0</c:formatCode>
                <c:ptCount val="14"/>
                <c:pt idx="0">
                  <c:v>59819</c:v>
                </c:pt>
                <c:pt idx="1">
                  <c:v>75297</c:v>
                </c:pt>
                <c:pt idx="2">
                  <c:v>91355</c:v>
                </c:pt>
                <c:pt idx="3">
                  <c:v>101233</c:v>
                </c:pt>
                <c:pt idx="4">
                  <c:v>100223</c:v>
                </c:pt>
                <c:pt idx="5">
                  <c:v>98192</c:v>
                </c:pt>
                <c:pt idx="6">
                  <c:v>100727</c:v>
                </c:pt>
                <c:pt idx="7">
                  <c:v>106425</c:v>
                </c:pt>
                <c:pt idx="8" formatCode="General">
                  <c:v>108445</c:v>
                </c:pt>
                <c:pt idx="9" formatCode="General">
                  <c:v>109602</c:v>
                </c:pt>
                <c:pt idx="10" formatCode="General">
                  <c:v>129203</c:v>
                </c:pt>
                <c:pt idx="11">
                  <c:v>150317</c:v>
                </c:pt>
                <c:pt idx="12" formatCode="General">
                  <c:v>161559</c:v>
                </c:pt>
                <c:pt idx="13" formatCode="General">
                  <c:v>177059</c:v>
                </c:pt>
              </c:numCache>
            </c:numRef>
          </c:val>
          <c:smooth val="1"/>
        </c:ser>
        <c:ser>
          <c:idx val="1"/>
          <c:order val="1"/>
          <c:tx>
            <c:strRef>
              <c:f>List1!$A$4</c:f>
              <c:strCache>
                <c:ptCount val="1"/>
                <c:pt idx="0">
                  <c:v>Ukrajina</c:v>
                </c:pt>
              </c:strCache>
            </c:strRef>
          </c:tx>
          <c:spPr>
            <a:ln w="38100" cmpd="sng">
              <a:solidFill>
                <a:srgbClr val="FFC000"/>
              </a:solidFill>
            </a:ln>
          </c:spPr>
          <c:marker>
            <c:symbol val="none"/>
          </c:marker>
          <c:cat>
            <c:numRef>
              <c:f>(List1!$B$2:$N$2,List1!$P$2)</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(List1!$B$4:$N$4,List1!$P$4)</c:f>
              <c:numCache>
                <c:formatCode>#,##0</c:formatCode>
                <c:ptCount val="14"/>
                <c:pt idx="0">
                  <c:v>22399</c:v>
                </c:pt>
                <c:pt idx="1">
                  <c:v>40060</c:v>
                </c:pt>
                <c:pt idx="2">
                  <c:v>46155</c:v>
                </c:pt>
                <c:pt idx="3">
                  <c:v>61592</c:v>
                </c:pt>
                <c:pt idx="4">
                  <c:v>81072</c:v>
                </c:pt>
                <c:pt idx="5">
                  <c:v>57478</c:v>
                </c:pt>
                <c:pt idx="6">
                  <c:v>42139</c:v>
                </c:pt>
                <c:pt idx="7">
                  <c:v>35250</c:v>
                </c:pt>
                <c:pt idx="8" formatCode="General">
                  <c:v>35815</c:v>
                </c:pt>
                <c:pt idx="9" formatCode="General">
                  <c:v>36198</c:v>
                </c:pt>
                <c:pt idx="10" formatCode="General">
                  <c:v>35319</c:v>
                </c:pt>
                <c:pt idx="11">
                  <c:v>41847</c:v>
                </c:pt>
                <c:pt idx="12" formatCode="General">
                  <c:v>54571</c:v>
                </c:pt>
                <c:pt idx="13" formatCode="General">
                  <c:v>81695</c:v>
                </c:pt>
              </c:numCache>
            </c:numRef>
          </c:val>
          <c:smooth val="1"/>
        </c:ser>
        <c:ser>
          <c:idx val="2"/>
          <c:order val="2"/>
          <c:tx>
            <c:strRef>
              <c:f>List1!$A$5</c:f>
              <c:strCache>
                <c:ptCount val="1"/>
                <c:pt idx="0">
                  <c:v>Polsko</c:v>
                </c:pt>
              </c:strCache>
            </c:strRef>
          </c:tx>
          <c:spPr>
            <a:ln w="28575" cmpd="dbl">
              <a:solidFill>
                <a:srgbClr val="FF5050"/>
              </a:solidFill>
            </a:ln>
          </c:spPr>
          <c:marker>
            <c:symbol val="none"/>
          </c:marker>
          <c:cat>
            <c:numRef>
              <c:f>(List1!$B$2:$N$2,List1!$P$2)</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(List1!$B$5:$N$5,List1!$P$5)</c:f>
              <c:numCache>
                <c:formatCode>#,##0</c:formatCode>
                <c:ptCount val="14"/>
                <c:pt idx="0">
                  <c:v>8882</c:v>
                </c:pt>
                <c:pt idx="1">
                  <c:v>12635</c:v>
                </c:pt>
                <c:pt idx="2">
                  <c:v>17149</c:v>
                </c:pt>
                <c:pt idx="3">
                  <c:v>23642</c:v>
                </c:pt>
                <c:pt idx="4">
                  <c:v>20680</c:v>
                </c:pt>
                <c:pt idx="5">
                  <c:v>20278</c:v>
                </c:pt>
                <c:pt idx="6">
                  <c:v>19049</c:v>
                </c:pt>
                <c:pt idx="7">
                  <c:v>19718</c:v>
                </c:pt>
                <c:pt idx="8" formatCode="General">
                  <c:v>6846</c:v>
                </c:pt>
                <c:pt idx="9" formatCode="General">
                  <c:v>6919</c:v>
                </c:pt>
                <c:pt idx="10" formatCode="General">
                  <c:v>13755</c:v>
                </c:pt>
                <c:pt idx="11">
                  <c:v>24982</c:v>
                </c:pt>
                <c:pt idx="12" formatCode="General">
                  <c:v>31522</c:v>
                </c:pt>
                <c:pt idx="13" formatCode="General">
                  <c:v>39083</c:v>
                </c:pt>
              </c:numCache>
            </c:numRef>
          </c:val>
          <c:smooth val="1"/>
        </c:ser>
        <c:ser>
          <c:idx val="3"/>
          <c:order val="3"/>
          <c:tx>
            <c:strRef>
              <c:f>List1!$A$6</c:f>
              <c:strCache>
                <c:ptCount val="1"/>
                <c:pt idx="0">
                  <c:v>Rumunsko</c:v>
                </c:pt>
              </c:strCache>
            </c:strRef>
          </c:tx>
          <c:spPr>
            <a:ln w="28575">
              <a:solidFill>
                <a:srgbClr val="990099"/>
              </a:solidFill>
            </a:ln>
          </c:spPr>
          <c:marker>
            <c:symbol val="none"/>
          </c:marker>
          <c:cat>
            <c:numRef>
              <c:f>(List1!$B$2:$N$2,List1!$P$2)</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(List1!$B$6:$N$6,List1!$P$6)</c:f>
              <c:numCache>
                <c:formatCode>General</c:formatCode>
                <c:ptCount val="14"/>
                <c:pt idx="0">
                  <c:v>590</c:v>
                </c:pt>
                <c:pt idx="1">
                  <c:v>929</c:v>
                </c:pt>
                <c:pt idx="2" formatCode="#,##0">
                  <c:v>1240</c:v>
                </c:pt>
                <c:pt idx="3" formatCode="#,##0">
                  <c:v>4313</c:v>
                </c:pt>
                <c:pt idx="4" formatCode="#,##0">
                  <c:v>3605</c:v>
                </c:pt>
                <c:pt idx="5" formatCode="#,##0">
                  <c:v>3780</c:v>
                </c:pt>
                <c:pt idx="6" formatCode="#,##0">
                  <c:v>4815</c:v>
                </c:pt>
                <c:pt idx="7" formatCode="#,##0">
                  <c:v>6372</c:v>
                </c:pt>
                <c:pt idx="8">
                  <c:v>20100</c:v>
                </c:pt>
                <c:pt idx="9">
                  <c:v>20316</c:v>
                </c:pt>
                <c:pt idx="10">
                  <c:v>19596</c:v>
                </c:pt>
                <c:pt idx="11" formatCode="#,##0">
                  <c:v>22861</c:v>
                </c:pt>
                <c:pt idx="12">
                  <c:v>31355</c:v>
                </c:pt>
                <c:pt idx="13">
                  <c:v>39504</c:v>
                </c:pt>
              </c:numCache>
            </c:numRef>
          </c:val>
          <c:smooth val="1"/>
        </c:ser>
        <c:ser>
          <c:idx val="4"/>
          <c:order val="4"/>
          <c:tx>
            <c:strRef>
              <c:f>List1!$A$7</c:f>
              <c:strCache>
                <c:ptCount val="1"/>
                <c:pt idx="0">
                  <c:v>Bulharsko</c:v>
                </c:pt>
              </c:strCache>
            </c:strRef>
          </c:tx>
          <c:spPr>
            <a:ln w="28575">
              <a:solidFill>
                <a:srgbClr val="00B050"/>
              </a:solidFill>
            </a:ln>
          </c:spPr>
          <c:marker>
            <c:symbol val="none"/>
          </c:marker>
          <c:cat>
            <c:numRef>
              <c:f>(List1!$B$2:$N$2,List1!$P$2)</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(List1!$B$7:$N$7,List1!$P$7)</c:f>
              <c:numCache>
                <c:formatCode>#,##0</c:formatCode>
                <c:ptCount val="14"/>
                <c:pt idx="0">
                  <c:v>1651</c:v>
                </c:pt>
                <c:pt idx="1">
                  <c:v>1732</c:v>
                </c:pt>
                <c:pt idx="2">
                  <c:v>1953</c:v>
                </c:pt>
                <c:pt idx="3">
                  <c:v>5393</c:v>
                </c:pt>
                <c:pt idx="4">
                  <c:v>5108</c:v>
                </c:pt>
                <c:pt idx="5">
                  <c:v>4578</c:v>
                </c:pt>
                <c:pt idx="6">
                  <c:v>5667</c:v>
                </c:pt>
                <c:pt idx="7">
                  <c:v>7007</c:v>
                </c:pt>
                <c:pt idx="8" formatCode="General">
                  <c:v>7315</c:v>
                </c:pt>
                <c:pt idx="9" formatCode="General">
                  <c:v>7394</c:v>
                </c:pt>
                <c:pt idx="10" formatCode="General">
                  <c:v>13685</c:v>
                </c:pt>
                <c:pt idx="11">
                  <c:v>19782</c:v>
                </c:pt>
                <c:pt idx="12" formatCode="General">
                  <c:v>25784</c:v>
                </c:pt>
                <c:pt idx="13" formatCode="General">
                  <c:v>31528</c:v>
                </c:pt>
              </c:numCache>
            </c:numRef>
          </c:val>
          <c:smooth val="1"/>
        </c:ser>
        <c:ser>
          <c:idx val="5"/>
          <c:order val="5"/>
          <c:tx>
            <c:strRef>
              <c:f>List1!$A$8</c:f>
              <c:strCache>
                <c:ptCount val="1"/>
                <c:pt idx="0">
                  <c:v>Rusko</c:v>
                </c:pt>
              </c:strCache>
            </c:strRef>
          </c:tx>
          <c:spPr>
            <a:ln w="28575">
              <a:solidFill>
                <a:srgbClr val="FF0000"/>
              </a:solidFill>
            </a:ln>
          </c:spPr>
          <c:marker>
            <c:symbol val="none"/>
          </c:marker>
          <c:cat>
            <c:numRef>
              <c:f>(List1!$B$2:$N$2,List1!$P$2)</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(List1!$B$8:$N$8,List1!$P$8)</c:f>
              <c:numCache>
                <c:formatCode>#,##0</c:formatCode>
                <c:ptCount val="14"/>
                <c:pt idx="0">
                  <c:v>1078</c:v>
                </c:pt>
                <c:pt idx="1">
                  <c:v>2447</c:v>
                </c:pt>
                <c:pt idx="2">
                  <c:v>2380</c:v>
                </c:pt>
                <c:pt idx="3">
                  <c:v>2488</c:v>
                </c:pt>
                <c:pt idx="4">
                  <c:v>3314</c:v>
                </c:pt>
                <c:pt idx="5">
                  <c:v>3612</c:v>
                </c:pt>
                <c:pt idx="6">
                  <c:v>3658</c:v>
                </c:pt>
                <c:pt idx="7">
                  <c:v>3931</c:v>
                </c:pt>
                <c:pt idx="8" formatCode="General">
                  <c:v>3950</c:v>
                </c:pt>
                <c:pt idx="9" formatCode="General">
                  <c:v>3992</c:v>
                </c:pt>
                <c:pt idx="10" formatCode="General">
                  <c:v>4720</c:v>
                </c:pt>
                <c:pt idx="11">
                  <c:v>6703</c:v>
                </c:pt>
                <c:pt idx="12" formatCode="General">
                  <c:v>8290</c:v>
                </c:pt>
                <c:pt idx="13" formatCode="General">
                  <c:v>11080</c:v>
                </c:pt>
              </c:numCache>
            </c:numRef>
          </c:val>
          <c:smooth val="1"/>
        </c:ser>
        <c:ser>
          <c:idx val="6"/>
          <c:order val="6"/>
          <c:tx>
            <c:strRef>
              <c:f>List1!$A$9</c:f>
              <c:strCache>
                <c:ptCount val="1"/>
                <c:pt idx="0">
                  <c:v>Vietnam</c:v>
                </c:pt>
              </c:strCache>
            </c:strRef>
          </c:tx>
          <c:spPr>
            <a:ln w="28575">
              <a:solidFill>
                <a:srgbClr val="FF9933"/>
              </a:solidFill>
            </a:ln>
          </c:spPr>
          <c:marker>
            <c:symbol val="none"/>
          </c:marker>
          <c:cat>
            <c:numRef>
              <c:f>(List1!$B$2:$N$2,List1!$P$2)</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(List1!$B$9:$N$9,List1!$P$9)</c:f>
              <c:numCache>
                <c:formatCode>General</c:formatCode>
                <c:ptCount val="14"/>
                <c:pt idx="0">
                  <c:v>183</c:v>
                </c:pt>
                <c:pt idx="1">
                  <c:v>256</c:v>
                </c:pt>
                <c:pt idx="2">
                  <c:v>692</c:v>
                </c:pt>
                <c:pt idx="3" formatCode="#,##0">
                  <c:v>5425</c:v>
                </c:pt>
                <c:pt idx="4" formatCode="#,##0">
                  <c:v>16254</c:v>
                </c:pt>
                <c:pt idx="5" formatCode="#,##0">
                  <c:v>3670</c:v>
                </c:pt>
                <c:pt idx="6" formatCode="#,##0">
                  <c:v>3132</c:v>
                </c:pt>
                <c:pt idx="7" formatCode="#,##0">
                  <c:v>2776</c:v>
                </c:pt>
                <c:pt idx="8">
                  <c:v>2868</c:v>
                </c:pt>
                <c:pt idx="9">
                  <c:v>2898</c:v>
                </c:pt>
                <c:pt idx="10">
                  <c:v>3981</c:v>
                </c:pt>
                <c:pt idx="11" formatCode="#,##0">
                  <c:v>5098</c:v>
                </c:pt>
                <c:pt idx="12">
                  <c:v>6565</c:v>
                </c:pt>
                <c:pt idx="13">
                  <c:v>9805</c:v>
                </c:pt>
              </c:numCache>
            </c:numRef>
          </c:val>
          <c:smooth val="1"/>
        </c:ser>
        <c:ser>
          <c:idx val="7"/>
          <c:order val="7"/>
          <c:tx>
            <c:strRef>
              <c:f>List1!$A$10</c:f>
              <c:strCache>
                <c:ptCount val="1"/>
                <c:pt idx="0">
                  <c:v>ostatní</c:v>
                </c:pt>
              </c:strCache>
            </c:strRef>
          </c:tx>
          <c:spPr>
            <a:ln w="38100">
              <a:solidFill>
                <a:schemeClr val="tx1">
                  <a:lumMod val="50000"/>
                  <a:lumOff val="50000"/>
                </a:schemeClr>
              </a:solidFill>
            </a:ln>
          </c:spPr>
          <c:marker>
            <c:symbol val="none"/>
          </c:marker>
          <c:cat>
            <c:numRef>
              <c:f>(List1!$B$2:$N$2,List1!$P$2)</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(List1!$B$10:$N$10,List1!$P$10)</c:f>
              <c:numCache>
                <c:formatCode>#,##0</c:formatCode>
                <c:ptCount val="14"/>
                <c:pt idx="0">
                  <c:v>13382</c:v>
                </c:pt>
                <c:pt idx="1">
                  <c:v>18380</c:v>
                </c:pt>
                <c:pt idx="2">
                  <c:v>24151</c:v>
                </c:pt>
                <c:pt idx="3">
                  <c:v>36156</c:v>
                </c:pt>
                <c:pt idx="4">
                  <c:v>54295</c:v>
                </c:pt>
                <c:pt idx="5">
                  <c:v>39121</c:v>
                </c:pt>
                <c:pt idx="6">
                  <c:v>36180</c:v>
                </c:pt>
                <c:pt idx="7">
                  <c:v>36383</c:v>
                </c:pt>
                <c:pt idx="8">
                  <c:v>36605</c:v>
                </c:pt>
                <c:pt idx="9">
                  <c:v>36965</c:v>
                </c:pt>
                <c:pt idx="10">
                  <c:v>40740</c:v>
                </c:pt>
                <c:pt idx="11">
                  <c:v>51654</c:v>
                </c:pt>
                <c:pt idx="12">
                  <c:v>63243</c:v>
                </c:pt>
                <c:pt idx="13">
                  <c:v>82600</c:v>
                </c:pt>
              </c:numCache>
            </c:numRef>
          </c:val>
          <c:smooth val="1"/>
        </c:ser>
        <c:dLbls>
          <c:showLegendKey val="0"/>
          <c:showVal val="0"/>
          <c:showCatName val="0"/>
          <c:showSerName val="0"/>
          <c:showPercent val="0"/>
          <c:showBubbleSize val="0"/>
        </c:dLbls>
        <c:marker val="1"/>
        <c:smooth val="0"/>
        <c:axId val="30913664"/>
        <c:axId val="30915200"/>
      </c:lineChart>
      <c:catAx>
        <c:axId val="30913664"/>
        <c:scaling>
          <c:orientation val="minMax"/>
        </c:scaling>
        <c:delete val="0"/>
        <c:axPos val="b"/>
        <c:numFmt formatCode="General" sourceLinked="1"/>
        <c:majorTickMark val="out"/>
        <c:minorTickMark val="none"/>
        <c:tickLblPos val="nextTo"/>
        <c:txPr>
          <a:bodyPr/>
          <a:lstStyle/>
          <a:p>
            <a:pPr>
              <a:defRPr sz="800"/>
            </a:pPr>
            <a:endParaRPr lang="cs-CZ"/>
          </a:p>
        </c:txPr>
        <c:crossAx val="30915200"/>
        <c:crosses val="autoZero"/>
        <c:auto val="1"/>
        <c:lblAlgn val="ctr"/>
        <c:lblOffset val="100"/>
        <c:noMultiLvlLbl val="0"/>
      </c:catAx>
      <c:valAx>
        <c:axId val="30915200"/>
        <c:scaling>
          <c:orientation val="minMax"/>
        </c:scaling>
        <c:delete val="0"/>
        <c:axPos val="l"/>
        <c:majorGridlines/>
        <c:numFmt formatCode="#,##0" sourceLinked="1"/>
        <c:majorTickMark val="out"/>
        <c:minorTickMark val="none"/>
        <c:tickLblPos val="nextTo"/>
        <c:txPr>
          <a:bodyPr/>
          <a:lstStyle/>
          <a:p>
            <a:pPr>
              <a:defRPr sz="800"/>
            </a:pPr>
            <a:endParaRPr lang="cs-CZ"/>
          </a:p>
        </c:txPr>
        <c:crossAx val="30913664"/>
        <c:crosses val="autoZero"/>
        <c:crossBetween val="between"/>
      </c:valAx>
    </c:plotArea>
    <c:legend>
      <c:legendPos val="b"/>
      <c:layout>
        <c:manualLayout>
          <c:xMode val="edge"/>
          <c:yMode val="edge"/>
          <c:x val="3.9968267855406955E-2"/>
          <c:y val="0.8617757158368704"/>
          <c:w val="0.92880376661049646"/>
          <c:h val="0.11508060046014017"/>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'Nabídka a poptávka'!$CG$4:$CG$8</c:f>
              <c:strCache>
                <c:ptCount val="1"/>
                <c:pt idx="0">
                  <c:v>% pro cizince</c:v>
                </c:pt>
              </c:strCache>
            </c:strRef>
          </c:tx>
          <c:spPr>
            <a:solidFill>
              <a:schemeClr val="accent2">
                <a:lumMod val="40000"/>
                <a:lumOff val="60000"/>
              </a:schemeClr>
            </a:solidFill>
          </c:spPr>
          <c:invertIfNegative val="0"/>
          <c:dPt>
            <c:idx val="0"/>
            <c:invertIfNegative val="0"/>
            <c:bubble3D val="0"/>
            <c:spPr>
              <a:solidFill>
                <a:schemeClr val="accent2">
                  <a:lumMod val="60000"/>
                  <a:lumOff val="40000"/>
                </a:schemeClr>
              </a:solidFill>
            </c:spPr>
          </c:dPt>
          <c:cat>
            <c:strRef>
              <c:f>'Nabídka a poptávka'!$BU$70:$BU$80</c:f>
              <c:strCache>
                <c:ptCount val="11"/>
                <c:pt idx="0">
                  <c:v>Celkem</c:v>
                </c:pt>
                <c:pt idx="1">
                  <c:v>Zaměst. v ozbr. silách</c:v>
                </c:pt>
                <c:pt idx="2">
                  <c:v>Zákon. a řídící prac.</c:v>
                </c:pt>
                <c:pt idx="3">
                  <c:v>Specialisté</c:v>
                </c:pt>
                <c:pt idx="4">
                  <c:v>Tech., odbor prac.</c:v>
                </c:pt>
                <c:pt idx="5">
                  <c:v>Úředníci</c:v>
                </c:pt>
                <c:pt idx="6">
                  <c:v>Prac. ve službách a prodeji</c:v>
                </c:pt>
                <c:pt idx="7">
                  <c:v>Kvalif. prac. v zem., les., ryb.</c:v>
                </c:pt>
                <c:pt idx="8">
                  <c:v>Řemeslníci a opraváři</c:v>
                </c:pt>
                <c:pt idx="9">
                  <c:v>Obsl. strojů a zaříz., montéři</c:v>
                </c:pt>
                <c:pt idx="10">
                  <c:v>Pomoc., nekvalif. prac.</c:v>
                </c:pt>
              </c:strCache>
            </c:strRef>
          </c:cat>
          <c:val>
            <c:numRef>
              <c:f>'Nabídka a poptávka'!$CB$9:$CB$19</c:f>
              <c:numCache>
                <c:formatCode>General</c:formatCode>
                <c:ptCount val="11"/>
                <c:pt idx="0" formatCode="#,##0">
                  <c:v>103354</c:v>
                </c:pt>
                <c:pt idx="1">
                  <c:v>0</c:v>
                </c:pt>
                <c:pt idx="2">
                  <c:v>923</c:v>
                </c:pt>
                <c:pt idx="3" formatCode="#,##0">
                  <c:v>7949</c:v>
                </c:pt>
                <c:pt idx="4" formatCode="#,##0">
                  <c:v>3557</c:v>
                </c:pt>
                <c:pt idx="5" formatCode="#,##0">
                  <c:v>2090</c:v>
                </c:pt>
                <c:pt idx="6" formatCode="#,##0">
                  <c:v>8089</c:v>
                </c:pt>
                <c:pt idx="7" formatCode="#,##0">
                  <c:v>1022</c:v>
                </c:pt>
                <c:pt idx="8" formatCode="#,##0">
                  <c:v>22340</c:v>
                </c:pt>
                <c:pt idx="9" formatCode="#,##0">
                  <c:v>35031</c:v>
                </c:pt>
                <c:pt idx="10" formatCode="#,##0">
                  <c:v>22353</c:v>
                </c:pt>
              </c:numCache>
            </c:numRef>
          </c:val>
        </c:ser>
        <c:ser>
          <c:idx val="1"/>
          <c:order val="1"/>
          <c:tx>
            <c:strRef>
              <c:f>'Nabídka a poptávka'!$CI$4:$CI$8</c:f>
              <c:strCache>
                <c:ptCount val="1"/>
                <c:pt idx="0">
                  <c:v>VPM bez cizinců</c:v>
                </c:pt>
              </c:strCache>
            </c:strRef>
          </c:tx>
          <c:spPr>
            <a:solidFill>
              <a:schemeClr val="tx2">
                <a:lumMod val="20000"/>
                <a:lumOff val="80000"/>
              </a:schemeClr>
            </a:solidFill>
          </c:spPr>
          <c:invertIfNegative val="0"/>
          <c:dPt>
            <c:idx val="0"/>
            <c:invertIfNegative val="0"/>
            <c:bubble3D val="0"/>
            <c:spPr>
              <a:solidFill>
                <a:schemeClr val="tx2">
                  <a:lumMod val="40000"/>
                  <a:lumOff val="60000"/>
                </a:schemeClr>
              </a:solidFill>
            </c:spPr>
          </c:dPt>
          <c:cat>
            <c:strRef>
              <c:f>'Nabídka a poptávka'!$BU$70:$BU$80</c:f>
              <c:strCache>
                <c:ptCount val="11"/>
                <c:pt idx="0">
                  <c:v>Celkem</c:v>
                </c:pt>
                <c:pt idx="1">
                  <c:v>Zaměst. v ozbr. silách</c:v>
                </c:pt>
                <c:pt idx="2">
                  <c:v>Zákon. a řídící prac.</c:v>
                </c:pt>
                <c:pt idx="3">
                  <c:v>Specialisté</c:v>
                </c:pt>
                <c:pt idx="4">
                  <c:v>Tech., odbor prac.</c:v>
                </c:pt>
                <c:pt idx="5">
                  <c:v>Úředníci</c:v>
                </c:pt>
                <c:pt idx="6">
                  <c:v>Prac. ve službách a prodeji</c:v>
                </c:pt>
                <c:pt idx="7">
                  <c:v>Kvalif. prac. v zem., les., ryb.</c:v>
                </c:pt>
                <c:pt idx="8">
                  <c:v>Řemeslníci a opraváři</c:v>
                </c:pt>
                <c:pt idx="9">
                  <c:v>Obsl. strojů a zaříz., montéři</c:v>
                </c:pt>
                <c:pt idx="10">
                  <c:v>Pomoc., nekvalif. prac.</c:v>
                </c:pt>
              </c:strCache>
            </c:strRef>
          </c:cat>
          <c:val>
            <c:numRef>
              <c:f>'Nabídka a poptávka'!$CI$9:$CI$19</c:f>
              <c:numCache>
                <c:formatCode>#,##0</c:formatCode>
                <c:ptCount val="11"/>
                <c:pt idx="0">
                  <c:v>113341</c:v>
                </c:pt>
                <c:pt idx="1">
                  <c:v>380</c:v>
                </c:pt>
                <c:pt idx="2">
                  <c:v>794</c:v>
                </c:pt>
                <c:pt idx="3">
                  <c:v>6333</c:v>
                </c:pt>
                <c:pt idx="4">
                  <c:v>8907</c:v>
                </c:pt>
                <c:pt idx="5">
                  <c:v>4582</c:v>
                </c:pt>
                <c:pt idx="6">
                  <c:v>17492</c:v>
                </c:pt>
                <c:pt idx="7">
                  <c:v>669</c:v>
                </c:pt>
                <c:pt idx="8">
                  <c:v>21239</c:v>
                </c:pt>
                <c:pt idx="9">
                  <c:v>23890</c:v>
                </c:pt>
                <c:pt idx="10">
                  <c:v>29055</c:v>
                </c:pt>
              </c:numCache>
            </c:numRef>
          </c:val>
        </c:ser>
        <c:dLbls>
          <c:showLegendKey val="0"/>
          <c:showVal val="0"/>
          <c:showCatName val="0"/>
          <c:showSerName val="0"/>
          <c:showPercent val="0"/>
          <c:showBubbleSize val="0"/>
        </c:dLbls>
        <c:gapWidth val="150"/>
        <c:overlap val="100"/>
        <c:axId val="30942720"/>
        <c:axId val="30944640"/>
      </c:barChart>
      <c:scatterChart>
        <c:scatterStyle val="lineMarker"/>
        <c:varyColors val="0"/>
        <c:ser>
          <c:idx val="2"/>
          <c:order val="2"/>
          <c:tx>
            <c:strRef>
              <c:f>'Nabídka a poptávka'!$CF$4:$CF$8</c:f>
              <c:strCache>
                <c:ptCount val="1"/>
                <c:pt idx="0">
                  <c:v>UoZ/VPM k 31. 12.2017</c:v>
                </c:pt>
              </c:strCache>
            </c:strRef>
          </c:tx>
          <c:spPr>
            <a:ln w="28575">
              <a:noFill/>
            </a:ln>
          </c:spPr>
          <c:marker>
            <c:symbol val="triangle"/>
            <c:size val="10"/>
            <c:spPr>
              <a:solidFill>
                <a:srgbClr val="00B050"/>
              </a:solidFill>
            </c:spPr>
          </c:marker>
          <c:yVal>
            <c:numRef>
              <c:f>'Nabídka a poptávka'!$CF$9:$CF$19</c:f>
              <c:numCache>
                <c:formatCode>0.00</c:formatCode>
                <c:ptCount val="11"/>
                <c:pt idx="0">
                  <c:v>1.2949998846304713</c:v>
                </c:pt>
                <c:pt idx="1">
                  <c:v>0.28947368421052633</c:v>
                </c:pt>
                <c:pt idx="2">
                  <c:v>2.0757134536983108</c:v>
                </c:pt>
                <c:pt idx="3">
                  <c:v>0.92921159501470385</c:v>
                </c:pt>
                <c:pt idx="4">
                  <c:v>1.4902920410783056</c:v>
                </c:pt>
                <c:pt idx="5">
                  <c:v>4.724220623501199</c:v>
                </c:pt>
                <c:pt idx="6">
                  <c:v>2.1783745748797938</c:v>
                </c:pt>
                <c:pt idx="7">
                  <c:v>2.1537551744529866</c:v>
                </c:pt>
                <c:pt idx="8">
                  <c:v>0.77452442690286605</c:v>
                </c:pt>
                <c:pt idx="9">
                  <c:v>0.46063372990953988</c:v>
                </c:pt>
                <c:pt idx="10">
                  <c:v>1.6716464363523187</c:v>
                </c:pt>
              </c:numCache>
            </c:numRef>
          </c:yVal>
          <c:smooth val="0"/>
        </c:ser>
        <c:dLbls>
          <c:showLegendKey val="0"/>
          <c:showVal val="0"/>
          <c:showCatName val="0"/>
          <c:showSerName val="0"/>
          <c:showPercent val="0"/>
          <c:showBubbleSize val="0"/>
        </c:dLbls>
        <c:axId val="30952064"/>
        <c:axId val="30950528"/>
      </c:scatterChart>
      <c:catAx>
        <c:axId val="30942720"/>
        <c:scaling>
          <c:orientation val="minMax"/>
        </c:scaling>
        <c:delete val="0"/>
        <c:axPos val="b"/>
        <c:majorTickMark val="out"/>
        <c:minorTickMark val="none"/>
        <c:tickLblPos val="nextTo"/>
        <c:txPr>
          <a:bodyPr/>
          <a:lstStyle/>
          <a:p>
            <a:pPr>
              <a:defRPr sz="800"/>
            </a:pPr>
            <a:endParaRPr lang="cs-CZ"/>
          </a:p>
        </c:txPr>
        <c:crossAx val="30944640"/>
        <c:crosses val="autoZero"/>
        <c:auto val="1"/>
        <c:lblAlgn val="ctr"/>
        <c:lblOffset val="100"/>
        <c:noMultiLvlLbl val="0"/>
      </c:catAx>
      <c:valAx>
        <c:axId val="30944640"/>
        <c:scaling>
          <c:orientation val="minMax"/>
        </c:scaling>
        <c:delete val="0"/>
        <c:axPos val="l"/>
        <c:majorGridlines/>
        <c:numFmt formatCode="0%" sourceLinked="1"/>
        <c:majorTickMark val="out"/>
        <c:minorTickMark val="none"/>
        <c:tickLblPos val="nextTo"/>
        <c:txPr>
          <a:bodyPr/>
          <a:lstStyle/>
          <a:p>
            <a:pPr>
              <a:defRPr sz="800"/>
            </a:pPr>
            <a:endParaRPr lang="cs-CZ"/>
          </a:p>
        </c:txPr>
        <c:crossAx val="30942720"/>
        <c:crosses val="autoZero"/>
        <c:crossBetween val="between"/>
      </c:valAx>
      <c:valAx>
        <c:axId val="30950528"/>
        <c:scaling>
          <c:orientation val="minMax"/>
          <c:max val="10"/>
          <c:min val="0"/>
        </c:scaling>
        <c:delete val="0"/>
        <c:axPos val="r"/>
        <c:numFmt formatCode="#,##0" sourceLinked="0"/>
        <c:majorTickMark val="out"/>
        <c:minorTickMark val="none"/>
        <c:tickLblPos val="nextTo"/>
        <c:txPr>
          <a:bodyPr/>
          <a:lstStyle/>
          <a:p>
            <a:pPr>
              <a:defRPr sz="800"/>
            </a:pPr>
            <a:endParaRPr lang="cs-CZ"/>
          </a:p>
        </c:txPr>
        <c:crossAx val="30952064"/>
        <c:crosses val="max"/>
        <c:crossBetween val="midCat"/>
        <c:minorUnit val="2.0000000000000004E-2"/>
      </c:valAx>
      <c:valAx>
        <c:axId val="30952064"/>
        <c:scaling>
          <c:orientation val="minMax"/>
        </c:scaling>
        <c:delete val="1"/>
        <c:axPos val="b"/>
        <c:majorTickMark val="out"/>
        <c:minorTickMark val="none"/>
        <c:tickLblPos val="nextTo"/>
        <c:crossAx val="30950528"/>
        <c:crosses val="autoZero"/>
        <c:crossBetween val="midCat"/>
      </c:valAx>
    </c:plotArea>
    <c:legend>
      <c:legendPos val="b"/>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441583834132123E-2"/>
          <c:y val="5.0925925925925923E-2"/>
          <c:w val="0.67181413029841597"/>
          <c:h val="0.85026975794692328"/>
        </c:manualLayout>
      </c:layout>
      <c:barChart>
        <c:barDir val="col"/>
        <c:grouping val="clustered"/>
        <c:varyColors val="0"/>
        <c:ser>
          <c:idx val="0"/>
          <c:order val="0"/>
          <c:tx>
            <c:strRef>
              <c:f>List1!$A$31</c:f>
              <c:strCache>
                <c:ptCount val="1"/>
                <c:pt idx="0">
                  <c:v>v celkovém počtu UoZ k 31. 12. 2017</c:v>
                </c:pt>
              </c:strCache>
            </c:strRef>
          </c:tx>
          <c:spPr>
            <a:solidFill>
              <a:schemeClr val="accent1">
                <a:lumMod val="60000"/>
                <a:lumOff val="40000"/>
              </a:schemeClr>
            </a:solidFill>
          </c:spPr>
          <c:invertIfNegative val="0"/>
          <c:cat>
            <c:strRef>
              <c:f>List1!$B$30:$F$30</c:f>
              <c:strCache>
                <c:ptCount val="5"/>
                <c:pt idx="0">
                  <c:v>do 25 let</c:v>
                </c:pt>
                <c:pt idx="1">
                  <c:v>nad 55 let</c:v>
                </c:pt>
                <c:pt idx="2">
                  <c:v>max ZŠ</c:v>
                </c:pt>
                <c:pt idx="3">
                  <c:v>OZP</c:v>
                </c:pt>
                <c:pt idx="4">
                  <c:v>peče o dítě</c:v>
                </c:pt>
              </c:strCache>
            </c:strRef>
          </c:cat>
          <c:val>
            <c:numRef>
              <c:f>List1!$B$31:$F$31</c:f>
              <c:numCache>
                <c:formatCode>0.00%</c:formatCode>
                <c:ptCount val="5"/>
                <c:pt idx="0">
                  <c:v>0.111</c:v>
                </c:pt>
                <c:pt idx="1">
                  <c:v>0.24099999999999999</c:v>
                </c:pt>
                <c:pt idx="2">
                  <c:v>0.30599999999999999</c:v>
                </c:pt>
                <c:pt idx="3">
                  <c:v>0.16400000000000001</c:v>
                </c:pt>
                <c:pt idx="4">
                  <c:v>0.16600000000000001</c:v>
                </c:pt>
              </c:numCache>
            </c:numRef>
          </c:val>
        </c:ser>
        <c:ser>
          <c:idx val="1"/>
          <c:order val="1"/>
          <c:tx>
            <c:strRef>
              <c:f>List1!$A$32</c:f>
              <c:strCache>
                <c:ptCount val="1"/>
                <c:pt idx="0">
                  <c:v>ve sk. s evidencí delší 12 měsíců v 12/2017[1]</c:v>
                </c:pt>
              </c:strCache>
            </c:strRef>
          </c:tx>
          <c:spPr>
            <a:solidFill>
              <a:schemeClr val="accent2">
                <a:lumMod val="60000"/>
                <a:lumOff val="40000"/>
              </a:schemeClr>
            </a:solidFill>
          </c:spPr>
          <c:invertIfNegative val="0"/>
          <c:cat>
            <c:strRef>
              <c:f>List1!$B$30:$F$30</c:f>
              <c:strCache>
                <c:ptCount val="5"/>
                <c:pt idx="0">
                  <c:v>do 25 let</c:v>
                </c:pt>
                <c:pt idx="1">
                  <c:v>nad 55 let</c:v>
                </c:pt>
                <c:pt idx="2">
                  <c:v>max ZŠ</c:v>
                </c:pt>
                <c:pt idx="3">
                  <c:v>OZP</c:v>
                </c:pt>
                <c:pt idx="4">
                  <c:v>peče o dítě</c:v>
                </c:pt>
              </c:strCache>
            </c:strRef>
          </c:cat>
          <c:val>
            <c:numRef>
              <c:f>List1!$B$32:$F$32</c:f>
              <c:numCache>
                <c:formatCode>0.00%</c:formatCode>
                <c:ptCount val="5"/>
                <c:pt idx="0">
                  <c:v>4.8000000000000001E-2</c:v>
                </c:pt>
                <c:pt idx="1">
                  <c:v>0.32700000000000001</c:v>
                </c:pt>
                <c:pt idx="2">
                  <c:v>0.371</c:v>
                </c:pt>
                <c:pt idx="3">
                  <c:v>0.249</c:v>
                </c:pt>
                <c:pt idx="4">
                  <c:v>0.186</c:v>
                </c:pt>
              </c:numCache>
            </c:numRef>
          </c:val>
        </c:ser>
        <c:ser>
          <c:idx val="2"/>
          <c:order val="2"/>
          <c:tx>
            <c:strRef>
              <c:f>List1!$A$33</c:f>
              <c:strCache>
                <c:ptCount val="1"/>
                <c:pt idx="0">
                  <c:v>Ve sk. s evidencí delší 24 měsíců 12/201716</c:v>
                </c:pt>
              </c:strCache>
            </c:strRef>
          </c:tx>
          <c:spPr>
            <a:solidFill>
              <a:srgbClr val="FF0000"/>
            </a:solidFill>
          </c:spPr>
          <c:invertIfNegative val="0"/>
          <c:cat>
            <c:strRef>
              <c:f>List1!$B$30:$F$30</c:f>
              <c:strCache>
                <c:ptCount val="5"/>
                <c:pt idx="0">
                  <c:v>do 25 let</c:v>
                </c:pt>
                <c:pt idx="1">
                  <c:v>nad 55 let</c:v>
                </c:pt>
                <c:pt idx="2">
                  <c:v>max ZŠ</c:v>
                </c:pt>
                <c:pt idx="3">
                  <c:v>OZP</c:v>
                </c:pt>
                <c:pt idx="4">
                  <c:v>peče o dítě</c:v>
                </c:pt>
              </c:strCache>
            </c:strRef>
          </c:cat>
          <c:val>
            <c:numRef>
              <c:f>List1!$B$33:$F$33</c:f>
              <c:numCache>
                <c:formatCode>0.00%</c:formatCode>
                <c:ptCount val="5"/>
                <c:pt idx="0">
                  <c:v>0.04</c:v>
                </c:pt>
                <c:pt idx="1">
                  <c:v>0.34499999999999997</c:v>
                </c:pt>
                <c:pt idx="2">
                  <c:v>0.39300000000000002</c:v>
                </c:pt>
                <c:pt idx="3">
                  <c:v>0.25900000000000001</c:v>
                </c:pt>
                <c:pt idx="4">
                  <c:v>0.17799999999999999</c:v>
                </c:pt>
              </c:numCache>
            </c:numRef>
          </c:val>
        </c:ser>
        <c:dLbls>
          <c:showLegendKey val="0"/>
          <c:showVal val="0"/>
          <c:showCatName val="0"/>
          <c:showSerName val="0"/>
          <c:showPercent val="0"/>
          <c:showBubbleSize val="0"/>
        </c:dLbls>
        <c:gapWidth val="150"/>
        <c:axId val="30979200"/>
        <c:axId val="30980736"/>
      </c:barChart>
      <c:catAx>
        <c:axId val="30979200"/>
        <c:scaling>
          <c:orientation val="minMax"/>
        </c:scaling>
        <c:delete val="0"/>
        <c:axPos val="b"/>
        <c:majorTickMark val="out"/>
        <c:minorTickMark val="none"/>
        <c:tickLblPos val="nextTo"/>
        <c:txPr>
          <a:bodyPr/>
          <a:lstStyle/>
          <a:p>
            <a:pPr>
              <a:defRPr sz="800"/>
            </a:pPr>
            <a:endParaRPr lang="cs-CZ"/>
          </a:p>
        </c:txPr>
        <c:crossAx val="30980736"/>
        <c:crosses val="autoZero"/>
        <c:auto val="1"/>
        <c:lblAlgn val="ctr"/>
        <c:lblOffset val="100"/>
        <c:noMultiLvlLbl val="0"/>
      </c:catAx>
      <c:valAx>
        <c:axId val="30980736"/>
        <c:scaling>
          <c:orientation val="minMax"/>
        </c:scaling>
        <c:delete val="0"/>
        <c:axPos val="l"/>
        <c:majorGridlines/>
        <c:numFmt formatCode="0.00%" sourceLinked="1"/>
        <c:majorTickMark val="out"/>
        <c:minorTickMark val="none"/>
        <c:tickLblPos val="nextTo"/>
        <c:txPr>
          <a:bodyPr/>
          <a:lstStyle/>
          <a:p>
            <a:pPr>
              <a:defRPr sz="800"/>
            </a:pPr>
            <a:endParaRPr lang="cs-CZ"/>
          </a:p>
        </c:txPr>
        <c:crossAx val="30979200"/>
        <c:crosses val="autoZero"/>
        <c:crossBetween val="between"/>
      </c:valAx>
    </c:plotArea>
    <c:legend>
      <c:legendPos val="r"/>
      <c:layout>
        <c:manualLayout>
          <c:xMode val="edge"/>
          <c:yMode val="edge"/>
          <c:x val="0.80097369475470803"/>
          <c:y val="0.14350940507436571"/>
          <c:w val="0.18530417831561793"/>
          <c:h val="0.53242563429571299"/>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202016825974311E-2"/>
          <c:y val="5.0925925925925923E-2"/>
          <c:w val="0.8978713711974543"/>
          <c:h val="0.4495913531641878"/>
        </c:manualLayout>
      </c:layout>
      <c:barChart>
        <c:barDir val="bar"/>
        <c:grouping val="percentStacked"/>
        <c:varyColors val="0"/>
        <c:ser>
          <c:idx val="0"/>
          <c:order val="0"/>
          <c:tx>
            <c:strRef>
              <c:f>'Neobsazenost podle profesí'!$AW$77</c:f>
              <c:strCache>
                <c:ptCount val="1"/>
                <c:pt idx="0">
                  <c:v>Zaměstnanci v ozbrojených silách</c:v>
                </c:pt>
              </c:strCache>
            </c:strRef>
          </c:tx>
          <c:invertIfNegative val="0"/>
          <c:cat>
            <c:strRef>
              <c:f>('Neobsazenost podle profesí'!$AY$76,'Neobsazenost podle profesí'!$BB$76)</c:f>
              <c:strCache>
                <c:ptCount val="2"/>
                <c:pt idx="0">
                  <c:v>0-3M</c:v>
                </c:pt>
                <c:pt idx="1">
                  <c:v>nad 12</c:v>
                </c:pt>
              </c:strCache>
            </c:strRef>
          </c:cat>
          <c:val>
            <c:numRef>
              <c:f>('Neobsazenost podle profesí'!$AY$77,'Neobsazenost podle profesí'!$BB$77)</c:f>
              <c:numCache>
                <c:formatCode>General</c:formatCode>
                <c:ptCount val="2"/>
                <c:pt idx="0">
                  <c:v>50</c:v>
                </c:pt>
                <c:pt idx="1">
                  <c:v>310</c:v>
                </c:pt>
              </c:numCache>
            </c:numRef>
          </c:val>
        </c:ser>
        <c:ser>
          <c:idx val="1"/>
          <c:order val="1"/>
          <c:tx>
            <c:strRef>
              <c:f>'Neobsazenost podle profesí'!$AW$78</c:f>
              <c:strCache>
                <c:ptCount val="1"/>
                <c:pt idx="0">
                  <c:v>Zákonodárci a řídící pracovníci</c:v>
                </c:pt>
              </c:strCache>
            </c:strRef>
          </c:tx>
          <c:invertIfNegative val="0"/>
          <c:cat>
            <c:strRef>
              <c:f>('Neobsazenost podle profesí'!$AY$76,'Neobsazenost podle profesí'!$BB$76)</c:f>
              <c:strCache>
                <c:ptCount val="2"/>
                <c:pt idx="0">
                  <c:v>0-3M</c:v>
                </c:pt>
                <c:pt idx="1">
                  <c:v>nad 12</c:v>
                </c:pt>
              </c:strCache>
            </c:strRef>
          </c:cat>
          <c:val>
            <c:numRef>
              <c:f>('Neobsazenost podle profesí'!$AY$78,'Neobsazenost podle profesí'!$BB$78)</c:f>
              <c:numCache>
                <c:formatCode>General</c:formatCode>
                <c:ptCount val="2"/>
                <c:pt idx="0">
                  <c:v>646</c:v>
                </c:pt>
                <c:pt idx="1">
                  <c:v>451</c:v>
                </c:pt>
              </c:numCache>
            </c:numRef>
          </c:val>
        </c:ser>
        <c:ser>
          <c:idx val="2"/>
          <c:order val="2"/>
          <c:tx>
            <c:strRef>
              <c:f>'Neobsazenost podle profesí'!$AW$79</c:f>
              <c:strCache>
                <c:ptCount val="1"/>
                <c:pt idx="0">
                  <c:v>Specialisté</c:v>
                </c:pt>
              </c:strCache>
            </c:strRef>
          </c:tx>
          <c:invertIfNegative val="0"/>
          <c:cat>
            <c:strRef>
              <c:f>('Neobsazenost podle profesí'!$AY$76,'Neobsazenost podle profesí'!$BB$76)</c:f>
              <c:strCache>
                <c:ptCount val="2"/>
                <c:pt idx="0">
                  <c:v>0-3M</c:v>
                </c:pt>
                <c:pt idx="1">
                  <c:v>nad 12</c:v>
                </c:pt>
              </c:strCache>
            </c:strRef>
          </c:cat>
          <c:val>
            <c:numRef>
              <c:f>('Neobsazenost podle profesí'!$AY$79,'Neobsazenost podle profesí'!$BB$79)</c:f>
              <c:numCache>
                <c:formatCode>#,##0</c:formatCode>
                <c:ptCount val="2"/>
                <c:pt idx="0">
                  <c:v>4505</c:v>
                </c:pt>
                <c:pt idx="1">
                  <c:v>4419</c:v>
                </c:pt>
              </c:numCache>
            </c:numRef>
          </c:val>
        </c:ser>
        <c:ser>
          <c:idx val="3"/>
          <c:order val="3"/>
          <c:tx>
            <c:strRef>
              <c:f>'Neobsazenost podle profesí'!$AW$80</c:f>
              <c:strCache>
                <c:ptCount val="1"/>
                <c:pt idx="0">
                  <c:v>Techničtí a odborní pracovníci</c:v>
                </c:pt>
              </c:strCache>
            </c:strRef>
          </c:tx>
          <c:invertIfNegative val="0"/>
          <c:cat>
            <c:strRef>
              <c:f>('Neobsazenost podle profesí'!$AY$76,'Neobsazenost podle profesí'!$BB$76)</c:f>
              <c:strCache>
                <c:ptCount val="2"/>
                <c:pt idx="0">
                  <c:v>0-3M</c:v>
                </c:pt>
                <c:pt idx="1">
                  <c:v>nad 12</c:v>
                </c:pt>
              </c:strCache>
            </c:strRef>
          </c:cat>
          <c:val>
            <c:numRef>
              <c:f>('Neobsazenost podle profesí'!$AY$80,'Neobsazenost podle profesí'!$BB$80)</c:f>
              <c:numCache>
                <c:formatCode>#,##0</c:formatCode>
                <c:ptCount val="2"/>
                <c:pt idx="0">
                  <c:v>4649</c:v>
                </c:pt>
                <c:pt idx="1">
                  <c:v>3144</c:v>
                </c:pt>
              </c:numCache>
            </c:numRef>
          </c:val>
        </c:ser>
        <c:ser>
          <c:idx val="4"/>
          <c:order val="4"/>
          <c:tx>
            <c:strRef>
              <c:f>'Neobsazenost podle profesí'!$AW$81</c:f>
              <c:strCache>
                <c:ptCount val="1"/>
                <c:pt idx="0">
                  <c:v>Úředníci</c:v>
                </c:pt>
              </c:strCache>
            </c:strRef>
          </c:tx>
          <c:invertIfNegative val="0"/>
          <c:cat>
            <c:strRef>
              <c:f>('Neobsazenost podle profesí'!$AY$76,'Neobsazenost podle profesí'!$BB$76)</c:f>
              <c:strCache>
                <c:ptCount val="2"/>
                <c:pt idx="0">
                  <c:v>0-3M</c:v>
                </c:pt>
                <c:pt idx="1">
                  <c:v>nad 12</c:v>
                </c:pt>
              </c:strCache>
            </c:strRef>
          </c:cat>
          <c:val>
            <c:numRef>
              <c:f>('Neobsazenost podle profesí'!$AY$81,'Neobsazenost podle profesí'!$BB$81)</c:f>
              <c:numCache>
                <c:formatCode>#,##0</c:formatCode>
                <c:ptCount val="2"/>
                <c:pt idx="0">
                  <c:v>3014</c:v>
                </c:pt>
                <c:pt idx="1">
                  <c:v>1332</c:v>
                </c:pt>
              </c:numCache>
            </c:numRef>
          </c:val>
        </c:ser>
        <c:ser>
          <c:idx val="5"/>
          <c:order val="5"/>
          <c:tx>
            <c:strRef>
              <c:f>'Neobsazenost podle profesí'!$AW$82</c:f>
              <c:strCache>
                <c:ptCount val="1"/>
                <c:pt idx="0">
                  <c:v>Pracovníci ve službách a prodeji</c:v>
                </c:pt>
              </c:strCache>
            </c:strRef>
          </c:tx>
          <c:invertIfNegative val="0"/>
          <c:cat>
            <c:strRef>
              <c:f>('Neobsazenost podle profesí'!$AY$76,'Neobsazenost podle profesí'!$BB$76)</c:f>
              <c:strCache>
                <c:ptCount val="2"/>
                <c:pt idx="0">
                  <c:v>0-3M</c:v>
                </c:pt>
                <c:pt idx="1">
                  <c:v>nad 12</c:v>
                </c:pt>
              </c:strCache>
            </c:strRef>
          </c:cat>
          <c:val>
            <c:numRef>
              <c:f>('Neobsazenost podle profesí'!$AY$82,'Neobsazenost podle profesí'!$BB$82)</c:f>
              <c:numCache>
                <c:formatCode>#,##0</c:formatCode>
                <c:ptCount val="2"/>
                <c:pt idx="0">
                  <c:v>9903</c:v>
                </c:pt>
                <c:pt idx="1">
                  <c:v>6097</c:v>
                </c:pt>
              </c:numCache>
            </c:numRef>
          </c:val>
        </c:ser>
        <c:ser>
          <c:idx val="6"/>
          <c:order val="6"/>
          <c:tx>
            <c:strRef>
              <c:f>'Neobsazenost podle profesí'!$AW$83</c:f>
              <c:strCache>
                <c:ptCount val="1"/>
                <c:pt idx="0">
                  <c:v>Kvalifikovaní pracovníci v zem., les., ryb.</c:v>
                </c:pt>
              </c:strCache>
            </c:strRef>
          </c:tx>
          <c:invertIfNegative val="0"/>
          <c:cat>
            <c:strRef>
              <c:f>('Neobsazenost podle profesí'!$AY$76,'Neobsazenost podle profesí'!$BB$76)</c:f>
              <c:strCache>
                <c:ptCount val="2"/>
                <c:pt idx="0">
                  <c:v>0-3M</c:v>
                </c:pt>
                <c:pt idx="1">
                  <c:v>nad 12</c:v>
                </c:pt>
              </c:strCache>
            </c:strRef>
          </c:cat>
          <c:val>
            <c:numRef>
              <c:f>('Neobsazenost podle profesí'!$AY$83,'Neobsazenost podle profesí'!$BB$83)</c:f>
              <c:numCache>
                <c:formatCode>General</c:formatCode>
                <c:ptCount val="2"/>
                <c:pt idx="0">
                  <c:v>681</c:v>
                </c:pt>
                <c:pt idx="1">
                  <c:v>427</c:v>
                </c:pt>
              </c:numCache>
            </c:numRef>
          </c:val>
        </c:ser>
        <c:ser>
          <c:idx val="7"/>
          <c:order val="7"/>
          <c:tx>
            <c:strRef>
              <c:f>'Neobsazenost podle profesí'!$AW$84</c:f>
              <c:strCache>
                <c:ptCount val="1"/>
                <c:pt idx="0">
                  <c:v>Řemeslníci a opraváři</c:v>
                </c:pt>
              </c:strCache>
            </c:strRef>
          </c:tx>
          <c:invertIfNegative val="0"/>
          <c:cat>
            <c:strRef>
              <c:f>('Neobsazenost podle profesí'!$AY$76,'Neobsazenost podle profesí'!$BB$76)</c:f>
              <c:strCache>
                <c:ptCount val="2"/>
                <c:pt idx="0">
                  <c:v>0-3M</c:v>
                </c:pt>
                <c:pt idx="1">
                  <c:v>nad 12</c:v>
                </c:pt>
              </c:strCache>
            </c:strRef>
          </c:cat>
          <c:val>
            <c:numRef>
              <c:f>('Neobsazenost podle profesí'!$AY$84,'Neobsazenost podle profesí'!$BB$84)</c:f>
              <c:numCache>
                <c:formatCode>#,##0</c:formatCode>
                <c:ptCount val="2"/>
                <c:pt idx="0">
                  <c:v>13811</c:v>
                </c:pt>
                <c:pt idx="1">
                  <c:v>11726</c:v>
                </c:pt>
              </c:numCache>
            </c:numRef>
          </c:val>
        </c:ser>
        <c:ser>
          <c:idx val="8"/>
          <c:order val="8"/>
          <c:tx>
            <c:strRef>
              <c:f>'Neobsazenost podle profesí'!$AW$85</c:f>
              <c:strCache>
                <c:ptCount val="1"/>
                <c:pt idx="0">
                  <c:v>Obsluha strojů a zařízení, montéři</c:v>
                </c:pt>
              </c:strCache>
            </c:strRef>
          </c:tx>
          <c:invertIfNegative val="0"/>
          <c:cat>
            <c:strRef>
              <c:f>('Neobsazenost podle profesí'!$AY$76,'Neobsazenost podle profesí'!$BB$76)</c:f>
              <c:strCache>
                <c:ptCount val="2"/>
                <c:pt idx="0">
                  <c:v>0-3M</c:v>
                </c:pt>
                <c:pt idx="1">
                  <c:v>nad 12</c:v>
                </c:pt>
              </c:strCache>
            </c:strRef>
          </c:cat>
          <c:val>
            <c:numRef>
              <c:f>('Neobsazenost podle profesí'!$AY$85,'Neobsazenost podle profesí'!$BB$85)</c:f>
              <c:numCache>
                <c:formatCode>#,##0</c:formatCode>
                <c:ptCount val="2"/>
                <c:pt idx="0">
                  <c:v>21282</c:v>
                </c:pt>
                <c:pt idx="1">
                  <c:v>11800</c:v>
                </c:pt>
              </c:numCache>
            </c:numRef>
          </c:val>
        </c:ser>
        <c:ser>
          <c:idx val="9"/>
          <c:order val="9"/>
          <c:tx>
            <c:strRef>
              <c:f>'Neobsazenost podle profesí'!$AW$86</c:f>
              <c:strCache>
                <c:ptCount val="1"/>
                <c:pt idx="0">
                  <c:v>Pomocní a nekvalifik. pracovníci</c:v>
                </c:pt>
              </c:strCache>
            </c:strRef>
          </c:tx>
          <c:invertIfNegative val="0"/>
          <c:cat>
            <c:strRef>
              <c:f>('Neobsazenost podle profesí'!$AY$76,'Neobsazenost podle profesí'!$BB$76)</c:f>
              <c:strCache>
                <c:ptCount val="2"/>
                <c:pt idx="0">
                  <c:v>0-3M</c:v>
                </c:pt>
                <c:pt idx="1">
                  <c:v>nad 12</c:v>
                </c:pt>
              </c:strCache>
            </c:strRef>
          </c:cat>
          <c:val>
            <c:numRef>
              <c:f>('Neobsazenost podle profesí'!$AY$86,'Neobsazenost podle profesí'!$BB$86)</c:f>
              <c:numCache>
                <c:formatCode>#,##0</c:formatCode>
                <c:ptCount val="2"/>
                <c:pt idx="0">
                  <c:v>28688</c:v>
                </c:pt>
                <c:pt idx="1">
                  <c:v>8509</c:v>
                </c:pt>
              </c:numCache>
            </c:numRef>
          </c:val>
        </c:ser>
        <c:dLbls>
          <c:showLegendKey val="0"/>
          <c:showVal val="0"/>
          <c:showCatName val="0"/>
          <c:showSerName val="0"/>
          <c:showPercent val="0"/>
          <c:showBubbleSize val="0"/>
        </c:dLbls>
        <c:gapWidth val="150"/>
        <c:overlap val="100"/>
        <c:axId val="92149248"/>
        <c:axId val="92150784"/>
      </c:barChart>
      <c:catAx>
        <c:axId val="92149248"/>
        <c:scaling>
          <c:orientation val="minMax"/>
        </c:scaling>
        <c:delete val="0"/>
        <c:axPos val="l"/>
        <c:majorTickMark val="out"/>
        <c:minorTickMark val="none"/>
        <c:tickLblPos val="nextTo"/>
        <c:txPr>
          <a:bodyPr/>
          <a:lstStyle/>
          <a:p>
            <a:pPr>
              <a:defRPr sz="800"/>
            </a:pPr>
            <a:endParaRPr lang="cs-CZ"/>
          </a:p>
        </c:txPr>
        <c:crossAx val="92150784"/>
        <c:crosses val="autoZero"/>
        <c:auto val="1"/>
        <c:lblAlgn val="ctr"/>
        <c:lblOffset val="100"/>
        <c:noMultiLvlLbl val="0"/>
      </c:catAx>
      <c:valAx>
        <c:axId val="92150784"/>
        <c:scaling>
          <c:orientation val="minMax"/>
        </c:scaling>
        <c:delete val="0"/>
        <c:axPos val="b"/>
        <c:majorGridlines/>
        <c:minorGridlines/>
        <c:numFmt formatCode="0%" sourceLinked="1"/>
        <c:majorTickMark val="out"/>
        <c:minorTickMark val="none"/>
        <c:tickLblPos val="nextTo"/>
        <c:txPr>
          <a:bodyPr/>
          <a:lstStyle/>
          <a:p>
            <a:pPr>
              <a:defRPr sz="800"/>
            </a:pPr>
            <a:endParaRPr lang="cs-CZ"/>
          </a:p>
        </c:txPr>
        <c:crossAx val="92149248"/>
        <c:crosses val="autoZero"/>
        <c:crossBetween val="between"/>
        <c:minorUnit val="1.0000000000000002E-2"/>
      </c:valAx>
    </c:plotArea>
    <c:legend>
      <c:legendPos val="b"/>
      <c:layout>
        <c:manualLayout>
          <c:xMode val="edge"/>
          <c:yMode val="edge"/>
          <c:x val="1.6125463655885987E-2"/>
          <c:y val="0.61649715660542437"/>
          <c:w val="0.96566165592937248"/>
          <c:h val="0.33388253603977897"/>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000"/>
              <a:t>k 31. 12. 2017</a:t>
            </a:r>
          </a:p>
        </c:rich>
      </c:tx>
      <c:layout>
        <c:manualLayout>
          <c:xMode val="edge"/>
          <c:yMode val="edge"/>
          <c:x val="0.39910517608486112"/>
          <c:y val="3.5543513221118705E-2"/>
        </c:manualLayout>
      </c:layout>
      <c:overlay val="0"/>
    </c:title>
    <c:autoTitleDeleted val="0"/>
    <c:plotArea>
      <c:layout>
        <c:manualLayout>
          <c:layoutTarget val="inner"/>
          <c:xMode val="edge"/>
          <c:yMode val="edge"/>
          <c:x val="6.17662573471447E-2"/>
          <c:y val="0"/>
          <c:w val="0.36648651160815682"/>
          <c:h val="0.83452910957274495"/>
        </c:manualLayout>
      </c:layout>
      <c:doughnutChart>
        <c:varyColors val="1"/>
        <c:ser>
          <c:idx val="0"/>
          <c:order val="0"/>
          <c:dPt>
            <c:idx val="0"/>
            <c:bubble3D val="0"/>
            <c:spPr>
              <a:solidFill>
                <a:schemeClr val="accent2">
                  <a:lumMod val="40000"/>
                  <a:lumOff val="60000"/>
                </a:schemeClr>
              </a:solidFill>
            </c:spPr>
          </c:dPt>
          <c:dPt>
            <c:idx val="1"/>
            <c:bubble3D val="0"/>
            <c:spPr>
              <a:solidFill>
                <a:srgbClr val="FF7C80"/>
              </a:solidFill>
            </c:spPr>
          </c:dPt>
          <c:dPt>
            <c:idx val="2"/>
            <c:bubble3D val="0"/>
            <c:spPr>
              <a:solidFill>
                <a:schemeClr val="accent4">
                  <a:lumMod val="40000"/>
                  <a:lumOff val="60000"/>
                </a:schemeClr>
              </a:solidFill>
            </c:spPr>
          </c:dPt>
          <c:dPt>
            <c:idx val="3"/>
            <c:bubble3D val="0"/>
            <c:spPr>
              <a:solidFill>
                <a:schemeClr val="accent4">
                  <a:lumMod val="75000"/>
                </a:schemeClr>
              </a:solidFill>
            </c:spPr>
          </c:dPt>
          <c:dPt>
            <c:idx val="4"/>
            <c:bubble3D val="0"/>
            <c:spPr>
              <a:solidFill>
                <a:schemeClr val="tx2">
                  <a:lumMod val="40000"/>
                  <a:lumOff val="60000"/>
                </a:schemeClr>
              </a:solidFill>
            </c:spPr>
          </c:dPt>
          <c:dPt>
            <c:idx val="5"/>
            <c:bubble3D val="0"/>
            <c:spPr>
              <a:solidFill>
                <a:schemeClr val="tx2">
                  <a:lumMod val="60000"/>
                  <a:lumOff val="40000"/>
                </a:schemeClr>
              </a:solidFill>
            </c:spPr>
          </c:dPt>
          <c:dPt>
            <c:idx val="6"/>
            <c:bubble3D val="0"/>
            <c:spPr>
              <a:solidFill>
                <a:srgbClr val="00B0F0"/>
              </a:solidFill>
            </c:spPr>
          </c:dPt>
          <c:dPt>
            <c:idx val="7"/>
            <c:bubble3D val="0"/>
            <c:spPr>
              <a:pattFill prst="pct50">
                <a:fgClr>
                  <a:schemeClr val="accent5">
                    <a:lumMod val="60000"/>
                    <a:lumOff val="40000"/>
                  </a:schemeClr>
                </a:fgClr>
                <a:bgClr>
                  <a:schemeClr val="bg1"/>
                </a:bgClr>
              </a:pattFill>
            </c:spPr>
          </c:dPt>
          <c:dPt>
            <c:idx val="8"/>
            <c:bubble3D val="0"/>
            <c:spPr>
              <a:pattFill prst="dkDnDiag">
                <a:fgClr>
                  <a:schemeClr val="tx2">
                    <a:lumMod val="60000"/>
                    <a:lumOff val="40000"/>
                  </a:schemeClr>
                </a:fgClr>
                <a:bgClr>
                  <a:schemeClr val="bg1"/>
                </a:bgClr>
              </a:pattFill>
            </c:spPr>
          </c:dPt>
          <c:dPt>
            <c:idx val="9"/>
            <c:bubble3D val="0"/>
            <c:spPr>
              <a:solidFill>
                <a:schemeClr val="accent3">
                  <a:lumMod val="40000"/>
                  <a:lumOff val="60000"/>
                </a:schemeClr>
              </a:solidFill>
            </c:spPr>
          </c:dPt>
          <c:dPt>
            <c:idx val="10"/>
            <c:bubble3D val="0"/>
            <c:spPr>
              <a:solidFill>
                <a:srgbClr val="92D050"/>
              </a:solidFill>
            </c:spPr>
          </c:dPt>
          <c:dPt>
            <c:idx val="11"/>
            <c:bubble3D val="0"/>
            <c:spPr>
              <a:solidFill>
                <a:schemeClr val="accent3">
                  <a:lumMod val="75000"/>
                </a:schemeClr>
              </a:solidFill>
            </c:spPr>
          </c:dPt>
          <c:cat>
            <c:strRef>
              <c:f>'Neobsazenost podle vzdělání'!$BA$41:$BA$52</c:f>
              <c:strCache>
                <c:ptCount val="12"/>
                <c:pt idx="0">
                  <c:v>bez a neúplné ZŠ</c:v>
                </c:pt>
                <c:pt idx="1">
                  <c:v>ZŠ</c:v>
                </c:pt>
                <c:pt idx="2">
                  <c:v>nižší střední</c:v>
                </c:pt>
                <c:pt idx="3">
                  <c:v>nižší střední odborné</c:v>
                </c:pt>
                <c:pt idx="4">
                  <c:v>Střední odb. (vyučen)</c:v>
                </c:pt>
                <c:pt idx="5">
                  <c:v>Střední odb. bez mat. a vyuč.</c:v>
                </c:pt>
                <c:pt idx="6">
                  <c:v> ÚSV</c:v>
                </c:pt>
                <c:pt idx="7">
                  <c:v>ÚSO (vyuč.+ mat.)</c:v>
                </c:pt>
                <c:pt idx="8">
                  <c:v>ÚSO s maturitou (bez vyučení)</c:v>
                </c:pt>
                <c:pt idx="9">
                  <c:v>VOŠ</c:v>
                </c:pt>
                <c:pt idx="10">
                  <c:v>bakalář.</c:v>
                </c:pt>
                <c:pt idx="11">
                  <c:v>VŠ (vč. doktor.)</c:v>
                </c:pt>
              </c:strCache>
            </c:strRef>
          </c:cat>
          <c:val>
            <c:numRef>
              <c:f>'Neobsazenost podle vzdělání'!$BB$41:$BB$52</c:f>
              <c:numCache>
                <c:formatCode>0.00%</c:formatCode>
                <c:ptCount val="12"/>
                <c:pt idx="0">
                  <c:v>3.5182235763912932E-2</c:v>
                </c:pt>
                <c:pt idx="1">
                  <c:v>0.53677261500819429</c:v>
                </c:pt>
                <c:pt idx="2">
                  <c:v>9.0667774623179372E-3</c:v>
                </c:pt>
                <c:pt idx="3">
                  <c:v>5.3966715139764095E-2</c:v>
                </c:pt>
                <c:pt idx="4">
                  <c:v>0.20982849756480393</c:v>
                </c:pt>
                <c:pt idx="5">
                  <c:v>8.4297024675114834E-3</c:v>
                </c:pt>
                <c:pt idx="6">
                  <c:v>2.4841308311982089E-2</c:v>
                </c:pt>
                <c:pt idx="7">
                  <c:v>2.053874385430372E-2</c:v>
                </c:pt>
                <c:pt idx="8">
                  <c:v>4.8223807215566787E-2</c:v>
                </c:pt>
                <c:pt idx="9">
                  <c:v>7.977286891489509E-3</c:v>
                </c:pt>
                <c:pt idx="10">
                  <c:v>1.5368280128338296E-2</c:v>
                </c:pt>
                <c:pt idx="11">
                  <c:v>2.9804030191814972E-2</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62811539416475159"/>
          <c:y val="0"/>
          <c:w val="0.28694989939082755"/>
          <c:h val="0.94491999376413438"/>
        </c:manualLayout>
      </c:layout>
      <c:overlay val="0"/>
      <c:txPr>
        <a:bodyPr/>
        <a:lstStyle/>
        <a:p>
          <a:pPr>
            <a:defRPr sz="800"/>
          </a:pPr>
          <a:endParaRPr lang="cs-CZ"/>
        </a:p>
      </c:txPr>
    </c:legend>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000"/>
              <a:t>k 31. 12. 2016</a:t>
            </a:r>
          </a:p>
        </c:rich>
      </c:tx>
      <c:overlay val="0"/>
    </c:title>
    <c:autoTitleDeleted val="0"/>
    <c:plotArea>
      <c:layout/>
      <c:doughnutChart>
        <c:varyColors val="1"/>
        <c:ser>
          <c:idx val="0"/>
          <c:order val="0"/>
          <c:dPt>
            <c:idx val="0"/>
            <c:bubble3D val="0"/>
            <c:spPr>
              <a:solidFill>
                <a:schemeClr val="accent2">
                  <a:lumMod val="40000"/>
                  <a:lumOff val="60000"/>
                </a:schemeClr>
              </a:solidFill>
            </c:spPr>
          </c:dPt>
          <c:dPt>
            <c:idx val="1"/>
            <c:bubble3D val="0"/>
            <c:spPr>
              <a:solidFill>
                <a:srgbClr val="FF7C80"/>
              </a:solidFill>
            </c:spPr>
          </c:dPt>
          <c:dPt>
            <c:idx val="2"/>
            <c:bubble3D val="0"/>
            <c:spPr>
              <a:solidFill>
                <a:schemeClr val="accent4">
                  <a:lumMod val="40000"/>
                  <a:lumOff val="60000"/>
                </a:schemeClr>
              </a:solidFill>
            </c:spPr>
          </c:dPt>
          <c:dPt>
            <c:idx val="3"/>
            <c:bubble3D val="0"/>
            <c:spPr>
              <a:solidFill>
                <a:schemeClr val="accent4">
                  <a:lumMod val="75000"/>
                </a:schemeClr>
              </a:solidFill>
            </c:spPr>
          </c:dPt>
          <c:dPt>
            <c:idx val="4"/>
            <c:bubble3D val="0"/>
            <c:spPr>
              <a:solidFill>
                <a:schemeClr val="tx2">
                  <a:lumMod val="40000"/>
                  <a:lumOff val="60000"/>
                </a:schemeClr>
              </a:solidFill>
            </c:spPr>
          </c:dPt>
          <c:dPt>
            <c:idx val="5"/>
            <c:bubble3D val="0"/>
            <c:spPr>
              <a:solidFill>
                <a:schemeClr val="tx2">
                  <a:lumMod val="60000"/>
                  <a:lumOff val="40000"/>
                </a:schemeClr>
              </a:solidFill>
            </c:spPr>
          </c:dPt>
          <c:dPt>
            <c:idx val="6"/>
            <c:bubble3D val="0"/>
            <c:spPr>
              <a:solidFill>
                <a:srgbClr val="00B0F0"/>
              </a:solidFill>
            </c:spPr>
          </c:dPt>
          <c:dPt>
            <c:idx val="7"/>
            <c:bubble3D val="0"/>
            <c:spPr>
              <a:pattFill prst="pct50">
                <a:fgClr>
                  <a:schemeClr val="accent5">
                    <a:lumMod val="60000"/>
                    <a:lumOff val="40000"/>
                  </a:schemeClr>
                </a:fgClr>
                <a:bgClr>
                  <a:schemeClr val="bg1"/>
                </a:bgClr>
              </a:pattFill>
            </c:spPr>
          </c:dPt>
          <c:dPt>
            <c:idx val="8"/>
            <c:bubble3D val="0"/>
            <c:spPr>
              <a:pattFill prst="dkDnDiag">
                <a:fgClr>
                  <a:schemeClr val="tx2">
                    <a:lumMod val="60000"/>
                    <a:lumOff val="40000"/>
                  </a:schemeClr>
                </a:fgClr>
                <a:bgClr>
                  <a:schemeClr val="bg1"/>
                </a:bgClr>
              </a:pattFill>
            </c:spPr>
          </c:dPt>
          <c:dPt>
            <c:idx val="9"/>
            <c:bubble3D val="0"/>
            <c:spPr>
              <a:solidFill>
                <a:schemeClr val="accent3">
                  <a:lumMod val="40000"/>
                  <a:lumOff val="60000"/>
                </a:schemeClr>
              </a:solidFill>
            </c:spPr>
          </c:dPt>
          <c:dPt>
            <c:idx val="10"/>
            <c:bubble3D val="0"/>
            <c:spPr>
              <a:solidFill>
                <a:srgbClr val="92D050"/>
              </a:solidFill>
            </c:spPr>
          </c:dPt>
          <c:dPt>
            <c:idx val="11"/>
            <c:bubble3D val="0"/>
            <c:spPr>
              <a:solidFill>
                <a:schemeClr val="accent3">
                  <a:lumMod val="75000"/>
                </a:schemeClr>
              </a:solidFill>
            </c:spPr>
          </c:dPt>
          <c:cat>
            <c:strRef>
              <c:f>'Neobsazenost podle vzdělání'!$S$41:$S$52</c:f>
              <c:strCache>
                <c:ptCount val="12"/>
                <c:pt idx="0">
                  <c:v>bez a neúplné ZŠ</c:v>
                </c:pt>
                <c:pt idx="1">
                  <c:v>ZŠ</c:v>
                </c:pt>
                <c:pt idx="2">
                  <c:v>nižší střední</c:v>
                </c:pt>
                <c:pt idx="3">
                  <c:v>nižší střední odborné</c:v>
                </c:pt>
                <c:pt idx="4">
                  <c:v>Střední odb. (vyučen)</c:v>
                </c:pt>
                <c:pt idx="5">
                  <c:v>Střední odb. bez mat. a vyuč.</c:v>
                </c:pt>
                <c:pt idx="6">
                  <c:v> ÚSV</c:v>
                </c:pt>
                <c:pt idx="7">
                  <c:v>ÚSO (vyuč.+ mat.)</c:v>
                </c:pt>
                <c:pt idx="8">
                  <c:v>ÚSO s maturitou (bez vyučení)</c:v>
                </c:pt>
                <c:pt idx="9">
                  <c:v>VOŠ</c:v>
                </c:pt>
                <c:pt idx="10">
                  <c:v>bakalář.</c:v>
                </c:pt>
                <c:pt idx="11">
                  <c:v>VŠ (vč. doktor.)</c:v>
                </c:pt>
              </c:strCache>
            </c:strRef>
          </c:cat>
          <c:val>
            <c:numRef>
              <c:f>'Neobsazenost podle vzdělání'!$T$41:$T$52</c:f>
              <c:numCache>
                <c:formatCode>0.00%</c:formatCode>
                <c:ptCount val="12"/>
                <c:pt idx="0">
                  <c:v>3.2491792143099739E-2</c:v>
                </c:pt>
                <c:pt idx="1">
                  <c:v>0.43403147288576926</c:v>
                </c:pt>
                <c:pt idx="2">
                  <c:v>1.1864598664100532E-2</c:v>
                </c:pt>
                <c:pt idx="3">
                  <c:v>5.2952941620438509E-2</c:v>
                </c:pt>
                <c:pt idx="4">
                  <c:v>0.28472772557455001</c:v>
                </c:pt>
                <c:pt idx="5">
                  <c:v>6.7625193403524665E-3</c:v>
                </c:pt>
                <c:pt idx="6">
                  <c:v>2.5759462621230991E-2</c:v>
                </c:pt>
                <c:pt idx="7">
                  <c:v>2.741235518321446E-2</c:v>
                </c:pt>
                <c:pt idx="8">
                  <c:v>6.4432620098871657E-2</c:v>
                </c:pt>
                <c:pt idx="9">
                  <c:v>9.4569606400241521E-3</c:v>
                </c:pt>
                <c:pt idx="10">
                  <c:v>1.6219479980376619E-2</c:v>
                </c:pt>
                <c:pt idx="11">
                  <c:v>3.3888071247971621E-2</c:v>
                </c:pt>
              </c:numCache>
            </c:numRef>
          </c:val>
        </c:ser>
        <c:dLbls>
          <c:showLegendKey val="0"/>
          <c:showVal val="0"/>
          <c:showCatName val="0"/>
          <c:showSerName val="0"/>
          <c:showPercent val="0"/>
          <c:showBubbleSize val="0"/>
          <c:showLeaderLines val="1"/>
        </c:dLbls>
        <c:firstSliceAng val="0"/>
        <c:holeSize val="50"/>
      </c:doughnutChart>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000"/>
              <a:t>k 30. 6. 2017</a:t>
            </a:r>
          </a:p>
        </c:rich>
      </c:tx>
      <c:overlay val="0"/>
    </c:title>
    <c:autoTitleDeleted val="0"/>
    <c:plotArea>
      <c:layout/>
      <c:doughnutChart>
        <c:varyColors val="1"/>
        <c:ser>
          <c:idx val="0"/>
          <c:order val="0"/>
          <c:dPt>
            <c:idx val="0"/>
            <c:bubble3D val="0"/>
            <c:spPr>
              <a:solidFill>
                <a:schemeClr val="accent2">
                  <a:lumMod val="40000"/>
                  <a:lumOff val="60000"/>
                </a:schemeClr>
              </a:solidFill>
            </c:spPr>
          </c:dPt>
          <c:dPt>
            <c:idx val="1"/>
            <c:bubble3D val="0"/>
            <c:spPr>
              <a:solidFill>
                <a:srgbClr val="FF7C80"/>
              </a:solidFill>
            </c:spPr>
          </c:dPt>
          <c:dPt>
            <c:idx val="2"/>
            <c:bubble3D val="0"/>
            <c:spPr>
              <a:solidFill>
                <a:schemeClr val="accent4">
                  <a:lumMod val="40000"/>
                  <a:lumOff val="60000"/>
                </a:schemeClr>
              </a:solidFill>
            </c:spPr>
          </c:dPt>
          <c:dPt>
            <c:idx val="3"/>
            <c:bubble3D val="0"/>
            <c:spPr>
              <a:solidFill>
                <a:schemeClr val="accent4">
                  <a:lumMod val="75000"/>
                </a:schemeClr>
              </a:solidFill>
            </c:spPr>
          </c:dPt>
          <c:dPt>
            <c:idx val="4"/>
            <c:bubble3D val="0"/>
            <c:spPr>
              <a:solidFill>
                <a:schemeClr val="tx2">
                  <a:lumMod val="40000"/>
                  <a:lumOff val="60000"/>
                </a:schemeClr>
              </a:solidFill>
            </c:spPr>
          </c:dPt>
          <c:dPt>
            <c:idx val="5"/>
            <c:bubble3D val="0"/>
            <c:spPr>
              <a:solidFill>
                <a:schemeClr val="tx2">
                  <a:lumMod val="60000"/>
                  <a:lumOff val="40000"/>
                </a:schemeClr>
              </a:solidFill>
            </c:spPr>
          </c:dPt>
          <c:dPt>
            <c:idx val="6"/>
            <c:bubble3D val="0"/>
            <c:spPr>
              <a:solidFill>
                <a:srgbClr val="00B0F0"/>
              </a:solidFill>
            </c:spPr>
          </c:dPt>
          <c:dPt>
            <c:idx val="7"/>
            <c:bubble3D val="0"/>
            <c:spPr>
              <a:pattFill prst="pct50">
                <a:fgClr>
                  <a:schemeClr val="accent5">
                    <a:lumMod val="60000"/>
                    <a:lumOff val="40000"/>
                  </a:schemeClr>
                </a:fgClr>
                <a:bgClr>
                  <a:schemeClr val="bg1"/>
                </a:bgClr>
              </a:pattFill>
            </c:spPr>
          </c:dPt>
          <c:dPt>
            <c:idx val="8"/>
            <c:bubble3D val="0"/>
            <c:spPr>
              <a:pattFill prst="dkDnDiag">
                <a:fgClr>
                  <a:schemeClr val="tx2">
                    <a:lumMod val="60000"/>
                    <a:lumOff val="40000"/>
                  </a:schemeClr>
                </a:fgClr>
                <a:bgClr>
                  <a:schemeClr val="bg1"/>
                </a:bgClr>
              </a:pattFill>
            </c:spPr>
          </c:dPt>
          <c:dPt>
            <c:idx val="9"/>
            <c:bubble3D val="0"/>
            <c:spPr>
              <a:solidFill>
                <a:schemeClr val="accent3">
                  <a:lumMod val="40000"/>
                  <a:lumOff val="60000"/>
                </a:schemeClr>
              </a:solidFill>
            </c:spPr>
          </c:dPt>
          <c:dPt>
            <c:idx val="10"/>
            <c:bubble3D val="0"/>
            <c:spPr>
              <a:solidFill>
                <a:srgbClr val="92D050"/>
              </a:solidFill>
            </c:spPr>
          </c:dPt>
          <c:dPt>
            <c:idx val="11"/>
            <c:bubble3D val="0"/>
            <c:spPr>
              <a:solidFill>
                <a:schemeClr val="accent3">
                  <a:lumMod val="75000"/>
                </a:schemeClr>
              </a:solidFill>
            </c:spPr>
          </c:dPt>
          <c:cat>
            <c:strRef>
              <c:f>'Neobsazenost podle vzdělání'!$AJ$41:$AJ$52</c:f>
              <c:strCache>
                <c:ptCount val="12"/>
                <c:pt idx="0">
                  <c:v>bez a neúplné ZŠ</c:v>
                </c:pt>
                <c:pt idx="1">
                  <c:v>ZŠ</c:v>
                </c:pt>
                <c:pt idx="2">
                  <c:v>nižší střední</c:v>
                </c:pt>
                <c:pt idx="3">
                  <c:v>nižší střední odborné</c:v>
                </c:pt>
                <c:pt idx="4">
                  <c:v>Střední odb. (vyučen)</c:v>
                </c:pt>
                <c:pt idx="5">
                  <c:v>Střední odb. bez mat. a vyuč.</c:v>
                </c:pt>
                <c:pt idx="6">
                  <c:v> ÚSV</c:v>
                </c:pt>
                <c:pt idx="7">
                  <c:v>ÚSO (vyuč.+ mat.)</c:v>
                </c:pt>
                <c:pt idx="8">
                  <c:v>ÚSO s maturitou (bez vyučení)</c:v>
                </c:pt>
                <c:pt idx="9">
                  <c:v>VOŠ</c:v>
                </c:pt>
                <c:pt idx="10">
                  <c:v>bakalář.</c:v>
                </c:pt>
                <c:pt idx="11">
                  <c:v>VŠ (vč. doktor.)</c:v>
                </c:pt>
              </c:strCache>
            </c:strRef>
          </c:cat>
          <c:val>
            <c:numRef>
              <c:f>'Neobsazenost podle vzdělání'!$AK$41:$AK$52</c:f>
              <c:numCache>
                <c:formatCode>0.00%</c:formatCode>
                <c:ptCount val="12"/>
                <c:pt idx="0">
                  <c:v>3.4844876538836722E-2</c:v>
                </c:pt>
                <c:pt idx="1">
                  <c:v>0.47823148899994006</c:v>
                </c:pt>
                <c:pt idx="2">
                  <c:v>9.5858833018163583E-3</c:v>
                </c:pt>
                <c:pt idx="3">
                  <c:v>5.530820331445948E-2</c:v>
                </c:pt>
                <c:pt idx="4">
                  <c:v>0.24830653028081898</c:v>
                </c:pt>
                <c:pt idx="5">
                  <c:v>8.6975950822620295E-3</c:v>
                </c:pt>
                <c:pt idx="6">
                  <c:v>2.6833933699911171E-2</c:v>
                </c:pt>
                <c:pt idx="7">
                  <c:v>2.3940184960136023E-2</c:v>
                </c:pt>
                <c:pt idx="8">
                  <c:v>5.5706025645916327E-2</c:v>
                </c:pt>
                <c:pt idx="9">
                  <c:v>8.8447348486912734E-3</c:v>
                </c:pt>
                <c:pt idx="10">
                  <c:v>1.4991907312846392E-2</c:v>
                </c:pt>
                <c:pt idx="11">
                  <c:v>3.4708636014365198E-2</c:v>
                </c:pt>
              </c:numCache>
            </c:numRef>
          </c:val>
        </c:ser>
        <c:dLbls>
          <c:showLegendKey val="0"/>
          <c:showVal val="0"/>
          <c:showCatName val="0"/>
          <c:showSerName val="0"/>
          <c:showPercent val="0"/>
          <c:showBubbleSize val="0"/>
          <c:showLeaderLines val="1"/>
        </c:dLbls>
        <c:firstSliceAng val="0"/>
        <c:holeSize val="50"/>
      </c:doughnutChart>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785324380464715E-2"/>
          <c:y val="0.14351851851851852"/>
          <c:w val="0.88543242677487399"/>
          <c:h val="0.4127606445027705"/>
        </c:manualLayout>
      </c:layout>
      <c:barChart>
        <c:barDir val="bar"/>
        <c:grouping val="percentStacked"/>
        <c:varyColors val="0"/>
        <c:ser>
          <c:idx val="0"/>
          <c:order val="0"/>
          <c:tx>
            <c:strRef>
              <c:f>'Neobsazenost podle vzdělání'!$BA$25</c:f>
              <c:strCache>
                <c:ptCount val="1"/>
                <c:pt idx="0">
                  <c:v>bez a neúplné ZŠ</c:v>
                </c:pt>
              </c:strCache>
            </c:strRef>
          </c:tx>
          <c:spPr>
            <a:solidFill>
              <a:schemeClr val="accent2">
                <a:lumMod val="20000"/>
                <a:lumOff val="80000"/>
              </a:schemeClr>
            </a:solidFill>
          </c:spPr>
          <c:invertIfNegative val="0"/>
          <c:cat>
            <c:strRef>
              <c:f>('Neobsazenost podle vzdělání'!$U$24,'Neobsazenost podle vzdělání'!$X$24)</c:f>
              <c:strCache>
                <c:ptCount val="2"/>
                <c:pt idx="0">
                  <c:v>0-3M</c:v>
                </c:pt>
                <c:pt idx="1">
                  <c:v>nad 12M</c:v>
                </c:pt>
              </c:strCache>
            </c:strRef>
          </c:cat>
          <c:val>
            <c:numRef>
              <c:f>('Neobsazenost podle vzdělání'!$BC$25,'Neobsazenost podle vzdělání'!$BF$25)</c:f>
              <c:numCache>
                <c:formatCode>#,##0</c:formatCode>
                <c:ptCount val="2"/>
                <c:pt idx="0">
                  <c:v>4561</c:v>
                </c:pt>
                <c:pt idx="1">
                  <c:v>1483</c:v>
                </c:pt>
              </c:numCache>
            </c:numRef>
          </c:val>
        </c:ser>
        <c:ser>
          <c:idx val="1"/>
          <c:order val="1"/>
          <c:tx>
            <c:strRef>
              <c:f>'Neobsazenost podle vzdělání'!$BA$26</c:f>
              <c:strCache>
                <c:ptCount val="1"/>
                <c:pt idx="0">
                  <c:v>ZŠ</c:v>
                </c:pt>
              </c:strCache>
            </c:strRef>
          </c:tx>
          <c:spPr>
            <a:solidFill>
              <a:schemeClr val="accent2">
                <a:lumMod val="60000"/>
                <a:lumOff val="40000"/>
              </a:schemeClr>
            </a:solidFill>
          </c:spPr>
          <c:invertIfNegative val="0"/>
          <c:cat>
            <c:strRef>
              <c:f>('Neobsazenost podle vzdělání'!$U$24,'Neobsazenost podle vzdělání'!$X$24)</c:f>
              <c:strCache>
                <c:ptCount val="2"/>
                <c:pt idx="0">
                  <c:v>0-3M</c:v>
                </c:pt>
                <c:pt idx="1">
                  <c:v>nad 12M</c:v>
                </c:pt>
              </c:strCache>
            </c:strRef>
          </c:cat>
          <c:val>
            <c:numRef>
              <c:f>('Neobsazenost podle vzdělání'!$BC$26,'Neobsazenost podle vzdělání'!$BF$26)</c:f>
              <c:numCache>
                <c:formatCode>#,##0</c:formatCode>
                <c:ptCount val="2"/>
                <c:pt idx="0">
                  <c:v>51722</c:v>
                </c:pt>
                <c:pt idx="1">
                  <c:v>22673</c:v>
                </c:pt>
              </c:numCache>
            </c:numRef>
          </c:val>
        </c:ser>
        <c:ser>
          <c:idx val="2"/>
          <c:order val="2"/>
          <c:tx>
            <c:strRef>
              <c:f>'Neobsazenost podle vzdělání'!$BA$27</c:f>
              <c:strCache>
                <c:ptCount val="1"/>
                <c:pt idx="0">
                  <c:v>nižší střední</c:v>
                </c:pt>
              </c:strCache>
            </c:strRef>
          </c:tx>
          <c:spPr>
            <a:solidFill>
              <a:schemeClr val="accent4">
                <a:lumMod val="60000"/>
                <a:lumOff val="40000"/>
              </a:schemeClr>
            </a:solidFill>
          </c:spPr>
          <c:invertIfNegative val="0"/>
          <c:cat>
            <c:strRef>
              <c:f>('Neobsazenost podle vzdělání'!$U$24,'Neobsazenost podle vzdělání'!$X$24)</c:f>
              <c:strCache>
                <c:ptCount val="2"/>
                <c:pt idx="0">
                  <c:v>0-3M</c:v>
                </c:pt>
                <c:pt idx="1">
                  <c:v>nad 12M</c:v>
                </c:pt>
              </c:strCache>
            </c:strRef>
          </c:cat>
          <c:val>
            <c:numRef>
              <c:f>('Neobsazenost podle vzdělání'!$BC$27,'Neobsazenost podle vzdělání'!$BF$27)</c:f>
              <c:numCache>
                <c:formatCode>#,##0</c:formatCode>
                <c:ptCount val="2"/>
                <c:pt idx="0">
                  <c:v>848</c:v>
                </c:pt>
                <c:pt idx="1">
                  <c:v>461</c:v>
                </c:pt>
              </c:numCache>
            </c:numRef>
          </c:val>
        </c:ser>
        <c:ser>
          <c:idx val="3"/>
          <c:order val="3"/>
          <c:tx>
            <c:strRef>
              <c:f>'Neobsazenost podle vzdělání'!$BA$28</c:f>
              <c:strCache>
                <c:ptCount val="1"/>
                <c:pt idx="0">
                  <c:v>nižší střední odborné</c:v>
                </c:pt>
              </c:strCache>
            </c:strRef>
          </c:tx>
          <c:spPr>
            <a:solidFill>
              <a:srgbClr val="CC99FF"/>
            </a:solidFill>
          </c:spPr>
          <c:invertIfNegative val="0"/>
          <c:cat>
            <c:strRef>
              <c:f>('Neobsazenost podle vzdělání'!$U$24,'Neobsazenost podle vzdělání'!$X$24)</c:f>
              <c:strCache>
                <c:ptCount val="2"/>
                <c:pt idx="0">
                  <c:v>0-3M</c:v>
                </c:pt>
                <c:pt idx="1">
                  <c:v>nad 12M</c:v>
                </c:pt>
              </c:strCache>
            </c:strRef>
          </c:cat>
          <c:val>
            <c:numRef>
              <c:f>('Neobsazenost podle vzdělání'!$BC$28,'Neobsazenost podle vzdělání'!$BF$28)</c:f>
              <c:numCache>
                <c:formatCode>#,##0</c:formatCode>
                <c:ptCount val="2"/>
                <c:pt idx="0">
                  <c:v>4186</c:v>
                </c:pt>
                <c:pt idx="1">
                  <c:v>2396</c:v>
                </c:pt>
              </c:numCache>
            </c:numRef>
          </c:val>
        </c:ser>
        <c:ser>
          <c:idx val="4"/>
          <c:order val="4"/>
          <c:tx>
            <c:strRef>
              <c:f>'Neobsazenost podle vzdělání'!$BA$29</c:f>
              <c:strCache>
                <c:ptCount val="1"/>
                <c:pt idx="0">
                  <c:v>Střední odb. (vyučen)</c:v>
                </c:pt>
              </c:strCache>
            </c:strRef>
          </c:tx>
          <c:spPr>
            <a:solidFill>
              <a:schemeClr val="accent1">
                <a:lumMod val="40000"/>
                <a:lumOff val="60000"/>
              </a:schemeClr>
            </a:solidFill>
          </c:spPr>
          <c:invertIfNegative val="0"/>
          <c:cat>
            <c:strRef>
              <c:f>('Neobsazenost podle vzdělání'!$U$24,'Neobsazenost podle vzdělání'!$X$24)</c:f>
              <c:strCache>
                <c:ptCount val="2"/>
                <c:pt idx="0">
                  <c:v>0-3M</c:v>
                </c:pt>
                <c:pt idx="1">
                  <c:v>nad 12M</c:v>
                </c:pt>
              </c:strCache>
            </c:strRef>
          </c:cat>
          <c:val>
            <c:numRef>
              <c:f>('Neobsazenost podle vzdělání'!$BC$29,'Neobsazenost podle vzdělání'!$BF$29)</c:f>
              <c:numCache>
                <c:formatCode>#,##0</c:formatCode>
                <c:ptCount val="2"/>
                <c:pt idx="0">
                  <c:v>13613</c:v>
                </c:pt>
                <c:pt idx="1">
                  <c:v>12243</c:v>
                </c:pt>
              </c:numCache>
            </c:numRef>
          </c:val>
        </c:ser>
        <c:ser>
          <c:idx val="5"/>
          <c:order val="5"/>
          <c:tx>
            <c:strRef>
              <c:f>'Neobsazenost podle vzdělání'!$BA$30</c:f>
              <c:strCache>
                <c:ptCount val="1"/>
                <c:pt idx="0">
                  <c:v>Střední odb. bez mat. a vyuč.</c:v>
                </c:pt>
              </c:strCache>
            </c:strRef>
          </c:tx>
          <c:spPr>
            <a:solidFill>
              <a:schemeClr val="accent1">
                <a:lumMod val="75000"/>
              </a:schemeClr>
            </a:solidFill>
          </c:spPr>
          <c:invertIfNegative val="0"/>
          <c:cat>
            <c:strRef>
              <c:f>('Neobsazenost podle vzdělání'!$U$24,'Neobsazenost podle vzdělání'!$X$24)</c:f>
              <c:strCache>
                <c:ptCount val="2"/>
                <c:pt idx="0">
                  <c:v>0-3M</c:v>
                </c:pt>
                <c:pt idx="1">
                  <c:v>nad 12M</c:v>
                </c:pt>
              </c:strCache>
            </c:strRef>
          </c:cat>
          <c:val>
            <c:numRef>
              <c:f>('Neobsazenost podle vzdělání'!$BC$30,'Neobsazenost podle vzdělání'!$BF$30)</c:f>
              <c:numCache>
                <c:formatCode>#,##0</c:formatCode>
                <c:ptCount val="2"/>
                <c:pt idx="0">
                  <c:v>671</c:v>
                </c:pt>
                <c:pt idx="1">
                  <c:v>301</c:v>
                </c:pt>
              </c:numCache>
            </c:numRef>
          </c:val>
        </c:ser>
        <c:ser>
          <c:idx val="6"/>
          <c:order val="6"/>
          <c:tx>
            <c:strRef>
              <c:f>'Neobsazenost podle vzdělání'!$BA$31</c:f>
              <c:strCache>
                <c:ptCount val="1"/>
                <c:pt idx="0">
                  <c:v> ÚSV</c:v>
                </c:pt>
              </c:strCache>
            </c:strRef>
          </c:tx>
          <c:spPr>
            <a:solidFill>
              <a:srgbClr val="99CCFF"/>
            </a:solidFill>
          </c:spPr>
          <c:invertIfNegative val="0"/>
          <c:cat>
            <c:strRef>
              <c:f>('Neobsazenost podle vzdělání'!$U$24,'Neobsazenost podle vzdělání'!$X$24)</c:f>
              <c:strCache>
                <c:ptCount val="2"/>
                <c:pt idx="0">
                  <c:v>0-3M</c:v>
                </c:pt>
                <c:pt idx="1">
                  <c:v>nad 12M</c:v>
                </c:pt>
              </c:strCache>
            </c:strRef>
          </c:cat>
          <c:val>
            <c:numRef>
              <c:f>('Neobsazenost podle vzdělání'!$BC$31,'Neobsazenost podle vzdělání'!$BF$31)</c:f>
              <c:numCache>
                <c:formatCode>#,##0</c:formatCode>
                <c:ptCount val="2"/>
                <c:pt idx="0">
                  <c:v>2466</c:v>
                </c:pt>
                <c:pt idx="1">
                  <c:v>1116</c:v>
                </c:pt>
              </c:numCache>
            </c:numRef>
          </c:val>
        </c:ser>
        <c:ser>
          <c:idx val="7"/>
          <c:order val="7"/>
          <c:tx>
            <c:strRef>
              <c:f>'Neobsazenost podle vzdělání'!$BA$32</c:f>
              <c:strCache>
                <c:ptCount val="1"/>
                <c:pt idx="0">
                  <c:v>ÚSO (vyuč.+ mat.)</c:v>
                </c:pt>
              </c:strCache>
            </c:strRef>
          </c:tx>
          <c:spPr>
            <a:solidFill>
              <a:srgbClr val="00B0F0"/>
            </a:solidFill>
          </c:spPr>
          <c:invertIfNegative val="0"/>
          <c:cat>
            <c:strRef>
              <c:f>('Neobsazenost podle vzdělání'!$U$24,'Neobsazenost podle vzdělání'!$X$24)</c:f>
              <c:strCache>
                <c:ptCount val="2"/>
                <c:pt idx="0">
                  <c:v>0-3M</c:v>
                </c:pt>
                <c:pt idx="1">
                  <c:v>nad 12M</c:v>
                </c:pt>
              </c:strCache>
            </c:strRef>
          </c:cat>
          <c:val>
            <c:numRef>
              <c:f>('Neobsazenost podle vzdělání'!$BC$32,'Neobsazenost podle vzdělání'!$BF$32)</c:f>
              <c:numCache>
                <c:formatCode>#,##0</c:formatCode>
                <c:ptCount val="2"/>
                <c:pt idx="0">
                  <c:v>1557</c:v>
                </c:pt>
                <c:pt idx="1">
                  <c:v>1111</c:v>
                </c:pt>
              </c:numCache>
            </c:numRef>
          </c:val>
        </c:ser>
        <c:ser>
          <c:idx val="8"/>
          <c:order val="8"/>
          <c:tx>
            <c:strRef>
              <c:f>'Neobsazenost podle vzdělání'!$BA$33</c:f>
              <c:strCache>
                <c:ptCount val="1"/>
                <c:pt idx="0">
                  <c:v>ÚSO s maturitou (bez vyučení)</c:v>
                </c:pt>
              </c:strCache>
            </c:strRef>
          </c:tx>
          <c:spPr>
            <a:solidFill>
              <a:schemeClr val="tx2"/>
            </a:solidFill>
          </c:spPr>
          <c:invertIfNegative val="0"/>
          <c:cat>
            <c:strRef>
              <c:f>('Neobsazenost podle vzdělání'!$U$24,'Neobsazenost podle vzdělání'!$X$24)</c:f>
              <c:strCache>
                <c:ptCount val="2"/>
                <c:pt idx="0">
                  <c:v>0-3M</c:v>
                </c:pt>
                <c:pt idx="1">
                  <c:v>nad 12M</c:v>
                </c:pt>
              </c:strCache>
            </c:strRef>
          </c:cat>
          <c:val>
            <c:numRef>
              <c:f>('Neobsazenost podle vzdělání'!$BC$33,'Neobsazenost podle vzdělání'!$BF$33)</c:f>
              <c:numCache>
                <c:formatCode>#,##0</c:formatCode>
                <c:ptCount val="2"/>
                <c:pt idx="0">
                  <c:v>4077</c:v>
                </c:pt>
                <c:pt idx="1">
                  <c:v>2604</c:v>
                </c:pt>
              </c:numCache>
            </c:numRef>
          </c:val>
        </c:ser>
        <c:ser>
          <c:idx val="9"/>
          <c:order val="9"/>
          <c:tx>
            <c:strRef>
              <c:f>'Neobsazenost podle vzdělání'!$BA$34</c:f>
              <c:strCache>
                <c:ptCount val="1"/>
                <c:pt idx="0">
                  <c:v>VOŠ</c:v>
                </c:pt>
              </c:strCache>
            </c:strRef>
          </c:tx>
          <c:spPr>
            <a:solidFill>
              <a:schemeClr val="accent5">
                <a:lumMod val="60000"/>
                <a:lumOff val="40000"/>
              </a:schemeClr>
            </a:solidFill>
          </c:spPr>
          <c:invertIfNegative val="0"/>
          <c:cat>
            <c:strRef>
              <c:f>('Neobsazenost podle vzdělání'!$U$24,'Neobsazenost podle vzdělání'!$X$24)</c:f>
              <c:strCache>
                <c:ptCount val="2"/>
                <c:pt idx="0">
                  <c:v>0-3M</c:v>
                </c:pt>
                <c:pt idx="1">
                  <c:v>nad 12M</c:v>
                </c:pt>
              </c:strCache>
            </c:strRef>
          </c:cat>
          <c:val>
            <c:numRef>
              <c:f>('Neobsazenost podle vzdělání'!$BC$34,'Neobsazenost podle vzdělání'!$BF$34)</c:f>
              <c:numCache>
                <c:formatCode>#,##0</c:formatCode>
                <c:ptCount val="2"/>
                <c:pt idx="0">
                  <c:v>604</c:v>
                </c:pt>
                <c:pt idx="1">
                  <c:v>492</c:v>
                </c:pt>
              </c:numCache>
            </c:numRef>
          </c:val>
        </c:ser>
        <c:ser>
          <c:idx val="10"/>
          <c:order val="10"/>
          <c:tx>
            <c:strRef>
              <c:f>'Neobsazenost podle vzdělání'!$BA$35</c:f>
              <c:strCache>
                <c:ptCount val="1"/>
                <c:pt idx="0">
                  <c:v>bakalář.</c:v>
                </c:pt>
              </c:strCache>
            </c:strRef>
          </c:tx>
          <c:spPr>
            <a:solidFill>
              <a:schemeClr val="accent3">
                <a:lumMod val="60000"/>
                <a:lumOff val="40000"/>
              </a:schemeClr>
            </a:solidFill>
          </c:spPr>
          <c:invertIfNegative val="0"/>
          <c:cat>
            <c:strRef>
              <c:f>('Neobsazenost podle vzdělání'!$U$24,'Neobsazenost podle vzdělání'!$X$24)</c:f>
              <c:strCache>
                <c:ptCount val="2"/>
                <c:pt idx="0">
                  <c:v>0-3M</c:v>
                </c:pt>
                <c:pt idx="1">
                  <c:v>nad 12M</c:v>
                </c:pt>
              </c:strCache>
            </c:strRef>
          </c:cat>
          <c:val>
            <c:numRef>
              <c:f>('Neobsazenost podle vzdělání'!$BC$35,'Neobsazenost podle vzdělání'!$BF$35)</c:f>
              <c:numCache>
                <c:formatCode>#,##0</c:formatCode>
                <c:ptCount val="2"/>
                <c:pt idx="0">
                  <c:v>1151</c:v>
                </c:pt>
                <c:pt idx="1">
                  <c:v>1186</c:v>
                </c:pt>
              </c:numCache>
            </c:numRef>
          </c:val>
        </c:ser>
        <c:ser>
          <c:idx val="11"/>
          <c:order val="11"/>
          <c:tx>
            <c:strRef>
              <c:f>'Neobsazenost podle vzdělání'!$BA$36</c:f>
              <c:strCache>
                <c:ptCount val="1"/>
                <c:pt idx="0">
                  <c:v>VŠ (vč. doktor.)</c:v>
                </c:pt>
              </c:strCache>
            </c:strRef>
          </c:tx>
          <c:spPr>
            <a:solidFill>
              <a:schemeClr val="accent3">
                <a:lumMod val="50000"/>
              </a:schemeClr>
            </a:solidFill>
          </c:spPr>
          <c:invertIfNegative val="0"/>
          <c:cat>
            <c:strRef>
              <c:f>('Neobsazenost podle vzdělání'!$U$24,'Neobsazenost podle vzdělání'!$X$24)</c:f>
              <c:strCache>
                <c:ptCount val="2"/>
                <c:pt idx="0">
                  <c:v>0-3M</c:v>
                </c:pt>
                <c:pt idx="1">
                  <c:v>nad 12M</c:v>
                </c:pt>
              </c:strCache>
            </c:strRef>
          </c:cat>
          <c:val>
            <c:numRef>
              <c:f>('Neobsazenost podle vzdělání'!$BC$36,'Neobsazenost podle vzdělání'!$BF$36)</c:f>
              <c:numCache>
                <c:formatCode>#,##0</c:formatCode>
                <c:ptCount val="2"/>
                <c:pt idx="0">
                  <c:v>1773</c:v>
                </c:pt>
                <c:pt idx="1">
                  <c:v>2149</c:v>
                </c:pt>
              </c:numCache>
            </c:numRef>
          </c:val>
        </c:ser>
        <c:dLbls>
          <c:showLegendKey val="0"/>
          <c:showVal val="0"/>
          <c:showCatName val="0"/>
          <c:showSerName val="0"/>
          <c:showPercent val="0"/>
          <c:showBubbleSize val="0"/>
        </c:dLbls>
        <c:gapWidth val="150"/>
        <c:overlap val="100"/>
        <c:axId val="29543424"/>
        <c:axId val="29553408"/>
      </c:barChart>
      <c:catAx>
        <c:axId val="29543424"/>
        <c:scaling>
          <c:orientation val="minMax"/>
        </c:scaling>
        <c:delete val="0"/>
        <c:axPos val="l"/>
        <c:majorTickMark val="out"/>
        <c:minorTickMark val="none"/>
        <c:tickLblPos val="nextTo"/>
        <c:txPr>
          <a:bodyPr/>
          <a:lstStyle/>
          <a:p>
            <a:pPr>
              <a:defRPr sz="800"/>
            </a:pPr>
            <a:endParaRPr lang="cs-CZ"/>
          </a:p>
        </c:txPr>
        <c:crossAx val="29553408"/>
        <c:crosses val="autoZero"/>
        <c:auto val="1"/>
        <c:lblAlgn val="ctr"/>
        <c:lblOffset val="100"/>
        <c:noMultiLvlLbl val="0"/>
      </c:catAx>
      <c:valAx>
        <c:axId val="29553408"/>
        <c:scaling>
          <c:orientation val="minMax"/>
        </c:scaling>
        <c:delete val="0"/>
        <c:axPos val="b"/>
        <c:majorGridlines/>
        <c:minorGridlines/>
        <c:numFmt formatCode="0%" sourceLinked="1"/>
        <c:majorTickMark val="out"/>
        <c:minorTickMark val="none"/>
        <c:tickLblPos val="nextTo"/>
        <c:txPr>
          <a:bodyPr/>
          <a:lstStyle/>
          <a:p>
            <a:pPr>
              <a:defRPr sz="800"/>
            </a:pPr>
            <a:endParaRPr lang="cs-CZ"/>
          </a:p>
        </c:txPr>
        <c:crossAx val="29543424"/>
        <c:crosses val="autoZero"/>
        <c:crossBetween val="between"/>
        <c:minorUnit val="1.0000000000000002E-2"/>
      </c:valAx>
    </c:plotArea>
    <c:legend>
      <c:legendPos val="b"/>
      <c:layout>
        <c:manualLayout>
          <c:xMode val="edge"/>
          <c:yMode val="edge"/>
          <c:x val="6.1803455549651387E-2"/>
          <c:y val="0.70137977544473606"/>
          <c:w val="0.87639308890069723"/>
          <c:h val="0.23843503937007873"/>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315221093546514E-2"/>
          <c:y val="4.5478028773235868E-2"/>
          <c:w val="0.68072258736253011"/>
          <c:h val="0.82776246719160107"/>
        </c:manualLayout>
      </c:layout>
      <c:barChart>
        <c:barDir val="col"/>
        <c:grouping val="stacked"/>
        <c:varyColors val="0"/>
        <c:ser>
          <c:idx val="0"/>
          <c:order val="0"/>
          <c:tx>
            <c:strRef>
              <c:f>'Znevýhodněné sk.'!$AM$29</c:f>
              <c:strCache>
                <c:ptCount val="1"/>
                <c:pt idx="0">
                  <c:v>OZP</c:v>
                </c:pt>
              </c:strCache>
            </c:strRef>
          </c:tx>
          <c:invertIfNegative val="0"/>
          <c:cat>
            <c:strRef>
              <c:f>'Znevýhodněné sk.'!$AK$31:$AK$45</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'Znevýhodněné sk.'!$AM$31:$AM$45</c:f>
              <c:numCache>
                <c:formatCode>0.00%</c:formatCode>
                <c:ptCount val="15"/>
                <c:pt idx="0">
                  <c:v>0.16395481433967643</c:v>
                </c:pt>
                <c:pt idx="1">
                  <c:v>9.9554780373617299E-2</c:v>
                </c:pt>
                <c:pt idx="2">
                  <c:v>0.14862104187946884</c:v>
                </c:pt>
                <c:pt idx="3">
                  <c:v>0.18168934240362811</c:v>
                </c:pt>
                <c:pt idx="4">
                  <c:v>0.20870970809166112</c:v>
                </c:pt>
                <c:pt idx="5">
                  <c:v>0.12005876068376069</c:v>
                </c:pt>
                <c:pt idx="6">
                  <c:v>0.17279994924179937</c:v>
                </c:pt>
                <c:pt idx="7">
                  <c:v>0.16002023438158672</c:v>
                </c:pt>
                <c:pt idx="8">
                  <c:v>0.1800057235524182</c:v>
                </c:pt>
                <c:pt idx="9">
                  <c:v>0.19631599684791173</c:v>
                </c:pt>
                <c:pt idx="10">
                  <c:v>0.19319581280788178</c:v>
                </c:pt>
                <c:pt idx="11">
                  <c:v>0.16245642263341378</c:v>
                </c:pt>
                <c:pt idx="12">
                  <c:v>0.16614580664993084</c:v>
                </c:pt>
                <c:pt idx="13">
                  <c:v>0.19052706552706553</c:v>
                </c:pt>
                <c:pt idx="14">
                  <c:v>0.163800594095419</c:v>
                </c:pt>
              </c:numCache>
            </c:numRef>
          </c:val>
        </c:ser>
        <c:ser>
          <c:idx val="1"/>
          <c:order val="1"/>
          <c:tx>
            <c:strRef>
              <c:f>'Znevýhodněné sk.'!$AN$29</c:f>
              <c:strCache>
                <c:ptCount val="1"/>
                <c:pt idx="0">
                  <c:v>pečující o děti do 15 let</c:v>
                </c:pt>
              </c:strCache>
            </c:strRef>
          </c:tx>
          <c:invertIfNegative val="0"/>
          <c:cat>
            <c:strRef>
              <c:f>'Znevýhodněné sk.'!$AK$31:$AK$45</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'Znevýhodněné sk.'!$AN$31:$AN$45</c:f>
              <c:numCache>
                <c:formatCode>0.00%</c:formatCode>
                <c:ptCount val="15"/>
                <c:pt idx="0">
                  <c:v>0.16604661107547572</c:v>
                </c:pt>
                <c:pt idx="1">
                  <c:v>0.11309496488731813</c:v>
                </c:pt>
                <c:pt idx="2">
                  <c:v>0.1878106911814777</c:v>
                </c:pt>
                <c:pt idx="3">
                  <c:v>0.15710034013605442</c:v>
                </c:pt>
                <c:pt idx="4">
                  <c:v>0.17276789959113817</c:v>
                </c:pt>
                <c:pt idx="5">
                  <c:v>0.20272435897435898</c:v>
                </c:pt>
                <c:pt idx="6">
                  <c:v>0.188090857179113</c:v>
                </c:pt>
                <c:pt idx="7">
                  <c:v>0.1922266250737712</c:v>
                </c:pt>
                <c:pt idx="8">
                  <c:v>0.15157874654202041</c:v>
                </c:pt>
                <c:pt idx="9">
                  <c:v>0.16528762805358549</c:v>
                </c:pt>
                <c:pt idx="10">
                  <c:v>0.16179187192118227</c:v>
                </c:pt>
                <c:pt idx="11">
                  <c:v>0.16417270045588631</c:v>
                </c:pt>
                <c:pt idx="12">
                  <c:v>0.14288641836159641</c:v>
                </c:pt>
                <c:pt idx="13">
                  <c:v>0.18276353276353277</c:v>
                </c:pt>
                <c:pt idx="14">
                  <c:v>0.16184048335926607</c:v>
                </c:pt>
              </c:numCache>
            </c:numRef>
          </c:val>
        </c:ser>
        <c:ser>
          <c:idx val="2"/>
          <c:order val="2"/>
          <c:tx>
            <c:strRef>
              <c:f>'Znevýhodněné sk.'!$AO$29</c:f>
              <c:strCache>
                <c:ptCount val="1"/>
                <c:pt idx="0">
                  <c:v>těhotné kojící, do 9m po porodu</c:v>
                </c:pt>
              </c:strCache>
            </c:strRef>
          </c:tx>
          <c:invertIfNegative val="0"/>
          <c:cat>
            <c:strRef>
              <c:f>'Znevýhodněné sk.'!$AK$31:$AK$45</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'Znevýhodněné sk.'!$AO$31:$AO$45</c:f>
              <c:numCache>
                <c:formatCode>0.00%</c:formatCode>
                <c:ptCount val="15"/>
                <c:pt idx="0">
                  <c:v>1.478155512793101E-2</c:v>
                </c:pt>
                <c:pt idx="1">
                  <c:v>9.5469775554229593E-3</c:v>
                </c:pt>
                <c:pt idx="2">
                  <c:v>1.5355805243445693E-2</c:v>
                </c:pt>
                <c:pt idx="3">
                  <c:v>1.5943877551020409E-2</c:v>
                </c:pt>
                <c:pt idx="4">
                  <c:v>1.73053152039555E-2</c:v>
                </c:pt>
                <c:pt idx="5">
                  <c:v>1.8963675213675212E-2</c:v>
                </c:pt>
                <c:pt idx="6">
                  <c:v>1.6940549457521731E-2</c:v>
                </c:pt>
                <c:pt idx="7">
                  <c:v>1.5597335806424415E-2</c:v>
                </c:pt>
                <c:pt idx="8">
                  <c:v>1.0016216731851569E-2</c:v>
                </c:pt>
                <c:pt idx="9">
                  <c:v>1.7631993695823484E-2</c:v>
                </c:pt>
                <c:pt idx="10">
                  <c:v>1.6471674876847291E-2</c:v>
                </c:pt>
                <c:pt idx="11">
                  <c:v>1.415929203539823E-2</c:v>
                </c:pt>
                <c:pt idx="12">
                  <c:v>1.2859265331215739E-2</c:v>
                </c:pt>
                <c:pt idx="13">
                  <c:v>1.7450142450142449E-2</c:v>
                </c:pt>
                <c:pt idx="14">
                  <c:v>1.4124921696607189E-2</c:v>
                </c:pt>
              </c:numCache>
            </c:numRef>
          </c:val>
        </c:ser>
        <c:ser>
          <c:idx val="3"/>
          <c:order val="3"/>
          <c:tx>
            <c:strRef>
              <c:f>'Znevýhodněné sk.'!$AP$29</c:f>
              <c:strCache>
                <c:ptCount val="1"/>
                <c:pt idx="0">
                  <c:v>do 25 let</c:v>
                </c:pt>
              </c:strCache>
            </c:strRef>
          </c:tx>
          <c:invertIfNegative val="0"/>
          <c:cat>
            <c:strRef>
              <c:f>'Znevýhodněné sk.'!$AK$31:$AK$45</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'Znevýhodněné sk.'!$AP$31:$AP$45</c:f>
              <c:numCache>
                <c:formatCode>0.00%</c:formatCode>
                <c:ptCount val="15"/>
                <c:pt idx="0">
                  <c:v>0.1115244815052384</c:v>
                </c:pt>
                <c:pt idx="1">
                  <c:v>8.5968696929361543E-2</c:v>
                </c:pt>
                <c:pt idx="2">
                  <c:v>0.11991828396322779</c:v>
                </c:pt>
                <c:pt idx="3">
                  <c:v>0.11401643990929705</c:v>
                </c:pt>
                <c:pt idx="4">
                  <c:v>0.1072549206047352</c:v>
                </c:pt>
                <c:pt idx="5">
                  <c:v>0.11191239316239317</c:v>
                </c:pt>
                <c:pt idx="6">
                  <c:v>0.12737135968529917</c:v>
                </c:pt>
                <c:pt idx="7">
                  <c:v>0.12772953376612428</c:v>
                </c:pt>
                <c:pt idx="8">
                  <c:v>0.12868453686921683</c:v>
                </c:pt>
                <c:pt idx="9">
                  <c:v>0.12519700551615445</c:v>
                </c:pt>
                <c:pt idx="10">
                  <c:v>0.11260775862068965</c:v>
                </c:pt>
                <c:pt idx="11">
                  <c:v>0.11163850898364172</c:v>
                </c:pt>
                <c:pt idx="12">
                  <c:v>0.10195194425943951</c:v>
                </c:pt>
                <c:pt idx="13">
                  <c:v>0.10698005698005698</c:v>
                </c:pt>
                <c:pt idx="14">
                  <c:v>0.10220866086042799</c:v>
                </c:pt>
              </c:numCache>
            </c:numRef>
          </c:val>
        </c:ser>
        <c:ser>
          <c:idx val="4"/>
          <c:order val="4"/>
          <c:tx>
            <c:strRef>
              <c:f>'Znevýhodněné sk.'!$AQ$29</c:f>
              <c:strCache>
                <c:ptCount val="1"/>
                <c:pt idx="0">
                  <c:v>nad 50 let</c:v>
                </c:pt>
              </c:strCache>
            </c:strRef>
          </c:tx>
          <c:invertIfNegative val="0"/>
          <c:cat>
            <c:strRef>
              <c:f>'Znevýhodněné sk.'!$AK$31:$AK$45</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'Znevýhodněné sk.'!$AQ$31:$AQ$45</c:f>
              <c:numCache>
                <c:formatCode>0.00%</c:formatCode>
                <c:ptCount val="15"/>
                <c:pt idx="0">
                  <c:v>0.36438956596108618</c:v>
                </c:pt>
                <c:pt idx="1">
                  <c:v>0.32519392298159455</c:v>
                </c:pt>
                <c:pt idx="2">
                  <c:v>0.35335376234252641</c:v>
                </c:pt>
                <c:pt idx="3">
                  <c:v>0.37067743764172334</c:v>
                </c:pt>
                <c:pt idx="4">
                  <c:v>0.38566131025957973</c:v>
                </c:pt>
                <c:pt idx="5">
                  <c:v>0.37353098290598291</c:v>
                </c:pt>
                <c:pt idx="6">
                  <c:v>0.34153924243385569</c:v>
                </c:pt>
                <c:pt idx="7">
                  <c:v>0.33403591602731642</c:v>
                </c:pt>
                <c:pt idx="8">
                  <c:v>0.35943909186301631</c:v>
                </c:pt>
                <c:pt idx="9">
                  <c:v>0.36534672970843185</c:v>
                </c:pt>
                <c:pt idx="10">
                  <c:v>0.38138854679802958</c:v>
                </c:pt>
                <c:pt idx="11">
                  <c:v>0.34703673907213728</c:v>
                </c:pt>
                <c:pt idx="12">
                  <c:v>0.38547056713971001</c:v>
                </c:pt>
                <c:pt idx="13">
                  <c:v>0.3891737891737892</c:v>
                </c:pt>
                <c:pt idx="14">
                  <c:v>0.39644755188231251</c:v>
                </c:pt>
              </c:numCache>
            </c:numRef>
          </c:val>
        </c:ser>
        <c:ser>
          <c:idx val="5"/>
          <c:order val="5"/>
          <c:tx>
            <c:strRef>
              <c:f>'Znevýhodněné sk.'!$AR$29</c:f>
              <c:strCache>
                <c:ptCount val="1"/>
                <c:pt idx="0">
                  <c:v>bez vzděl. nebo se ZŠ</c:v>
                </c:pt>
              </c:strCache>
            </c:strRef>
          </c:tx>
          <c:invertIfNegative val="0"/>
          <c:cat>
            <c:strRef>
              <c:f>'Znevýhodněné sk.'!$AK$31:$AK$45</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'Znevýhodněné sk.'!$AR$31:$AR$45</c:f>
              <c:numCache>
                <c:formatCode>0.00%</c:formatCode>
                <c:ptCount val="15"/>
                <c:pt idx="0">
                  <c:v>0.30629677143468037</c:v>
                </c:pt>
                <c:pt idx="1">
                  <c:v>0.21035479873318952</c:v>
                </c:pt>
                <c:pt idx="2">
                  <c:v>0.29574395641811374</c:v>
                </c:pt>
                <c:pt idx="3">
                  <c:v>0.26190476190476192</c:v>
                </c:pt>
                <c:pt idx="4">
                  <c:v>0.30037082818294192</c:v>
                </c:pt>
                <c:pt idx="5">
                  <c:v>0.53098290598290598</c:v>
                </c:pt>
                <c:pt idx="6">
                  <c:v>0.47792018272952225</c:v>
                </c:pt>
                <c:pt idx="7">
                  <c:v>0.3360593541859877</c:v>
                </c:pt>
                <c:pt idx="8">
                  <c:v>0.30745015739769149</c:v>
                </c:pt>
                <c:pt idx="9">
                  <c:v>0.27610323089046496</c:v>
                </c:pt>
                <c:pt idx="10">
                  <c:v>0.18549876847290642</c:v>
                </c:pt>
                <c:pt idx="11">
                  <c:v>0.25636899973183158</c:v>
                </c:pt>
                <c:pt idx="12">
                  <c:v>0.28310876581792099</c:v>
                </c:pt>
                <c:pt idx="13">
                  <c:v>0.19252136752136753</c:v>
                </c:pt>
                <c:pt idx="14">
                  <c:v>0.33497686261038251</c:v>
                </c:pt>
              </c:numCache>
            </c:numRef>
          </c:val>
        </c:ser>
        <c:ser>
          <c:idx val="6"/>
          <c:order val="6"/>
          <c:tx>
            <c:strRef>
              <c:f>'Znevýhodněné sk.'!$AT$30</c:f>
              <c:strCache>
                <c:ptCount val="1"/>
                <c:pt idx="0">
                  <c:v>12M-24M</c:v>
                </c:pt>
              </c:strCache>
            </c:strRef>
          </c:tx>
          <c:invertIfNegative val="0"/>
          <c:cat>
            <c:strRef>
              <c:f>'Znevýhodněné sk.'!$AK$31:$AK$45</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'Znevýhodněné sk.'!$AT$31:$AT$45</c:f>
              <c:numCache>
                <c:formatCode>0.00%</c:formatCode>
                <c:ptCount val="15"/>
                <c:pt idx="0">
                  <c:v>0.10370251585774357</c:v>
                </c:pt>
                <c:pt idx="1">
                  <c:v>0.11745536329003534</c:v>
                </c:pt>
                <c:pt idx="2">
                  <c:v>0.10251957780047667</c:v>
                </c:pt>
                <c:pt idx="3">
                  <c:v>8.4112811791383219E-2</c:v>
                </c:pt>
                <c:pt idx="4">
                  <c:v>7.7588665969382908E-2</c:v>
                </c:pt>
                <c:pt idx="5">
                  <c:v>9.2013888888888895E-2</c:v>
                </c:pt>
                <c:pt idx="6">
                  <c:v>0.11794936869487976</c:v>
                </c:pt>
                <c:pt idx="7">
                  <c:v>0.10597757356040806</c:v>
                </c:pt>
                <c:pt idx="8">
                  <c:v>8.2419154822092916E-2</c:v>
                </c:pt>
                <c:pt idx="9">
                  <c:v>8.0378250591016553E-2</c:v>
                </c:pt>
                <c:pt idx="10">
                  <c:v>8.6129926108374388E-2</c:v>
                </c:pt>
                <c:pt idx="11">
                  <c:v>0.11032448377581121</c:v>
                </c:pt>
                <c:pt idx="12">
                  <c:v>0.10184947999385215</c:v>
                </c:pt>
                <c:pt idx="13">
                  <c:v>0.10377492877492878</c:v>
                </c:pt>
                <c:pt idx="14">
                  <c:v>0.11126154343564977</c:v>
                </c:pt>
              </c:numCache>
            </c:numRef>
          </c:val>
        </c:ser>
        <c:ser>
          <c:idx val="7"/>
          <c:order val="7"/>
          <c:tx>
            <c:strRef>
              <c:f>'Znevýhodněné sk.'!$AU$30</c:f>
              <c:strCache>
                <c:ptCount val="1"/>
                <c:pt idx="0">
                  <c:v>nad 24M</c:v>
                </c:pt>
              </c:strCache>
            </c:strRef>
          </c:tx>
          <c:invertIfNegative val="0"/>
          <c:cat>
            <c:strRef>
              <c:f>'Znevýhodněné sk.'!$AK$31:$AK$45</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'Znevýhodněné sk.'!$AU$31:$AU$45</c:f>
              <c:numCache>
                <c:formatCode>0.00%</c:formatCode>
                <c:ptCount val="15"/>
                <c:pt idx="0">
                  <c:v>0.23309457629534602</c:v>
                </c:pt>
                <c:pt idx="1">
                  <c:v>0.18428420617799604</c:v>
                </c:pt>
                <c:pt idx="2">
                  <c:v>0.21120190670752467</c:v>
                </c:pt>
                <c:pt idx="3">
                  <c:v>0.13704648526077098</c:v>
                </c:pt>
                <c:pt idx="4">
                  <c:v>0.17837786441000286</c:v>
                </c:pt>
                <c:pt idx="5">
                  <c:v>0.2747061965811966</c:v>
                </c:pt>
                <c:pt idx="6">
                  <c:v>0.28932174354419138</c:v>
                </c:pt>
                <c:pt idx="7">
                  <c:v>0.20841413034314138</c:v>
                </c:pt>
                <c:pt idx="8">
                  <c:v>0.17008489936086998</c:v>
                </c:pt>
                <c:pt idx="9">
                  <c:v>0.13169818754925139</c:v>
                </c:pt>
                <c:pt idx="10">
                  <c:v>0.20120073891625614</c:v>
                </c:pt>
                <c:pt idx="11">
                  <c:v>0.24789487798337356</c:v>
                </c:pt>
                <c:pt idx="12">
                  <c:v>0.22875147292381781</c:v>
                </c:pt>
                <c:pt idx="13">
                  <c:v>0.18981481481481483</c:v>
                </c:pt>
                <c:pt idx="14">
                  <c:v>0.31575969446521307</c:v>
                </c:pt>
              </c:numCache>
            </c:numRef>
          </c:val>
        </c:ser>
        <c:dLbls>
          <c:showLegendKey val="0"/>
          <c:showVal val="0"/>
          <c:showCatName val="0"/>
          <c:showSerName val="0"/>
          <c:showPercent val="0"/>
          <c:showBubbleSize val="0"/>
        </c:dLbls>
        <c:gapWidth val="150"/>
        <c:overlap val="100"/>
        <c:axId val="29280128"/>
        <c:axId val="29281664"/>
      </c:barChart>
      <c:catAx>
        <c:axId val="29280128"/>
        <c:scaling>
          <c:orientation val="minMax"/>
        </c:scaling>
        <c:delete val="0"/>
        <c:axPos val="b"/>
        <c:majorTickMark val="out"/>
        <c:minorTickMark val="none"/>
        <c:tickLblPos val="nextTo"/>
        <c:txPr>
          <a:bodyPr/>
          <a:lstStyle/>
          <a:p>
            <a:pPr>
              <a:defRPr sz="800"/>
            </a:pPr>
            <a:endParaRPr lang="cs-CZ"/>
          </a:p>
        </c:txPr>
        <c:crossAx val="29281664"/>
        <c:crosses val="autoZero"/>
        <c:auto val="1"/>
        <c:lblAlgn val="ctr"/>
        <c:lblOffset val="100"/>
        <c:noMultiLvlLbl val="0"/>
      </c:catAx>
      <c:valAx>
        <c:axId val="29281664"/>
        <c:scaling>
          <c:orientation val="minMax"/>
          <c:max val="1.8"/>
          <c:min val="0"/>
        </c:scaling>
        <c:delete val="0"/>
        <c:axPos val="l"/>
        <c:majorGridlines/>
        <c:numFmt formatCode="0.00%" sourceLinked="1"/>
        <c:majorTickMark val="out"/>
        <c:minorTickMark val="none"/>
        <c:tickLblPos val="nextTo"/>
        <c:txPr>
          <a:bodyPr/>
          <a:lstStyle/>
          <a:p>
            <a:pPr>
              <a:defRPr sz="800"/>
            </a:pPr>
            <a:endParaRPr lang="cs-CZ"/>
          </a:p>
        </c:txPr>
        <c:crossAx val="29280128"/>
        <c:crosses val="autoZero"/>
        <c:crossBetween val="between"/>
      </c:valAx>
    </c:plotArea>
    <c:legend>
      <c:legendPos val="r"/>
      <c:layout>
        <c:manualLayout>
          <c:xMode val="edge"/>
          <c:yMode val="edge"/>
          <c:x val="0.78898279863777354"/>
          <c:y val="3.471128608923886E-2"/>
          <c:w val="0.18897863386911345"/>
          <c:h val="0.91391076115485559"/>
        </c:manualLayout>
      </c:layout>
      <c:overlay val="0"/>
      <c:txPr>
        <a:bodyPr/>
        <a:lstStyle/>
        <a:p>
          <a:pPr>
            <a:defRPr sz="800"/>
          </a:pPr>
          <a:endParaRPr lang="cs-CZ"/>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706592231526621E-2"/>
          <c:y val="0.16738603218401593"/>
          <c:w val="0.87019869044147258"/>
          <c:h val="0.67443465606403163"/>
        </c:manualLayout>
      </c:layout>
      <c:barChart>
        <c:barDir val="bar"/>
        <c:grouping val="percentStacked"/>
        <c:varyColors val="0"/>
        <c:ser>
          <c:idx val="0"/>
          <c:order val="0"/>
          <c:tx>
            <c:strRef>
              <c:f>'Doba nezaměstnanosti'!$B$23</c:f>
              <c:strCache>
                <c:ptCount val="1"/>
                <c:pt idx="0">
                  <c:v>do 3M</c:v>
                </c:pt>
              </c:strCache>
            </c:strRef>
          </c:tx>
          <c:spPr>
            <a:solidFill>
              <a:srgbClr val="7ABC32"/>
            </a:solidFill>
          </c:spPr>
          <c:invertIfNegative val="0"/>
          <c:cat>
            <c:strRef>
              <c:f>'Doba nezaměstnanosti'!$A$24:$A$31</c:f>
              <c:strCache>
                <c:ptCount val="8"/>
                <c:pt idx="0">
                  <c:v>ČR 12_15</c:v>
                </c:pt>
                <c:pt idx="1">
                  <c:v>ČR 06_16</c:v>
                </c:pt>
                <c:pt idx="2">
                  <c:v>ČR 09_16</c:v>
                </c:pt>
                <c:pt idx="3">
                  <c:v>ČR 12_16</c:v>
                </c:pt>
                <c:pt idx="4">
                  <c:v>ČR 03_17</c:v>
                </c:pt>
                <c:pt idx="5">
                  <c:v>ČR 06_17</c:v>
                </c:pt>
                <c:pt idx="6">
                  <c:v>ČR 09_17</c:v>
                </c:pt>
                <c:pt idx="7">
                  <c:v>ČR 12_17</c:v>
                </c:pt>
              </c:strCache>
            </c:strRef>
          </c:cat>
          <c:val>
            <c:numRef>
              <c:f>'Doba nezaměstnanosti'!$B$24:$B$31</c:f>
              <c:numCache>
                <c:formatCode>General</c:formatCode>
                <c:ptCount val="8"/>
                <c:pt idx="0">
                  <c:v>129421</c:v>
                </c:pt>
                <c:pt idx="1">
                  <c:v>95656</c:v>
                </c:pt>
                <c:pt idx="2">
                  <c:v>105171</c:v>
                </c:pt>
                <c:pt idx="3">
                  <c:v>117961</c:v>
                </c:pt>
                <c:pt idx="4">
                  <c:v>101810</c:v>
                </c:pt>
                <c:pt idx="5">
                  <c:v>82241</c:v>
                </c:pt>
                <c:pt idx="6">
                  <c:v>87513</c:v>
                </c:pt>
                <c:pt idx="7">
                  <c:v>98900</c:v>
                </c:pt>
              </c:numCache>
            </c:numRef>
          </c:val>
        </c:ser>
        <c:ser>
          <c:idx val="1"/>
          <c:order val="1"/>
          <c:tx>
            <c:strRef>
              <c:f>'Doba nezaměstnanosti'!$C$23</c:f>
              <c:strCache>
                <c:ptCount val="1"/>
                <c:pt idx="0">
                  <c:v>3-6M</c:v>
                </c:pt>
              </c:strCache>
            </c:strRef>
          </c:tx>
          <c:spPr>
            <a:solidFill>
              <a:schemeClr val="accent5">
                <a:lumMod val="40000"/>
                <a:lumOff val="60000"/>
              </a:schemeClr>
            </a:solidFill>
          </c:spPr>
          <c:invertIfNegative val="0"/>
          <c:cat>
            <c:strRef>
              <c:f>'Doba nezaměstnanosti'!$A$24:$A$31</c:f>
              <c:strCache>
                <c:ptCount val="8"/>
                <c:pt idx="0">
                  <c:v>ČR 12_15</c:v>
                </c:pt>
                <c:pt idx="1">
                  <c:v>ČR 06_16</c:v>
                </c:pt>
                <c:pt idx="2">
                  <c:v>ČR 09_16</c:v>
                </c:pt>
                <c:pt idx="3">
                  <c:v>ČR 12_16</c:v>
                </c:pt>
                <c:pt idx="4">
                  <c:v>ČR 03_17</c:v>
                </c:pt>
                <c:pt idx="5">
                  <c:v>ČR 06_17</c:v>
                </c:pt>
                <c:pt idx="6">
                  <c:v>ČR 09_17</c:v>
                </c:pt>
                <c:pt idx="7">
                  <c:v>ČR 12_17</c:v>
                </c:pt>
              </c:strCache>
            </c:strRef>
          </c:cat>
          <c:val>
            <c:numRef>
              <c:f>'Doba nezaměstnanosti'!$C$24:$C$31</c:f>
              <c:numCache>
                <c:formatCode>General</c:formatCode>
                <c:ptCount val="8"/>
                <c:pt idx="0">
                  <c:v>70362</c:v>
                </c:pt>
                <c:pt idx="1">
                  <c:v>62299</c:v>
                </c:pt>
                <c:pt idx="2">
                  <c:v>58156</c:v>
                </c:pt>
                <c:pt idx="3">
                  <c:v>61690</c:v>
                </c:pt>
                <c:pt idx="4">
                  <c:v>67394</c:v>
                </c:pt>
                <c:pt idx="5">
                  <c:v>51516</c:v>
                </c:pt>
                <c:pt idx="6">
                  <c:v>45734</c:v>
                </c:pt>
                <c:pt idx="7">
                  <c:v>46254</c:v>
                </c:pt>
              </c:numCache>
            </c:numRef>
          </c:val>
        </c:ser>
        <c:ser>
          <c:idx val="2"/>
          <c:order val="2"/>
          <c:tx>
            <c:strRef>
              <c:f>'Doba nezaměstnanosti'!$D$23</c:f>
              <c:strCache>
                <c:ptCount val="1"/>
                <c:pt idx="0">
                  <c:v>6-9M</c:v>
                </c:pt>
              </c:strCache>
            </c:strRef>
          </c:tx>
          <c:spPr>
            <a:solidFill>
              <a:schemeClr val="accent5">
                <a:lumMod val="60000"/>
                <a:lumOff val="40000"/>
              </a:schemeClr>
            </a:solidFill>
          </c:spPr>
          <c:invertIfNegative val="0"/>
          <c:cat>
            <c:strRef>
              <c:f>'Doba nezaměstnanosti'!$A$24:$A$31</c:f>
              <c:strCache>
                <c:ptCount val="8"/>
                <c:pt idx="0">
                  <c:v>ČR 12_15</c:v>
                </c:pt>
                <c:pt idx="1">
                  <c:v>ČR 06_16</c:v>
                </c:pt>
                <c:pt idx="2">
                  <c:v>ČR 09_16</c:v>
                </c:pt>
                <c:pt idx="3">
                  <c:v>ČR 12_16</c:v>
                </c:pt>
                <c:pt idx="4">
                  <c:v>ČR 03_17</c:v>
                </c:pt>
                <c:pt idx="5">
                  <c:v>ČR 06_17</c:v>
                </c:pt>
                <c:pt idx="6">
                  <c:v>ČR 09_17</c:v>
                </c:pt>
                <c:pt idx="7">
                  <c:v>ČR 12_17</c:v>
                </c:pt>
              </c:strCache>
            </c:strRef>
          </c:cat>
          <c:val>
            <c:numRef>
              <c:f>'Doba nezaměstnanosti'!$D$24:$D$31</c:f>
              <c:numCache>
                <c:formatCode>General</c:formatCode>
                <c:ptCount val="8"/>
                <c:pt idx="0">
                  <c:v>37867</c:v>
                </c:pt>
                <c:pt idx="1">
                  <c:v>36810</c:v>
                </c:pt>
                <c:pt idx="2">
                  <c:v>36824</c:v>
                </c:pt>
                <c:pt idx="3">
                  <c:v>34298</c:v>
                </c:pt>
                <c:pt idx="4">
                  <c:v>33563</c:v>
                </c:pt>
                <c:pt idx="5">
                  <c:v>27736</c:v>
                </c:pt>
                <c:pt idx="6">
                  <c:v>28370</c:v>
                </c:pt>
                <c:pt idx="7">
                  <c:v>24281</c:v>
                </c:pt>
              </c:numCache>
            </c:numRef>
          </c:val>
        </c:ser>
        <c:ser>
          <c:idx val="3"/>
          <c:order val="3"/>
          <c:tx>
            <c:strRef>
              <c:f>'Doba nezaměstnanosti'!$E$23</c:f>
              <c:strCache>
                <c:ptCount val="1"/>
                <c:pt idx="0">
                  <c:v>9-12M</c:v>
                </c:pt>
              </c:strCache>
            </c:strRef>
          </c:tx>
          <c:spPr>
            <a:solidFill>
              <a:schemeClr val="accent4">
                <a:lumMod val="60000"/>
                <a:lumOff val="40000"/>
              </a:schemeClr>
            </a:solidFill>
          </c:spPr>
          <c:invertIfNegative val="0"/>
          <c:cat>
            <c:strRef>
              <c:f>'Doba nezaměstnanosti'!$A$24:$A$31</c:f>
              <c:strCache>
                <c:ptCount val="8"/>
                <c:pt idx="0">
                  <c:v>ČR 12_15</c:v>
                </c:pt>
                <c:pt idx="1">
                  <c:v>ČR 06_16</c:v>
                </c:pt>
                <c:pt idx="2">
                  <c:v>ČR 09_16</c:v>
                </c:pt>
                <c:pt idx="3">
                  <c:v>ČR 12_16</c:v>
                </c:pt>
                <c:pt idx="4">
                  <c:v>ČR 03_17</c:v>
                </c:pt>
                <c:pt idx="5">
                  <c:v>ČR 06_17</c:v>
                </c:pt>
                <c:pt idx="6">
                  <c:v>ČR 09_17</c:v>
                </c:pt>
                <c:pt idx="7">
                  <c:v>ČR 12_17</c:v>
                </c:pt>
              </c:strCache>
            </c:strRef>
          </c:cat>
          <c:val>
            <c:numRef>
              <c:f>'Doba nezaměstnanosti'!$E$24:$E$31</c:f>
              <c:numCache>
                <c:formatCode>General</c:formatCode>
                <c:ptCount val="8"/>
                <c:pt idx="0">
                  <c:v>27913</c:v>
                </c:pt>
                <c:pt idx="1">
                  <c:v>26175</c:v>
                </c:pt>
                <c:pt idx="2">
                  <c:v>23834</c:v>
                </c:pt>
                <c:pt idx="3">
                  <c:v>23261</c:v>
                </c:pt>
                <c:pt idx="4">
                  <c:v>21135</c:v>
                </c:pt>
                <c:pt idx="5">
                  <c:v>19255</c:v>
                </c:pt>
                <c:pt idx="6">
                  <c:v>16719</c:v>
                </c:pt>
                <c:pt idx="7">
                  <c:v>16673</c:v>
                </c:pt>
              </c:numCache>
            </c:numRef>
          </c:val>
        </c:ser>
        <c:ser>
          <c:idx val="4"/>
          <c:order val="4"/>
          <c:tx>
            <c:strRef>
              <c:f>'Doba nezaměstnanosti'!$F$23</c:f>
              <c:strCache>
                <c:ptCount val="1"/>
                <c:pt idx="0">
                  <c:v>12-24M</c:v>
                </c:pt>
              </c:strCache>
            </c:strRef>
          </c:tx>
          <c:spPr>
            <a:solidFill>
              <a:srgbClr val="FF9999"/>
            </a:solidFill>
          </c:spPr>
          <c:invertIfNegative val="0"/>
          <c:cat>
            <c:strRef>
              <c:f>'Doba nezaměstnanosti'!$A$24:$A$31</c:f>
              <c:strCache>
                <c:ptCount val="8"/>
                <c:pt idx="0">
                  <c:v>ČR 12_15</c:v>
                </c:pt>
                <c:pt idx="1">
                  <c:v>ČR 06_16</c:v>
                </c:pt>
                <c:pt idx="2">
                  <c:v>ČR 09_16</c:v>
                </c:pt>
                <c:pt idx="3">
                  <c:v>ČR 12_16</c:v>
                </c:pt>
                <c:pt idx="4">
                  <c:v>ČR 03_17</c:v>
                </c:pt>
                <c:pt idx="5">
                  <c:v>ČR 06_17</c:v>
                </c:pt>
                <c:pt idx="6">
                  <c:v>ČR 09_17</c:v>
                </c:pt>
                <c:pt idx="7">
                  <c:v>ČR 12_17</c:v>
                </c:pt>
              </c:strCache>
            </c:strRef>
          </c:cat>
          <c:val>
            <c:numRef>
              <c:f>'Doba nezaměstnanosti'!$F$24:$F$31</c:f>
              <c:numCache>
                <c:formatCode>General</c:formatCode>
                <c:ptCount val="8"/>
                <c:pt idx="0">
                  <c:v>58232</c:v>
                </c:pt>
                <c:pt idx="1">
                  <c:v>49266</c:v>
                </c:pt>
                <c:pt idx="2">
                  <c:v>47430</c:v>
                </c:pt>
                <c:pt idx="3">
                  <c:v>45253</c:v>
                </c:pt>
                <c:pt idx="4">
                  <c:v>41405</c:v>
                </c:pt>
                <c:pt idx="5">
                  <c:v>36100</c:v>
                </c:pt>
                <c:pt idx="6">
                  <c:v>33142</c:v>
                </c:pt>
                <c:pt idx="7">
                  <c:v>29101</c:v>
                </c:pt>
              </c:numCache>
            </c:numRef>
          </c:val>
        </c:ser>
        <c:ser>
          <c:idx val="5"/>
          <c:order val="5"/>
          <c:tx>
            <c:strRef>
              <c:f>'Doba nezaměstnanosti'!$G$23</c:f>
              <c:strCache>
                <c:ptCount val="1"/>
                <c:pt idx="0">
                  <c:v>nad 24M</c:v>
                </c:pt>
              </c:strCache>
            </c:strRef>
          </c:tx>
          <c:spPr>
            <a:solidFill>
              <a:srgbClr val="FF6969"/>
            </a:solidFill>
          </c:spPr>
          <c:invertIfNegative val="0"/>
          <c:cat>
            <c:strRef>
              <c:f>'Doba nezaměstnanosti'!$A$24:$A$31</c:f>
              <c:strCache>
                <c:ptCount val="8"/>
                <c:pt idx="0">
                  <c:v>ČR 12_15</c:v>
                </c:pt>
                <c:pt idx="1">
                  <c:v>ČR 06_16</c:v>
                </c:pt>
                <c:pt idx="2">
                  <c:v>ČR 09_16</c:v>
                </c:pt>
                <c:pt idx="3">
                  <c:v>ČR 12_16</c:v>
                </c:pt>
                <c:pt idx="4">
                  <c:v>ČR 03_17</c:v>
                </c:pt>
                <c:pt idx="5">
                  <c:v>ČR 06_17</c:v>
                </c:pt>
                <c:pt idx="6">
                  <c:v>ČR 09_17</c:v>
                </c:pt>
                <c:pt idx="7">
                  <c:v>ČR 12_17</c:v>
                </c:pt>
              </c:strCache>
            </c:strRef>
          </c:cat>
          <c:val>
            <c:numRef>
              <c:f>'Doba nezaměstnanosti'!$G$24:$G$31</c:f>
              <c:numCache>
                <c:formatCode>General</c:formatCode>
                <c:ptCount val="8"/>
                <c:pt idx="0">
                  <c:v>129323</c:v>
                </c:pt>
                <c:pt idx="1">
                  <c:v>114122</c:v>
                </c:pt>
                <c:pt idx="2">
                  <c:v>106843</c:v>
                </c:pt>
                <c:pt idx="3">
                  <c:v>98910</c:v>
                </c:pt>
                <c:pt idx="4">
                  <c:v>90805</c:v>
                </c:pt>
                <c:pt idx="5">
                  <c:v>80591</c:v>
                </c:pt>
                <c:pt idx="6">
                  <c:v>73437</c:v>
                </c:pt>
                <c:pt idx="7">
                  <c:v>65411</c:v>
                </c:pt>
              </c:numCache>
            </c:numRef>
          </c:val>
        </c:ser>
        <c:dLbls>
          <c:showLegendKey val="0"/>
          <c:showVal val="0"/>
          <c:showCatName val="0"/>
          <c:showSerName val="0"/>
          <c:showPercent val="0"/>
          <c:showBubbleSize val="0"/>
        </c:dLbls>
        <c:gapWidth val="150"/>
        <c:overlap val="100"/>
        <c:axId val="29302144"/>
        <c:axId val="29324416"/>
      </c:barChart>
      <c:catAx>
        <c:axId val="29302144"/>
        <c:scaling>
          <c:orientation val="maxMin"/>
        </c:scaling>
        <c:delete val="0"/>
        <c:axPos val="l"/>
        <c:majorTickMark val="out"/>
        <c:minorTickMark val="none"/>
        <c:tickLblPos val="nextTo"/>
        <c:txPr>
          <a:bodyPr/>
          <a:lstStyle/>
          <a:p>
            <a:pPr>
              <a:defRPr sz="800"/>
            </a:pPr>
            <a:endParaRPr lang="cs-CZ"/>
          </a:p>
        </c:txPr>
        <c:crossAx val="29324416"/>
        <c:crosses val="autoZero"/>
        <c:auto val="1"/>
        <c:lblAlgn val="ctr"/>
        <c:lblOffset val="100"/>
        <c:noMultiLvlLbl val="0"/>
      </c:catAx>
      <c:valAx>
        <c:axId val="29324416"/>
        <c:scaling>
          <c:orientation val="minMax"/>
        </c:scaling>
        <c:delete val="0"/>
        <c:axPos val="t"/>
        <c:majorGridlines>
          <c:spPr>
            <a:ln w="12700">
              <a:solidFill>
                <a:schemeClr val="tx1"/>
              </a:solidFill>
            </a:ln>
          </c:spPr>
        </c:majorGridlines>
        <c:minorGridlines/>
        <c:numFmt formatCode="0%" sourceLinked="1"/>
        <c:majorTickMark val="out"/>
        <c:minorTickMark val="none"/>
        <c:tickLblPos val="nextTo"/>
        <c:spPr>
          <a:ln w="12700">
            <a:solidFill>
              <a:schemeClr val="tx1"/>
            </a:solidFill>
          </a:ln>
        </c:spPr>
        <c:txPr>
          <a:bodyPr/>
          <a:lstStyle/>
          <a:p>
            <a:pPr>
              <a:defRPr sz="800"/>
            </a:pPr>
            <a:endParaRPr lang="cs-CZ"/>
          </a:p>
        </c:txPr>
        <c:crossAx val="29302144"/>
        <c:crosses val="autoZero"/>
        <c:crossBetween val="between"/>
        <c:majorUnit val="5.000000000000001E-2"/>
        <c:minorUnit val="1.0000000000000002E-2"/>
      </c:valAx>
    </c:plotArea>
    <c:legend>
      <c:legendPos val="b"/>
      <c:overlay val="0"/>
      <c:txPr>
        <a:bodyPr/>
        <a:lstStyle/>
        <a:p>
          <a:pPr>
            <a:defRPr sz="800"/>
          </a:pPr>
          <a:endParaRPr lang="cs-CZ"/>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955345859545332E-2"/>
          <c:y val="9.1615077413455967E-2"/>
          <c:w val="0.86407966365315447"/>
          <c:h val="0.76815172733157233"/>
        </c:manualLayout>
      </c:layout>
      <c:barChart>
        <c:barDir val="bar"/>
        <c:grouping val="percentStacked"/>
        <c:varyColors val="0"/>
        <c:ser>
          <c:idx val="0"/>
          <c:order val="0"/>
          <c:tx>
            <c:strRef>
              <c:f>'Doba nezaměstnanosti'!$B$2</c:f>
              <c:strCache>
                <c:ptCount val="1"/>
                <c:pt idx="0">
                  <c:v>do 3M</c:v>
                </c:pt>
              </c:strCache>
            </c:strRef>
          </c:tx>
          <c:spPr>
            <a:solidFill>
              <a:srgbClr val="7ABC32"/>
            </a:solidFill>
          </c:spPr>
          <c:invertIfNegative val="0"/>
          <c:cat>
            <c:strRef>
              <c:f>'Doba nezaměstnanosti'!$A$3:$A$16</c:f>
              <c:strCache>
                <c:ptCount val="14"/>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strCache>
            </c:strRef>
          </c:cat>
          <c:val>
            <c:numRef>
              <c:f>'Doba nezaměstnanosti'!$B$3:$B$16</c:f>
              <c:numCache>
                <c:formatCode>General</c:formatCode>
                <c:ptCount val="14"/>
                <c:pt idx="0">
                  <c:v>9195</c:v>
                </c:pt>
                <c:pt idx="1">
                  <c:v>12072</c:v>
                </c:pt>
                <c:pt idx="2">
                  <c:v>5866</c:v>
                </c:pt>
                <c:pt idx="3">
                  <c:v>4900</c:v>
                </c:pt>
                <c:pt idx="4">
                  <c:v>3038</c:v>
                </c:pt>
                <c:pt idx="5">
                  <c:v>10674</c:v>
                </c:pt>
                <c:pt idx="6">
                  <c:v>4978</c:v>
                </c:pt>
                <c:pt idx="7">
                  <c:v>4553</c:v>
                </c:pt>
                <c:pt idx="8">
                  <c:v>4859</c:v>
                </c:pt>
                <c:pt idx="9">
                  <c:v>4824</c:v>
                </c:pt>
                <c:pt idx="10">
                  <c:v>12418</c:v>
                </c:pt>
                <c:pt idx="11">
                  <c:v>6793</c:v>
                </c:pt>
                <c:pt idx="12">
                  <c:v>5823</c:v>
                </c:pt>
                <c:pt idx="13">
                  <c:v>15178</c:v>
                </c:pt>
              </c:numCache>
            </c:numRef>
          </c:val>
        </c:ser>
        <c:ser>
          <c:idx val="1"/>
          <c:order val="1"/>
          <c:tx>
            <c:strRef>
              <c:f>'Doba nezaměstnanosti'!$C$2</c:f>
              <c:strCache>
                <c:ptCount val="1"/>
                <c:pt idx="0">
                  <c:v>3-6M</c:v>
                </c:pt>
              </c:strCache>
            </c:strRef>
          </c:tx>
          <c:spPr>
            <a:solidFill>
              <a:schemeClr val="accent5">
                <a:lumMod val="40000"/>
                <a:lumOff val="60000"/>
              </a:schemeClr>
            </a:solidFill>
          </c:spPr>
          <c:invertIfNegative val="0"/>
          <c:cat>
            <c:strRef>
              <c:f>'Doba nezaměstnanosti'!$A$3:$A$16</c:f>
              <c:strCache>
                <c:ptCount val="14"/>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strCache>
            </c:strRef>
          </c:cat>
          <c:val>
            <c:numRef>
              <c:f>'Doba nezaměstnanosti'!$C$3:$C$16</c:f>
              <c:numCache>
                <c:formatCode>General</c:formatCode>
                <c:ptCount val="14"/>
                <c:pt idx="0">
                  <c:v>5675</c:v>
                </c:pt>
                <c:pt idx="1">
                  <c:v>6423</c:v>
                </c:pt>
                <c:pt idx="2">
                  <c:v>3096</c:v>
                </c:pt>
                <c:pt idx="3">
                  <c:v>2349</c:v>
                </c:pt>
                <c:pt idx="4">
                  <c:v>1545</c:v>
                </c:pt>
                <c:pt idx="5">
                  <c:v>6470</c:v>
                </c:pt>
                <c:pt idx="6">
                  <c:v>2576</c:v>
                </c:pt>
                <c:pt idx="7">
                  <c:v>2448</c:v>
                </c:pt>
                <c:pt idx="8">
                  <c:v>2217</c:v>
                </c:pt>
                <c:pt idx="9">
                  <c:v>2455</c:v>
                </c:pt>
                <c:pt idx="10">
                  <c:v>6984</c:v>
                </c:pt>
                <c:pt idx="11">
                  <c:v>4095</c:v>
                </c:pt>
                <c:pt idx="12">
                  <c:v>3049</c:v>
                </c:pt>
                <c:pt idx="13">
                  <c:v>8774</c:v>
                </c:pt>
              </c:numCache>
            </c:numRef>
          </c:val>
        </c:ser>
        <c:ser>
          <c:idx val="2"/>
          <c:order val="2"/>
          <c:tx>
            <c:strRef>
              <c:f>'Doba nezaměstnanosti'!$D$2</c:f>
              <c:strCache>
                <c:ptCount val="1"/>
                <c:pt idx="0">
                  <c:v>6-9M</c:v>
                </c:pt>
              </c:strCache>
            </c:strRef>
          </c:tx>
          <c:spPr>
            <a:solidFill>
              <a:schemeClr val="accent5">
                <a:lumMod val="60000"/>
                <a:lumOff val="40000"/>
              </a:schemeClr>
            </a:solidFill>
          </c:spPr>
          <c:invertIfNegative val="0"/>
          <c:cat>
            <c:strRef>
              <c:f>'Doba nezaměstnanosti'!$A$3:$A$16</c:f>
              <c:strCache>
                <c:ptCount val="14"/>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strCache>
            </c:strRef>
          </c:cat>
          <c:val>
            <c:numRef>
              <c:f>'Doba nezaměstnanosti'!$D$3:$D$16</c:f>
              <c:numCache>
                <c:formatCode>General</c:formatCode>
                <c:ptCount val="14"/>
                <c:pt idx="0">
                  <c:v>3794</c:v>
                </c:pt>
                <c:pt idx="1">
                  <c:v>4001</c:v>
                </c:pt>
                <c:pt idx="2">
                  <c:v>1906</c:v>
                </c:pt>
                <c:pt idx="3">
                  <c:v>1434</c:v>
                </c:pt>
                <c:pt idx="4">
                  <c:v>1053</c:v>
                </c:pt>
                <c:pt idx="5">
                  <c:v>4526</c:v>
                </c:pt>
                <c:pt idx="6">
                  <c:v>1613</c:v>
                </c:pt>
                <c:pt idx="7">
                  <c:v>1399</c:v>
                </c:pt>
                <c:pt idx="8">
                  <c:v>1338</c:v>
                </c:pt>
                <c:pt idx="9">
                  <c:v>1495</c:v>
                </c:pt>
                <c:pt idx="10">
                  <c:v>4634</c:v>
                </c:pt>
                <c:pt idx="11">
                  <c:v>2348</c:v>
                </c:pt>
                <c:pt idx="12">
                  <c:v>1864</c:v>
                </c:pt>
                <c:pt idx="13">
                  <c:v>5419</c:v>
                </c:pt>
              </c:numCache>
            </c:numRef>
          </c:val>
        </c:ser>
        <c:ser>
          <c:idx val="3"/>
          <c:order val="3"/>
          <c:tx>
            <c:strRef>
              <c:f>'Doba nezaměstnanosti'!$E$2</c:f>
              <c:strCache>
                <c:ptCount val="1"/>
                <c:pt idx="0">
                  <c:v>9-12M</c:v>
                </c:pt>
              </c:strCache>
            </c:strRef>
          </c:tx>
          <c:spPr>
            <a:solidFill>
              <a:schemeClr val="accent4">
                <a:lumMod val="60000"/>
                <a:lumOff val="40000"/>
              </a:schemeClr>
            </a:solidFill>
          </c:spPr>
          <c:invertIfNegative val="0"/>
          <c:cat>
            <c:strRef>
              <c:f>'Doba nezaměstnanosti'!$A$3:$A$16</c:f>
              <c:strCache>
                <c:ptCount val="14"/>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strCache>
            </c:strRef>
          </c:cat>
          <c:val>
            <c:numRef>
              <c:f>'Doba nezaměstnanosti'!$E$3:$E$16</c:f>
              <c:numCache>
                <c:formatCode>General</c:formatCode>
                <c:ptCount val="14"/>
                <c:pt idx="0">
                  <c:v>2244</c:v>
                </c:pt>
                <c:pt idx="1">
                  <c:v>2462</c:v>
                </c:pt>
                <c:pt idx="2">
                  <c:v>1191</c:v>
                </c:pt>
                <c:pt idx="3">
                  <c:v>821</c:v>
                </c:pt>
                <c:pt idx="4">
                  <c:v>781</c:v>
                </c:pt>
                <c:pt idx="5">
                  <c:v>2907</c:v>
                </c:pt>
                <c:pt idx="6">
                  <c:v>953</c:v>
                </c:pt>
                <c:pt idx="7">
                  <c:v>959</c:v>
                </c:pt>
                <c:pt idx="8">
                  <c:v>825</c:v>
                </c:pt>
                <c:pt idx="9">
                  <c:v>942</c:v>
                </c:pt>
                <c:pt idx="10">
                  <c:v>2944</c:v>
                </c:pt>
                <c:pt idx="11">
                  <c:v>1600</c:v>
                </c:pt>
                <c:pt idx="12">
                  <c:v>1265</c:v>
                </c:pt>
                <c:pt idx="13">
                  <c:v>3940</c:v>
                </c:pt>
              </c:numCache>
            </c:numRef>
          </c:val>
        </c:ser>
        <c:ser>
          <c:idx val="4"/>
          <c:order val="4"/>
          <c:tx>
            <c:strRef>
              <c:f>'Doba nezaměstnanosti'!$F$2</c:f>
              <c:strCache>
                <c:ptCount val="1"/>
                <c:pt idx="0">
                  <c:v>12-24M</c:v>
                </c:pt>
              </c:strCache>
            </c:strRef>
          </c:tx>
          <c:spPr>
            <a:solidFill>
              <a:srgbClr val="FF9999"/>
            </a:solidFill>
          </c:spPr>
          <c:invertIfNegative val="0"/>
          <c:cat>
            <c:strRef>
              <c:f>'Doba nezaměstnanosti'!$A$3:$A$16</c:f>
              <c:strCache>
                <c:ptCount val="14"/>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strCache>
            </c:strRef>
          </c:cat>
          <c:val>
            <c:numRef>
              <c:f>'Doba nezaměstnanosti'!$F$3:$F$16</c:f>
              <c:numCache>
                <c:formatCode>General</c:formatCode>
                <c:ptCount val="14"/>
                <c:pt idx="0">
                  <c:v>5087</c:v>
                </c:pt>
                <c:pt idx="1">
                  <c:v>4762</c:v>
                </c:pt>
                <c:pt idx="2">
                  <c:v>1799</c:v>
                </c:pt>
                <c:pt idx="3">
                  <c:v>1611</c:v>
                </c:pt>
                <c:pt idx="4">
                  <c:v>1464</c:v>
                </c:pt>
                <c:pt idx="5">
                  <c:v>6088</c:v>
                </c:pt>
                <c:pt idx="6">
                  <c:v>1970</c:v>
                </c:pt>
                <c:pt idx="7">
                  <c:v>1673</c:v>
                </c:pt>
                <c:pt idx="8">
                  <c:v>1371</c:v>
                </c:pt>
                <c:pt idx="9">
                  <c:v>1884</c:v>
                </c:pt>
                <c:pt idx="10">
                  <c:v>6328</c:v>
                </c:pt>
                <c:pt idx="11">
                  <c:v>2790</c:v>
                </c:pt>
                <c:pt idx="12">
                  <c:v>2232</c:v>
                </c:pt>
                <c:pt idx="13">
                  <c:v>8371</c:v>
                </c:pt>
              </c:numCache>
            </c:numRef>
          </c:val>
        </c:ser>
        <c:ser>
          <c:idx val="5"/>
          <c:order val="5"/>
          <c:tx>
            <c:strRef>
              <c:f>'Doba nezaměstnanosti'!$G$2</c:f>
              <c:strCache>
                <c:ptCount val="1"/>
                <c:pt idx="0">
                  <c:v>nad 24M</c:v>
                </c:pt>
              </c:strCache>
            </c:strRef>
          </c:tx>
          <c:spPr>
            <a:solidFill>
              <a:srgbClr val="FF6969"/>
            </a:solidFill>
          </c:spPr>
          <c:invertIfNegative val="0"/>
          <c:cat>
            <c:strRef>
              <c:f>'Doba nezaměstnanosti'!$A$3:$A$16</c:f>
              <c:strCache>
                <c:ptCount val="14"/>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strCache>
            </c:strRef>
          </c:cat>
          <c:val>
            <c:numRef>
              <c:f>'Doba nezaměstnanosti'!$G$3:$G$16</c:f>
              <c:numCache>
                <c:formatCode>General</c:formatCode>
                <c:ptCount val="14"/>
                <c:pt idx="0">
                  <c:v>7074</c:v>
                </c:pt>
                <c:pt idx="1">
                  <c:v>10091</c:v>
                </c:pt>
                <c:pt idx="2">
                  <c:v>3407</c:v>
                </c:pt>
                <c:pt idx="3">
                  <c:v>3608</c:v>
                </c:pt>
                <c:pt idx="4">
                  <c:v>3902</c:v>
                </c:pt>
                <c:pt idx="5">
                  <c:v>15421</c:v>
                </c:pt>
                <c:pt idx="6">
                  <c:v>4135</c:v>
                </c:pt>
                <c:pt idx="7">
                  <c:v>3047</c:v>
                </c:pt>
                <c:pt idx="8">
                  <c:v>2824</c:v>
                </c:pt>
                <c:pt idx="9">
                  <c:v>4758</c:v>
                </c:pt>
                <c:pt idx="10">
                  <c:v>13941</c:v>
                </c:pt>
                <c:pt idx="11">
                  <c:v>7348</c:v>
                </c:pt>
                <c:pt idx="12">
                  <c:v>4672</c:v>
                </c:pt>
                <c:pt idx="13">
                  <c:v>22615</c:v>
                </c:pt>
              </c:numCache>
            </c:numRef>
          </c:val>
        </c:ser>
        <c:dLbls>
          <c:showLegendKey val="0"/>
          <c:showVal val="0"/>
          <c:showCatName val="0"/>
          <c:showSerName val="0"/>
          <c:showPercent val="0"/>
          <c:showBubbleSize val="0"/>
        </c:dLbls>
        <c:gapWidth val="150"/>
        <c:overlap val="100"/>
        <c:axId val="29565696"/>
        <c:axId val="29567232"/>
      </c:barChart>
      <c:catAx>
        <c:axId val="29565696"/>
        <c:scaling>
          <c:orientation val="maxMin"/>
        </c:scaling>
        <c:delete val="0"/>
        <c:axPos val="l"/>
        <c:majorTickMark val="out"/>
        <c:minorTickMark val="none"/>
        <c:tickLblPos val="nextTo"/>
        <c:txPr>
          <a:bodyPr/>
          <a:lstStyle/>
          <a:p>
            <a:pPr>
              <a:defRPr sz="800"/>
            </a:pPr>
            <a:endParaRPr lang="cs-CZ"/>
          </a:p>
        </c:txPr>
        <c:crossAx val="29567232"/>
        <c:crosses val="autoZero"/>
        <c:auto val="1"/>
        <c:lblAlgn val="ctr"/>
        <c:lblOffset val="100"/>
        <c:noMultiLvlLbl val="0"/>
      </c:catAx>
      <c:valAx>
        <c:axId val="29567232"/>
        <c:scaling>
          <c:orientation val="minMax"/>
        </c:scaling>
        <c:delete val="0"/>
        <c:axPos val="t"/>
        <c:majorGridlines/>
        <c:numFmt formatCode="0%" sourceLinked="1"/>
        <c:majorTickMark val="out"/>
        <c:minorTickMark val="none"/>
        <c:tickLblPos val="nextTo"/>
        <c:txPr>
          <a:bodyPr/>
          <a:lstStyle/>
          <a:p>
            <a:pPr>
              <a:defRPr sz="800"/>
            </a:pPr>
            <a:endParaRPr lang="cs-CZ"/>
          </a:p>
        </c:txPr>
        <c:crossAx val="29565696"/>
        <c:crosses val="autoZero"/>
        <c:crossBetween val="between"/>
      </c:valAx>
    </c:plotArea>
    <c:legend>
      <c:legendPos val="b"/>
      <c:overlay val="0"/>
      <c:txPr>
        <a:bodyPr/>
        <a:lstStyle/>
        <a:p>
          <a:pPr>
            <a:defRPr sz="800"/>
          </a:pPr>
          <a:endParaRPr lang="cs-CZ"/>
        </a:p>
      </c:txPr>
    </c:legend>
    <c:plotVisOnly val="1"/>
    <c:dispBlanksAs val="gap"/>
    <c:showDLblsOverMax val="0"/>
  </c:chart>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C04CC-B909-47B7-BAC1-5B6EECF8F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58</Pages>
  <Words>21600</Words>
  <Characters>127442</Characters>
  <Application>Microsoft Office Word</Application>
  <DocSecurity>0</DocSecurity>
  <Lines>1062</Lines>
  <Paragraphs>297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Dudek Pavel Mgr. (MPSV)</dc:creator>
  <cp:lastModifiedBy>Dudek Pavel Mgr. (MPSV)</cp:lastModifiedBy>
  <cp:revision>19</cp:revision>
  <cp:lastPrinted>2018-03-13T10:47:00Z</cp:lastPrinted>
  <dcterms:created xsi:type="dcterms:W3CDTF">2018-03-21T10:53:00Z</dcterms:created>
  <dcterms:modified xsi:type="dcterms:W3CDTF">2018-03-23T09:25:00Z</dcterms:modified>
</cp:coreProperties>
</file>