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1FD" w:rsidRPr="00A701FD" w:rsidRDefault="00A701FD" w:rsidP="00A701FD">
      <w:pPr>
        <w:pStyle w:val="Normlnweb"/>
        <w:shd w:val="clear" w:color="auto" w:fill="FFFFFF"/>
        <w:spacing w:before="0" w:beforeAutospacing="0" w:after="300" w:afterAutospacing="0"/>
        <w:jc w:val="center"/>
        <w:rPr>
          <w:rFonts w:ascii="Titillium Web" w:hAnsi="Titillium Web"/>
          <w:sz w:val="21"/>
          <w:szCs w:val="21"/>
        </w:rPr>
      </w:pPr>
      <w:bookmarkStart w:id="0" w:name="_GoBack"/>
      <w:r w:rsidRPr="00A701FD">
        <w:rPr>
          <w:rFonts w:ascii="Titillium Web" w:hAnsi="Titillium Web"/>
          <w:sz w:val="21"/>
          <w:szCs w:val="21"/>
        </w:rPr>
        <w:t>Téma</w:t>
      </w:r>
      <w:r w:rsidRPr="00A701FD">
        <w:rPr>
          <w:rFonts w:ascii="Titillium Web" w:hAnsi="Titillium Web"/>
          <w:sz w:val="21"/>
          <w:szCs w:val="21"/>
        </w:rPr>
        <w:br/>
      </w:r>
      <w:r w:rsidRPr="00A701FD">
        <w:rPr>
          <w:rFonts w:ascii="Titillium Web" w:hAnsi="Titillium Web"/>
          <w:b/>
          <w:bCs/>
          <w:sz w:val="21"/>
          <w:szCs w:val="21"/>
        </w:rPr>
        <w:t xml:space="preserve">„Zvládání obtížných situací a způsoby </w:t>
      </w:r>
      <w:proofErr w:type="spellStart"/>
      <w:r w:rsidRPr="00A701FD">
        <w:rPr>
          <w:rFonts w:ascii="Titillium Web" w:hAnsi="Titillium Web"/>
          <w:b/>
          <w:bCs/>
          <w:sz w:val="21"/>
          <w:szCs w:val="21"/>
        </w:rPr>
        <w:t>sebepéče</w:t>
      </w:r>
      <w:proofErr w:type="spellEnd"/>
      <w:r w:rsidRPr="00A701FD">
        <w:rPr>
          <w:rFonts w:ascii="Titillium Web" w:hAnsi="Titillium Web"/>
          <w:b/>
          <w:bCs/>
          <w:sz w:val="21"/>
          <w:szCs w:val="21"/>
        </w:rPr>
        <w:t xml:space="preserve"> sociálních pracovníků“</w:t>
      </w:r>
      <w:r w:rsidRPr="00A701FD">
        <w:rPr>
          <w:rFonts w:ascii="Titillium Web" w:hAnsi="Titillium Web"/>
          <w:sz w:val="21"/>
          <w:szCs w:val="21"/>
        </w:rPr>
        <w:br/>
        <w:t>proběhl v Jihlavě 4. a 5. června 2019 (místo konání bude upřesněno).</w:t>
      </w:r>
    </w:p>
    <w:p w:rsidR="00A701FD" w:rsidRPr="00A701FD" w:rsidRDefault="00A701FD" w:rsidP="00A701FD">
      <w:pPr>
        <w:pStyle w:val="Normlnweb"/>
        <w:shd w:val="clear" w:color="auto" w:fill="FFFFFF"/>
        <w:spacing w:before="0" w:beforeAutospacing="0" w:after="300" w:afterAutospacing="0"/>
        <w:rPr>
          <w:rFonts w:ascii="Titillium Web" w:hAnsi="Titillium Web"/>
          <w:sz w:val="21"/>
          <w:szCs w:val="21"/>
        </w:rPr>
      </w:pPr>
      <w:r w:rsidRPr="00A701FD">
        <w:rPr>
          <w:rStyle w:val="Siln"/>
          <w:rFonts w:ascii="Titillium Web" w:hAnsi="Titillium Web"/>
          <w:sz w:val="21"/>
          <w:szCs w:val="21"/>
        </w:rPr>
        <w:t>Kapacita</w:t>
      </w:r>
      <w:r w:rsidRPr="00A701FD">
        <w:rPr>
          <w:rFonts w:ascii="Titillium Web" w:hAnsi="Titillium Web"/>
          <w:sz w:val="21"/>
          <w:szCs w:val="21"/>
        </w:rPr>
        <w:t> odborného semináře je </w:t>
      </w:r>
      <w:r w:rsidRPr="00A701FD">
        <w:rPr>
          <w:rStyle w:val="Siln"/>
          <w:rFonts w:ascii="Titillium Web" w:hAnsi="Titillium Web"/>
          <w:sz w:val="21"/>
          <w:szCs w:val="21"/>
        </w:rPr>
        <w:t>50 sociálních pracovníků</w:t>
      </w:r>
      <w:r w:rsidRPr="00A701FD">
        <w:rPr>
          <w:rFonts w:ascii="Titillium Web" w:hAnsi="Titillium Web"/>
          <w:sz w:val="21"/>
          <w:szCs w:val="21"/>
        </w:rPr>
        <w:t>, aktuálně vykonávajících sociální práci v ČR dle zákona č. 108/2006 Sb., o sociálních službách, ve znění pozdějších předpisů.</w:t>
      </w:r>
    </w:p>
    <w:p w:rsidR="00A701FD" w:rsidRPr="00A701FD" w:rsidRDefault="00A701FD" w:rsidP="00A701FD">
      <w:pPr>
        <w:pStyle w:val="Normlnweb"/>
        <w:shd w:val="clear" w:color="auto" w:fill="FFFFFF"/>
        <w:spacing w:before="0" w:beforeAutospacing="0" w:after="300" w:afterAutospacing="0"/>
        <w:rPr>
          <w:rFonts w:ascii="Titillium Web" w:hAnsi="Titillium Web"/>
          <w:sz w:val="21"/>
          <w:szCs w:val="21"/>
        </w:rPr>
      </w:pPr>
      <w:r w:rsidRPr="00A701FD">
        <w:rPr>
          <w:rFonts w:ascii="Titillium Web" w:hAnsi="Titillium Web"/>
          <w:sz w:val="21"/>
          <w:szCs w:val="21"/>
        </w:rPr>
        <w:t>Workshop byl rozdělen na </w:t>
      </w:r>
      <w:r w:rsidRPr="00A701FD">
        <w:rPr>
          <w:rStyle w:val="Siln"/>
          <w:rFonts w:ascii="Titillium Web" w:hAnsi="Titillium Web"/>
          <w:sz w:val="21"/>
          <w:szCs w:val="21"/>
        </w:rPr>
        <w:t>dvě</w:t>
      </w:r>
      <w:r w:rsidRPr="00A701FD">
        <w:rPr>
          <w:rFonts w:ascii="Titillium Web" w:hAnsi="Titillium Web"/>
          <w:sz w:val="21"/>
          <w:szCs w:val="21"/>
        </w:rPr>
        <w:t> </w:t>
      </w:r>
      <w:r w:rsidRPr="00A701FD">
        <w:rPr>
          <w:rStyle w:val="Siln"/>
          <w:rFonts w:ascii="Titillium Web" w:hAnsi="Titillium Web"/>
          <w:sz w:val="21"/>
          <w:szCs w:val="21"/>
        </w:rPr>
        <w:t>části</w:t>
      </w:r>
      <w:r w:rsidRPr="00A701FD">
        <w:rPr>
          <w:rFonts w:ascii="Titillium Web" w:hAnsi="Titillium Web"/>
          <w:sz w:val="21"/>
          <w:szCs w:val="21"/>
        </w:rPr>
        <w:t> – dopolední teoretickou a odpolední praktickou.</w:t>
      </w:r>
    </w:p>
    <w:p w:rsidR="00A701FD" w:rsidRPr="00A701FD" w:rsidRDefault="00A701FD" w:rsidP="00A701FD">
      <w:pPr>
        <w:pStyle w:val="Normlnweb"/>
        <w:shd w:val="clear" w:color="auto" w:fill="FFFFFF"/>
        <w:spacing w:before="0" w:beforeAutospacing="0" w:after="300" w:afterAutospacing="0"/>
        <w:rPr>
          <w:rFonts w:ascii="Titillium Web" w:hAnsi="Titillium Web"/>
          <w:sz w:val="21"/>
          <w:szCs w:val="21"/>
        </w:rPr>
      </w:pPr>
      <w:r w:rsidRPr="00A701FD">
        <w:rPr>
          <w:rFonts w:ascii="Titillium Web" w:hAnsi="Titillium Web"/>
          <w:sz w:val="21"/>
          <w:szCs w:val="21"/>
        </w:rPr>
        <w:t>Účastníci workshopu byli nejprve seznámeni s teoretickým výkladem k tématu a ve druhé části bylo konkrétně představeno praktické využití těchto poznatků a započne interaktivní část pro předávání zkušeností.</w:t>
      </w:r>
    </w:p>
    <w:p w:rsidR="00A701FD" w:rsidRPr="00A701FD" w:rsidRDefault="00A701FD" w:rsidP="00A701FD">
      <w:pPr>
        <w:pStyle w:val="Normlnweb"/>
        <w:shd w:val="clear" w:color="auto" w:fill="FFFFFF"/>
        <w:spacing w:before="0" w:beforeAutospacing="0" w:after="300" w:afterAutospacing="0"/>
        <w:rPr>
          <w:rFonts w:ascii="Titillium Web" w:hAnsi="Titillium Web"/>
          <w:sz w:val="21"/>
          <w:szCs w:val="21"/>
        </w:rPr>
      </w:pPr>
      <w:r w:rsidRPr="00A701FD">
        <w:rPr>
          <w:rFonts w:ascii="Titillium Web" w:hAnsi="Titillium Web"/>
          <w:sz w:val="21"/>
          <w:szCs w:val="21"/>
        </w:rPr>
        <w:t xml:space="preserve">Účastníci workshopu se v odpoledních částech rozdělili do čtyř skupin (2×12 a 2×13 účastníků) a následovala praktická část workshopu, ve které </w:t>
      </w:r>
      <w:proofErr w:type="spellStart"/>
      <w:r w:rsidRPr="00A701FD">
        <w:rPr>
          <w:rFonts w:ascii="Titillium Web" w:hAnsi="Titillium Web"/>
          <w:sz w:val="21"/>
          <w:szCs w:val="21"/>
        </w:rPr>
        <w:t>facilitátoři</w:t>
      </w:r>
      <w:proofErr w:type="spellEnd"/>
      <w:r w:rsidRPr="00A701FD">
        <w:rPr>
          <w:rFonts w:ascii="Titillium Web" w:hAnsi="Titillium Web"/>
          <w:sz w:val="21"/>
          <w:szCs w:val="21"/>
        </w:rPr>
        <w:t xml:space="preserve"> aktivně a interaktivně zapojovali účastníky do diskuse. Při práci ve skupinách byly využity metody skupinových myšlenkových map, brainstormingu, společných debat a diskusí, výměna zkušeností formou skupinového </w:t>
      </w:r>
      <w:proofErr w:type="spellStart"/>
      <w:r w:rsidRPr="00A701FD">
        <w:rPr>
          <w:rFonts w:ascii="Titillium Web" w:hAnsi="Titillium Web"/>
          <w:sz w:val="21"/>
          <w:szCs w:val="21"/>
        </w:rPr>
        <w:t>flipchartu</w:t>
      </w:r>
      <w:proofErr w:type="spellEnd"/>
      <w:r w:rsidRPr="00A701FD">
        <w:rPr>
          <w:rFonts w:ascii="Titillium Web" w:hAnsi="Titillium Web"/>
          <w:sz w:val="21"/>
          <w:szCs w:val="21"/>
        </w:rPr>
        <w:t xml:space="preserve"> aj.</w:t>
      </w:r>
    </w:p>
    <w:p w:rsidR="00A701FD" w:rsidRPr="00A701FD" w:rsidRDefault="00A701FD" w:rsidP="00A701FD">
      <w:pPr>
        <w:pStyle w:val="Normlnweb"/>
        <w:shd w:val="clear" w:color="auto" w:fill="FFFFFF"/>
        <w:spacing w:before="0" w:beforeAutospacing="0" w:after="300" w:afterAutospacing="0"/>
        <w:rPr>
          <w:rFonts w:ascii="Titillium Web" w:hAnsi="Titillium Web"/>
          <w:sz w:val="21"/>
          <w:szCs w:val="21"/>
        </w:rPr>
      </w:pPr>
      <w:r w:rsidRPr="00A701FD">
        <w:rPr>
          <w:rFonts w:ascii="Titillium Web" w:hAnsi="Titillium Web"/>
          <w:sz w:val="21"/>
          <w:szCs w:val="21"/>
        </w:rPr>
        <w:t>Účast na semináři a strava jsou zdarma a proplaceny budou také cestovní náklady.</w:t>
      </w:r>
    </w:p>
    <w:p w:rsidR="00A701FD" w:rsidRPr="00A701FD" w:rsidRDefault="00A701FD" w:rsidP="00A701FD">
      <w:pPr>
        <w:pStyle w:val="Normlnweb"/>
        <w:shd w:val="clear" w:color="auto" w:fill="FFFFFF"/>
        <w:spacing w:before="0" w:beforeAutospacing="0" w:after="300" w:afterAutospacing="0"/>
        <w:rPr>
          <w:rFonts w:ascii="Titillium Web" w:hAnsi="Titillium Web"/>
          <w:sz w:val="21"/>
          <w:szCs w:val="21"/>
        </w:rPr>
      </w:pPr>
      <w:r w:rsidRPr="00A701FD">
        <w:rPr>
          <w:rFonts w:ascii="Titillium Web" w:hAnsi="Titillium Web"/>
          <w:sz w:val="21"/>
          <w:szCs w:val="21"/>
        </w:rPr>
        <w:t>Účastníkům byla nabídnuta možnost bezplatného ubytování ze 4. na 5. června.</w:t>
      </w:r>
    </w:p>
    <w:p w:rsidR="00A701FD" w:rsidRPr="00A701FD" w:rsidRDefault="00A701FD" w:rsidP="00A701FD">
      <w:pPr>
        <w:pStyle w:val="Normlnweb"/>
        <w:shd w:val="clear" w:color="auto" w:fill="FFFFFF"/>
        <w:spacing w:before="0" w:beforeAutospacing="0" w:after="300" w:afterAutospacing="0"/>
        <w:rPr>
          <w:rFonts w:ascii="Titillium Web" w:hAnsi="Titillium Web"/>
          <w:sz w:val="21"/>
          <w:szCs w:val="21"/>
        </w:rPr>
      </w:pPr>
      <w:r w:rsidRPr="00A701FD">
        <w:rPr>
          <w:rFonts w:ascii="Titillium Web" w:hAnsi="Titillium Web"/>
          <w:sz w:val="21"/>
          <w:szCs w:val="21"/>
        </w:rPr>
        <w:t>Přihlášky byly přijímány do </w:t>
      </w:r>
      <w:r w:rsidRPr="00A701FD">
        <w:rPr>
          <w:rStyle w:val="Siln"/>
          <w:rFonts w:ascii="Titillium Web" w:hAnsi="Titillium Web"/>
          <w:sz w:val="21"/>
          <w:szCs w:val="21"/>
        </w:rPr>
        <w:t>30. 4. 2019</w:t>
      </w:r>
      <w:r w:rsidRPr="00A701FD">
        <w:rPr>
          <w:rFonts w:ascii="Titillium Web" w:hAnsi="Titillium Web"/>
          <w:sz w:val="21"/>
          <w:szCs w:val="21"/>
        </w:rPr>
        <w:t>. Potvrzení o tom, zda byl účastník vybrán, bylo zasláno na e-mail zájemce do 15. 5. 2019.</w:t>
      </w:r>
    </w:p>
    <w:p w:rsidR="00A701FD" w:rsidRPr="00A701FD" w:rsidRDefault="00A701FD" w:rsidP="00A701FD">
      <w:pPr>
        <w:pStyle w:val="Normlnweb"/>
        <w:shd w:val="clear" w:color="auto" w:fill="FFFFFF"/>
        <w:spacing w:before="0" w:beforeAutospacing="0" w:after="300" w:afterAutospacing="0"/>
        <w:rPr>
          <w:rFonts w:ascii="Titillium Web" w:hAnsi="Titillium Web"/>
          <w:sz w:val="21"/>
          <w:szCs w:val="21"/>
        </w:rPr>
      </w:pPr>
      <w:r w:rsidRPr="00A701FD">
        <w:rPr>
          <w:rFonts w:ascii="Titillium Web" w:hAnsi="Titillium Web"/>
          <w:sz w:val="21"/>
          <w:szCs w:val="21"/>
        </w:rPr>
        <w:t>Účast na workshopu byla nutná</w:t>
      </w:r>
      <w:r w:rsidRPr="00A701FD">
        <w:rPr>
          <w:rFonts w:ascii="Titillium Web" w:hAnsi="Titillium Web"/>
          <w:sz w:val="21"/>
          <w:szCs w:val="21"/>
        </w:rPr>
        <w:t xml:space="preserve"> </w:t>
      </w:r>
      <w:r w:rsidRPr="00A701FD">
        <w:rPr>
          <w:rFonts w:ascii="Titillium Web" w:hAnsi="Titillium Web"/>
          <w:sz w:val="21"/>
          <w:szCs w:val="21"/>
        </w:rPr>
        <w:t>v</w:t>
      </w:r>
      <w:r w:rsidRPr="00A701FD">
        <w:rPr>
          <w:rFonts w:ascii="Titillium Web" w:hAnsi="Titillium Web"/>
          <w:sz w:val="21"/>
          <w:szCs w:val="21"/>
        </w:rPr>
        <w:t xml:space="preserve"> </w:t>
      </w:r>
      <w:r w:rsidRPr="00A701FD">
        <w:rPr>
          <w:rFonts w:ascii="Titillium Web" w:hAnsi="Titillium Web"/>
          <w:sz w:val="21"/>
          <w:szCs w:val="21"/>
        </w:rPr>
        <w:t>celém rozsahu, při dřívějším odchodu není možné vydat osvědčení o účasti!</w:t>
      </w:r>
    </w:p>
    <w:p w:rsidR="00A701FD" w:rsidRPr="00A701FD" w:rsidRDefault="00A701FD" w:rsidP="00A701FD">
      <w:pPr>
        <w:pStyle w:val="Normlnweb"/>
        <w:shd w:val="clear" w:color="auto" w:fill="FFFFFF"/>
        <w:spacing w:before="0" w:beforeAutospacing="0" w:after="300" w:afterAutospacing="0"/>
        <w:rPr>
          <w:rFonts w:ascii="Titillium Web" w:hAnsi="Titillium Web"/>
          <w:sz w:val="21"/>
          <w:szCs w:val="21"/>
        </w:rPr>
      </w:pPr>
      <w:r w:rsidRPr="00A701FD">
        <w:rPr>
          <w:rStyle w:val="Siln"/>
          <w:rFonts w:ascii="Titillium Web" w:hAnsi="Titillium Web"/>
          <w:sz w:val="21"/>
          <w:szCs w:val="21"/>
        </w:rPr>
        <w:t>Workshop nelze započítat do dalšího vzdělávání.</w:t>
      </w:r>
    </w:p>
    <w:p w:rsidR="00A701FD" w:rsidRPr="00A701FD" w:rsidRDefault="00A701FD" w:rsidP="00A701FD">
      <w:pPr>
        <w:pStyle w:val="Normlnweb"/>
        <w:shd w:val="clear" w:color="auto" w:fill="FFFFFF"/>
        <w:spacing w:before="0" w:beforeAutospacing="0" w:after="300" w:afterAutospacing="0"/>
        <w:rPr>
          <w:rFonts w:ascii="Titillium Web" w:hAnsi="Titillium Web"/>
          <w:sz w:val="21"/>
          <w:szCs w:val="21"/>
        </w:rPr>
      </w:pPr>
      <w:r w:rsidRPr="00A701FD">
        <w:rPr>
          <w:rFonts w:ascii="Titillium Web" w:hAnsi="Titillium Web"/>
          <w:sz w:val="21"/>
          <w:szCs w:val="21"/>
        </w:rPr>
        <w:t>Přihlašovací formulář naleznete </w:t>
      </w:r>
      <w:hyperlink r:id="rId4" w:history="1">
        <w:r w:rsidRPr="00A701FD">
          <w:rPr>
            <w:rStyle w:val="Hypertextovodkaz"/>
            <w:rFonts w:ascii="Titillium Web" w:hAnsi="Titillium Web"/>
            <w:color w:val="auto"/>
            <w:sz w:val="21"/>
            <w:szCs w:val="21"/>
          </w:rPr>
          <w:t>ZDE</w:t>
        </w:r>
      </w:hyperlink>
      <w:r w:rsidRPr="00A701FD">
        <w:rPr>
          <w:rFonts w:ascii="Titillium Web" w:hAnsi="Titillium Web"/>
          <w:sz w:val="21"/>
          <w:szCs w:val="21"/>
        </w:rPr>
        <w:t>.</w:t>
      </w:r>
    </w:p>
    <w:bookmarkEnd w:id="0"/>
    <w:p w:rsidR="00CC72F3" w:rsidRDefault="00CC72F3"/>
    <w:sectPr w:rsidR="00CC72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tillium Web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1FD"/>
    <w:rsid w:val="00A701FD"/>
    <w:rsid w:val="00CC7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B6441"/>
  <w15:chartTrackingRefBased/>
  <w15:docId w15:val="{FAAD319B-A88B-4C2A-85FC-34B6E6A85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A701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701FD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A701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708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udmeprofi.cz/pozvanka-na-i-workshop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1318</Characters>
  <Application>Microsoft Office Word</Application>
  <DocSecurity>0</DocSecurity>
  <Lines>10</Lines>
  <Paragraphs>3</Paragraphs>
  <ScaleCrop>false</ScaleCrop>
  <Company>MPSV ČR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Dubinová Kristýna Bc. (MPSV)</dc:creator>
  <cp:keywords/>
  <dc:description/>
  <cp:lastModifiedBy>Dubinová Kristýna Bc. (MPSV)</cp:lastModifiedBy>
  <cp:revision>2</cp:revision>
  <dcterms:created xsi:type="dcterms:W3CDTF">2019-07-12T11:35:00Z</dcterms:created>
  <dcterms:modified xsi:type="dcterms:W3CDTF">2019-07-12T11:36:00Z</dcterms:modified>
</cp:coreProperties>
</file>