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96D4" w14:textId="6153FF73" w:rsidR="00FD4FF7" w:rsidRPr="00A2734F" w:rsidRDefault="00FD4FF7" w:rsidP="008C21C5">
      <w:pPr>
        <w:pStyle w:val="Nadpis1"/>
        <w:spacing w:after="240"/>
        <w:jc w:val="center"/>
        <w:rPr>
          <w:b/>
          <w:bCs/>
          <w:color w:val="auto"/>
          <w:u w:val="single"/>
        </w:rPr>
      </w:pPr>
      <w:r w:rsidRPr="00A2734F">
        <w:rPr>
          <w:b/>
          <w:bCs/>
          <w:color w:val="auto"/>
          <w:u w:val="single"/>
        </w:rPr>
        <w:t>Základní informace k podpoře de minimis</w:t>
      </w:r>
      <w:r w:rsidR="000E2FEC" w:rsidRPr="00A2734F">
        <w:rPr>
          <w:b/>
          <w:bCs/>
          <w:color w:val="auto"/>
          <w:u w:val="single"/>
        </w:rPr>
        <w:t xml:space="preserve"> </w:t>
      </w:r>
      <w:r w:rsidR="00A46029">
        <w:rPr>
          <w:b/>
          <w:bCs/>
          <w:color w:val="auto"/>
          <w:u w:val="single"/>
        </w:rPr>
        <w:t xml:space="preserve">včetně de minimis </w:t>
      </w:r>
      <w:r w:rsidR="00A17AF6">
        <w:rPr>
          <w:b/>
          <w:bCs/>
          <w:color w:val="auto"/>
          <w:u w:val="single"/>
        </w:rPr>
        <w:t>SOHZ</w:t>
      </w:r>
    </w:p>
    <w:p w14:paraId="351BF25A" w14:textId="77777777" w:rsidR="00FD4FF7" w:rsidRPr="00A2734F" w:rsidRDefault="000E2FEC" w:rsidP="00FD4FF7">
      <w:pPr>
        <w:pStyle w:val="Nadpis1"/>
        <w:jc w:val="center"/>
        <w:rPr>
          <w:b/>
          <w:bCs/>
          <w:color w:val="auto"/>
          <w:u w:val="single"/>
        </w:rPr>
      </w:pPr>
      <w:r w:rsidRPr="00A2734F">
        <w:rPr>
          <w:b/>
          <w:bCs/>
          <w:color w:val="auto"/>
          <w:u w:val="single"/>
        </w:rPr>
        <w:t xml:space="preserve">pro poskytovatele služby péče o dítě v dětské skupině </w:t>
      </w:r>
    </w:p>
    <w:p w14:paraId="2815D4DA" w14:textId="17D2A47F" w:rsidR="003C2077" w:rsidRPr="00A2734F" w:rsidRDefault="00FD4FF7" w:rsidP="00FD4FF7">
      <w:pPr>
        <w:pStyle w:val="Nadpis1"/>
        <w:spacing w:before="0" w:after="240"/>
        <w:jc w:val="center"/>
        <w:rPr>
          <w:rFonts w:eastAsia="Arial"/>
          <w:b/>
          <w:bCs/>
          <w:color w:val="auto"/>
          <w:u w:val="single"/>
        </w:rPr>
      </w:pPr>
      <w:r w:rsidRPr="00A2734F">
        <w:rPr>
          <w:b/>
          <w:bCs/>
          <w:color w:val="auto"/>
          <w:u w:val="single"/>
        </w:rPr>
        <w:t>čerpající státní příspěvek</w:t>
      </w:r>
      <w:r w:rsidR="000E2FEC" w:rsidRPr="00A2734F">
        <w:rPr>
          <w:b/>
          <w:bCs/>
          <w:color w:val="auto"/>
          <w:u w:val="single"/>
        </w:rPr>
        <w:t xml:space="preserve"> </w:t>
      </w:r>
    </w:p>
    <w:p w14:paraId="37AE458A" w14:textId="31CC5D7E" w:rsidR="008C21C5" w:rsidRDefault="008C21C5" w:rsidP="008C2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Poskytování účelově vázaného příspěvku na provoz dětské skupiny podle zákona č. 247/2014 Sb., o poskytování služby péče o dítě v dětské skupině a o změně souvisejících zákonů, ve znění pozdějších předpisů, ve vztahu k pravidlům veřejné podpory bylo konzultováno s Úřadem pro ochranu hospodářské soutěže a jeho prostřednictvím (již v rámci legislativního procesu) s Evropskou komisí, Generálním ředitelstvím pro hospodářskou soutěž. Z vyjádření vyplývá, že veřejnou podporu/podporu de minimis nezakládá poskytování takového příspěvku, který je určen na provoz dětských skupin splňujících stanovené požadavky z hlediska kvality, dostupnosti a ceny. Mezi tyto požadavky patří zejména to, že měsíční příspěvek vybíraný od rodičů představuje pouhý zlomek skutečných nákladů na danou službu. Systém dětských skupin by měl být v konečném důsledku převážně financován z veřejných zdrojů, což v konkrétním případě znamená, že příspěvek státu je vyšší než</w:t>
      </w:r>
      <w:r w:rsidR="00A17AF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příspěvek od rodičů. Poskytovatelé mají povinnost službu poskytovat na</w:t>
      </w:r>
      <w:r w:rsidR="00A17AF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neziskové bázi a při splnění podmínek stanovených státem. Zavedením opatření stát usiluje o splnění jeho povinností vůči občanům v sociální, kulturní, pedagogické a</w:t>
      </w:r>
      <w:r w:rsidR="00A17AF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vzdělávací oblasti a o částečné odstranění rozdílů v souladu s tzv. Barcelonskými cíli. Tyto podmínky jsou splněny v případě dětí mladší věkové kategorie, tj. od 6 měsíců do</w:t>
      </w:r>
      <w:r w:rsidR="001F16D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31.</w:t>
      </w:r>
      <w:r w:rsidR="001F16D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srpna po dovršení 3 let, kde je úhrada ze strany rodiče omezena </w:t>
      </w:r>
      <w:r w:rsidR="00672E46">
        <w:rPr>
          <w:rFonts w:ascii="Arial" w:hAnsi="Arial" w:cs="Arial"/>
          <w:sz w:val="24"/>
          <w:szCs w:val="24"/>
        </w:rPr>
        <w:t xml:space="preserve">pro rok 2024 </w:t>
      </w:r>
      <w:r>
        <w:rPr>
          <w:rFonts w:ascii="Arial" w:hAnsi="Arial" w:cs="Arial"/>
          <w:sz w:val="24"/>
          <w:szCs w:val="24"/>
        </w:rPr>
        <w:t xml:space="preserve">maximální výší </w:t>
      </w:r>
      <w:r w:rsidR="00672E46">
        <w:rPr>
          <w:rFonts w:ascii="Arial" w:hAnsi="Arial" w:cs="Arial"/>
          <w:sz w:val="24"/>
          <w:szCs w:val="24"/>
        </w:rPr>
        <w:t>5 059,84</w:t>
      </w:r>
      <w:r>
        <w:rPr>
          <w:rFonts w:ascii="Arial" w:hAnsi="Arial" w:cs="Arial"/>
          <w:sz w:val="24"/>
          <w:szCs w:val="24"/>
        </w:rPr>
        <w:t> Kč měsíčně</w:t>
      </w:r>
      <w:r w:rsidR="00672E46">
        <w:rPr>
          <w:rFonts w:ascii="Arial" w:hAnsi="Arial" w:cs="Arial"/>
          <w:sz w:val="24"/>
          <w:szCs w:val="24"/>
        </w:rPr>
        <w:t xml:space="preserve"> (bez stravy)</w:t>
      </w:r>
      <w:r>
        <w:rPr>
          <w:rFonts w:ascii="Arial" w:hAnsi="Arial" w:cs="Arial"/>
          <w:sz w:val="24"/>
          <w:szCs w:val="24"/>
        </w:rPr>
        <w:t>. V případě zkrácené docházky (a</w:t>
      </w:r>
      <w:r w:rsidR="00672E4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tedy nižšího příspěvku na</w:t>
      </w:r>
      <w:r w:rsidR="00A91DC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obsazené kapacitní místo) je nutné úhradu poměrně krátit tak, aby byly podmínky stanovené Evropskou komisí splněny i v tomto případě. </w:t>
      </w:r>
    </w:p>
    <w:p w14:paraId="4901DEBA" w14:textId="48BF3442" w:rsidR="008C21C5" w:rsidRDefault="008C21C5" w:rsidP="00F666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obsazení kapacitního místa starším dítětem není výše úhrady ze strany rodičů limitována a dle vyjádření Úřadu pro ochranu hospodářské soutěže v takovém případě není možné službu považovat za nehospodářskou činnost. To znamená, že příspěvek poskytovaný z veřejných zdrojů by mohl mít charakter veřejné podpory. Aby nedošlo k naplnění znaků veřejné podpory týkajících se zvýhodnění podniku na trhu, je potřeba dohlížet na to, aby jednomu podniku nebyla poskytnuta podpora ve vyšší míře</w:t>
      </w:r>
      <w:r w:rsidR="006243F9">
        <w:rPr>
          <w:rFonts w:ascii="Arial" w:hAnsi="Arial" w:cs="Arial"/>
          <w:sz w:val="24"/>
          <w:szCs w:val="24"/>
        </w:rPr>
        <w:t>,</w:t>
      </w:r>
      <w:r w:rsidR="001F16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než </w:t>
      </w:r>
      <w:r w:rsidR="006243F9">
        <w:rPr>
          <w:rFonts w:ascii="Arial" w:hAnsi="Arial" w:cs="Arial"/>
          <w:sz w:val="24"/>
          <w:szCs w:val="24"/>
        </w:rPr>
        <w:lastRenderedPageBreak/>
        <w:t>stanoví příslušné právní předpisy EU.</w:t>
      </w:r>
      <w:r>
        <w:rPr>
          <w:rFonts w:ascii="Arial" w:hAnsi="Arial" w:cs="Arial"/>
          <w:sz w:val="24"/>
          <w:szCs w:val="24"/>
        </w:rPr>
        <w:t xml:space="preserve"> Při nepřekročení limitu se bude jednat o</w:t>
      </w:r>
      <w:r w:rsidR="00A4602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takzvanou podporu de minimis, která je právem EU dovolena. </w:t>
      </w:r>
    </w:p>
    <w:p w14:paraId="44F4AF61" w14:textId="77777777" w:rsidR="00F66637" w:rsidRDefault="00F66637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DD9A00" w14:textId="616042EF" w:rsidR="000C0B6C" w:rsidRPr="00761002" w:rsidRDefault="000C0B6C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1002">
        <w:rPr>
          <w:rFonts w:ascii="Arial" w:hAnsi="Arial" w:cs="Arial"/>
          <w:b/>
          <w:bCs/>
          <w:sz w:val="24"/>
          <w:szCs w:val="24"/>
          <w:u w:val="single"/>
        </w:rPr>
        <w:t>Podpora de minimis</w:t>
      </w:r>
    </w:p>
    <w:p w14:paraId="7A9F16E2" w14:textId="03CF5443" w:rsidR="00B5124D" w:rsidRDefault="00B5124D" w:rsidP="00B5124D">
      <w:pPr>
        <w:spacing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Podpora de minimis je podpora malého rozsahu. </w:t>
      </w:r>
      <w:r w:rsidR="000E3342">
        <w:rPr>
          <w:rFonts w:ascii="Arial" w:hAnsi="Arial" w:cs="Arial"/>
          <w:sz w:val="24"/>
          <w:szCs w:val="24"/>
          <w:lang w:eastAsia="cs-CZ"/>
        </w:rPr>
        <w:t xml:space="preserve">Vzhledem k tomu, že je výše podpory limitována, </w:t>
      </w:r>
      <w:r w:rsidR="000E3342" w:rsidRPr="000E3342">
        <w:rPr>
          <w:rFonts w:ascii="Arial" w:hAnsi="Arial" w:cs="Arial"/>
          <w:sz w:val="24"/>
          <w:szCs w:val="24"/>
          <w:lang w:eastAsia="cs-CZ"/>
        </w:rPr>
        <w:t>ne</w:t>
      </w:r>
      <w:r w:rsidR="000E3342">
        <w:rPr>
          <w:rFonts w:ascii="Arial" w:hAnsi="Arial" w:cs="Arial"/>
          <w:sz w:val="24"/>
          <w:szCs w:val="24"/>
          <w:lang w:eastAsia="cs-CZ"/>
        </w:rPr>
        <w:t xml:space="preserve">naplňuje definiční znaky zakázané </w:t>
      </w:r>
      <w:r w:rsidR="000E3342" w:rsidRPr="000E3342">
        <w:rPr>
          <w:rFonts w:ascii="Arial" w:hAnsi="Arial" w:cs="Arial"/>
          <w:sz w:val="24"/>
          <w:szCs w:val="24"/>
          <w:lang w:eastAsia="cs-CZ"/>
        </w:rPr>
        <w:t>veřejn</w:t>
      </w:r>
      <w:r w:rsidR="000E3342">
        <w:rPr>
          <w:rFonts w:ascii="Arial" w:hAnsi="Arial" w:cs="Arial"/>
          <w:sz w:val="24"/>
          <w:szCs w:val="24"/>
          <w:lang w:eastAsia="cs-CZ"/>
        </w:rPr>
        <w:t>é</w:t>
      </w:r>
      <w:r w:rsidR="000E3342" w:rsidRPr="000E3342">
        <w:rPr>
          <w:rFonts w:ascii="Arial" w:hAnsi="Arial" w:cs="Arial"/>
          <w:sz w:val="24"/>
          <w:szCs w:val="24"/>
          <w:lang w:eastAsia="cs-CZ"/>
        </w:rPr>
        <w:t xml:space="preserve"> podpor</w:t>
      </w:r>
      <w:r w:rsidR="000E3342">
        <w:rPr>
          <w:rFonts w:ascii="Arial" w:hAnsi="Arial" w:cs="Arial"/>
          <w:sz w:val="24"/>
          <w:szCs w:val="24"/>
          <w:lang w:eastAsia="cs-CZ"/>
        </w:rPr>
        <w:t>y</w:t>
      </w:r>
      <w:r w:rsidR="000E3342" w:rsidRPr="000E3342">
        <w:rPr>
          <w:rFonts w:ascii="Arial" w:hAnsi="Arial" w:cs="Arial"/>
          <w:sz w:val="24"/>
          <w:szCs w:val="24"/>
          <w:lang w:eastAsia="cs-CZ"/>
        </w:rPr>
        <w:t>.</w:t>
      </w:r>
      <w:r w:rsidR="000E3342">
        <w:rPr>
          <w:rFonts w:ascii="Arial" w:hAnsi="Arial" w:cs="Arial"/>
          <w:sz w:val="24"/>
          <w:szCs w:val="24"/>
          <w:lang w:eastAsia="cs-CZ"/>
        </w:rPr>
        <w:t xml:space="preserve"> </w:t>
      </w:r>
      <w:r w:rsidR="00DE0F6C" w:rsidRPr="00DE0F6C">
        <w:rPr>
          <w:rFonts w:ascii="Arial" w:hAnsi="Arial" w:cs="Arial"/>
          <w:sz w:val="24"/>
          <w:szCs w:val="24"/>
          <w:lang w:eastAsia="cs-CZ"/>
        </w:rPr>
        <w:t xml:space="preserve">Poskytování podpory v režimu de minimis je upraveno právem EU.  </w:t>
      </w:r>
    </w:p>
    <w:p w14:paraId="4B7E3598" w14:textId="362A2C11" w:rsidR="008B5EC0" w:rsidRDefault="00C41B01" w:rsidP="00CB4E9C">
      <w:pPr>
        <w:spacing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Jestliže</w:t>
      </w:r>
      <w:r w:rsidR="00807EC4">
        <w:rPr>
          <w:rFonts w:ascii="Arial" w:hAnsi="Arial" w:cs="Arial"/>
          <w:sz w:val="24"/>
          <w:szCs w:val="24"/>
          <w:lang w:eastAsia="cs-CZ"/>
        </w:rPr>
        <w:t xml:space="preserve"> poskytovatel služby péče o dítě v dětské skupině bude žádat o p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říspěvek na</w:t>
      </w:r>
      <w:r>
        <w:rPr>
          <w:rFonts w:ascii="Arial" w:hAnsi="Arial" w:cs="Arial"/>
          <w:sz w:val="24"/>
          <w:szCs w:val="24"/>
          <w:lang w:eastAsia="cs-CZ"/>
        </w:rPr>
        <w:t> 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místo obsazené dítětem </w:t>
      </w:r>
      <w:r w:rsidR="00CB4E9C" w:rsidRPr="00CB4E9C">
        <w:rPr>
          <w:rFonts w:ascii="Arial" w:hAnsi="Arial" w:cs="Arial"/>
          <w:b/>
          <w:bCs/>
          <w:sz w:val="24"/>
          <w:szCs w:val="24"/>
          <w:lang w:eastAsia="cs-CZ"/>
        </w:rPr>
        <w:t>starší věkové kategorie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 (tj. od 1. září po</w:t>
      </w:r>
      <w:r w:rsidR="00CB4E9C">
        <w:rPr>
          <w:rFonts w:ascii="Arial" w:hAnsi="Arial" w:cs="Arial"/>
          <w:sz w:val="24"/>
          <w:szCs w:val="24"/>
          <w:lang w:eastAsia="cs-CZ"/>
        </w:rPr>
        <w:t> 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3.</w:t>
      </w:r>
      <w:r w:rsidR="00CB4E9C">
        <w:rPr>
          <w:rFonts w:ascii="Arial" w:hAnsi="Arial" w:cs="Arial"/>
          <w:sz w:val="24"/>
          <w:szCs w:val="24"/>
          <w:lang w:eastAsia="cs-CZ"/>
        </w:rPr>
        <w:t xml:space="preserve"> n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arozeninách do zahájení povinné školní docházky)</w:t>
      </w:r>
      <w:r w:rsidR="00807EC4">
        <w:rPr>
          <w:rFonts w:ascii="Arial" w:hAnsi="Arial" w:cs="Arial"/>
          <w:sz w:val="24"/>
          <w:szCs w:val="24"/>
          <w:lang w:eastAsia="cs-CZ"/>
        </w:rPr>
        <w:t xml:space="preserve">, tento příspěvek </w:t>
      </w:r>
      <w:r w:rsidR="00CB4E9C" w:rsidRPr="00CB4E9C">
        <w:rPr>
          <w:rFonts w:ascii="Arial" w:hAnsi="Arial" w:cs="Arial"/>
          <w:b/>
          <w:bCs/>
          <w:sz w:val="24"/>
          <w:szCs w:val="24"/>
          <w:lang w:eastAsia="cs-CZ"/>
        </w:rPr>
        <w:t>bude vždy vyplácen v režimu de minimis</w:t>
      </w:r>
      <w:r w:rsidR="00CB4E9C" w:rsidRPr="00CB4E9C">
        <w:rPr>
          <w:rFonts w:ascii="Arial" w:hAnsi="Arial" w:cs="Arial"/>
          <w:sz w:val="24"/>
          <w:szCs w:val="24"/>
          <w:lang w:eastAsia="cs-CZ"/>
        </w:rPr>
        <w:t> a bude se na něj vztahovat limit celkového objemu poskytnuté finanční podpory dle příslušných nařízení Evropské komise.</w:t>
      </w:r>
      <w:r w:rsidR="00CB4E9C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29F39447" w14:textId="43E04B2F" w:rsidR="000C0B6C" w:rsidRDefault="002609EF" w:rsidP="008029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E9C">
        <w:rPr>
          <w:rFonts w:ascii="Arial" w:hAnsi="Arial" w:cs="Arial"/>
          <w:sz w:val="24"/>
          <w:szCs w:val="24"/>
        </w:rPr>
        <w:t xml:space="preserve">Výše limitu de minimis se vztahuje k subjektu </w:t>
      </w:r>
      <w:r w:rsidR="008B5EC0" w:rsidRPr="00C41B01">
        <w:rPr>
          <w:rFonts w:ascii="Arial" w:hAnsi="Arial" w:cs="Arial"/>
          <w:b/>
          <w:bCs/>
          <w:sz w:val="24"/>
          <w:szCs w:val="24"/>
        </w:rPr>
        <w:t>(podniku)</w:t>
      </w:r>
      <w:r w:rsidR="008B5EC0">
        <w:rPr>
          <w:rFonts w:ascii="Arial" w:hAnsi="Arial" w:cs="Arial"/>
          <w:sz w:val="24"/>
          <w:szCs w:val="24"/>
        </w:rPr>
        <w:t xml:space="preserve"> </w:t>
      </w:r>
      <w:r w:rsidRPr="00CB4E9C">
        <w:rPr>
          <w:rFonts w:ascii="Arial" w:hAnsi="Arial" w:cs="Arial"/>
          <w:sz w:val="24"/>
          <w:szCs w:val="24"/>
        </w:rPr>
        <w:t>a k rozhodnému období, tj.</w:t>
      </w:r>
      <w:r w:rsidR="00C41B01">
        <w:rPr>
          <w:rFonts w:ascii="Arial" w:hAnsi="Arial" w:cs="Arial"/>
          <w:sz w:val="24"/>
          <w:szCs w:val="24"/>
        </w:rPr>
        <w:t> </w:t>
      </w:r>
      <w:r w:rsidRPr="00CB4E9C">
        <w:rPr>
          <w:rFonts w:ascii="Arial" w:hAnsi="Arial" w:cs="Arial"/>
          <w:sz w:val="24"/>
          <w:szCs w:val="24"/>
        </w:rPr>
        <w:t>ke třem po sobě následujícím účetním obdobím stanovených příjemcem podpory dle zákona o účetnictví. Vždy se jedná o současné období a dvě předcházející. V České republice se každá podpora poskytnutá v tomto režimu zaznamenává do</w:t>
      </w:r>
      <w:r w:rsidR="00C41B01">
        <w:rPr>
          <w:rFonts w:ascii="Arial" w:hAnsi="Arial" w:cs="Arial"/>
          <w:sz w:val="24"/>
          <w:szCs w:val="24"/>
        </w:rPr>
        <w:t> </w:t>
      </w:r>
      <w:r w:rsidRPr="00CB4E9C">
        <w:rPr>
          <w:rFonts w:ascii="Arial" w:hAnsi="Arial" w:cs="Arial"/>
          <w:sz w:val="24"/>
          <w:szCs w:val="24"/>
        </w:rPr>
        <w:t>Centrálního registru podpor malého rozsahu.</w:t>
      </w:r>
    </w:p>
    <w:p w14:paraId="4D9B4D83" w14:textId="1FAE4790" w:rsidR="009126F8" w:rsidRPr="00CB4E9C" w:rsidRDefault="009126F8" w:rsidP="008029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Poskytnuté podpory se sčítají, včetně podpor poskytnutých jinými poskytovateli a</w:t>
      </w:r>
      <w:r w:rsidR="006232B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</w:t>
      </w:r>
      <w:r w:rsidR="006232B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jiným účelem.</w:t>
      </w:r>
    </w:p>
    <w:p w14:paraId="08F5BAB7" w14:textId="0116E819" w:rsidR="00C41B01" w:rsidRPr="009126F8" w:rsidRDefault="009126F8" w:rsidP="008029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26F8">
        <w:rPr>
          <w:rFonts w:ascii="Arial" w:hAnsi="Arial" w:cs="Arial"/>
          <w:sz w:val="24"/>
          <w:szCs w:val="24"/>
        </w:rPr>
        <w:t>Více informací k veřejné podpoře</w:t>
      </w:r>
      <w:r>
        <w:rPr>
          <w:rFonts w:ascii="Arial" w:hAnsi="Arial" w:cs="Arial"/>
          <w:sz w:val="24"/>
          <w:szCs w:val="24"/>
        </w:rPr>
        <w:t xml:space="preserve"> je možné nalézt na stránkách Úřadu pro ochranu hospodářské soutěže</w:t>
      </w:r>
      <w:r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včetně metodických příruček</w:t>
      </w:r>
      <w:r>
        <w:rPr>
          <w:rStyle w:val="Znakapoznpodarou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, z kterých vychází tento materiál. </w:t>
      </w:r>
    </w:p>
    <w:p w14:paraId="6DDE6D31" w14:textId="77777777" w:rsidR="004A4B81" w:rsidRDefault="004A4B81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EDD2E7" w14:textId="1EF6671C" w:rsidR="004D004A" w:rsidRPr="00761002" w:rsidRDefault="00761002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4D004A" w:rsidRPr="00761002">
        <w:rPr>
          <w:rFonts w:ascii="Arial" w:hAnsi="Arial" w:cs="Arial"/>
          <w:b/>
          <w:bCs/>
          <w:sz w:val="24"/>
          <w:szCs w:val="24"/>
          <w:u w:val="single"/>
        </w:rPr>
        <w:t>ozhodné období</w:t>
      </w:r>
    </w:p>
    <w:p w14:paraId="7A2150B4" w14:textId="3F6F5375" w:rsidR="00D302BE" w:rsidRPr="00CB4E9C" w:rsidRDefault="004D004A" w:rsidP="008029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E9C">
        <w:rPr>
          <w:rFonts w:ascii="Arial" w:hAnsi="Arial" w:cs="Arial"/>
          <w:sz w:val="24"/>
          <w:szCs w:val="24"/>
        </w:rPr>
        <w:t xml:space="preserve">Rozhodné období příjemce </w:t>
      </w:r>
      <w:r w:rsidR="00DE0F6C">
        <w:rPr>
          <w:rFonts w:ascii="Arial" w:hAnsi="Arial" w:cs="Arial"/>
          <w:sz w:val="24"/>
          <w:szCs w:val="24"/>
        </w:rPr>
        <w:t xml:space="preserve">podpory </w:t>
      </w:r>
      <w:r w:rsidRPr="00CB4E9C">
        <w:rPr>
          <w:rFonts w:ascii="Arial" w:hAnsi="Arial" w:cs="Arial"/>
          <w:sz w:val="24"/>
          <w:szCs w:val="24"/>
        </w:rPr>
        <w:t>je definováno jako tři po sobě jdoucí účetní období</w:t>
      </w:r>
      <w:r w:rsidR="00077226" w:rsidRPr="00CB4E9C">
        <w:rPr>
          <w:rFonts w:ascii="Arial" w:hAnsi="Arial" w:cs="Arial"/>
          <w:sz w:val="24"/>
          <w:szCs w:val="24"/>
        </w:rPr>
        <w:t>.</w:t>
      </w:r>
      <w:r w:rsidR="008B5EC0">
        <w:rPr>
          <w:rFonts w:ascii="Arial" w:hAnsi="Arial" w:cs="Arial"/>
          <w:sz w:val="24"/>
          <w:szCs w:val="24"/>
        </w:rPr>
        <w:t xml:space="preserve"> Dle</w:t>
      </w:r>
      <w:r w:rsidR="00DE0F6C">
        <w:rPr>
          <w:rFonts w:ascii="Arial" w:hAnsi="Arial" w:cs="Arial"/>
          <w:sz w:val="24"/>
          <w:szCs w:val="24"/>
        </w:rPr>
        <w:t> </w:t>
      </w:r>
      <w:r w:rsidR="008B5EC0">
        <w:rPr>
          <w:rFonts w:ascii="Arial" w:hAnsi="Arial" w:cs="Arial"/>
          <w:sz w:val="24"/>
          <w:szCs w:val="24"/>
        </w:rPr>
        <w:t>zákona</w:t>
      </w:r>
      <w:r w:rsidR="00077226" w:rsidRPr="00CB4E9C">
        <w:rPr>
          <w:rFonts w:ascii="Arial" w:hAnsi="Arial" w:cs="Arial"/>
          <w:sz w:val="24"/>
          <w:szCs w:val="24"/>
        </w:rPr>
        <w:t xml:space="preserve"> </w:t>
      </w:r>
      <w:r w:rsidR="00C41B01">
        <w:rPr>
          <w:rFonts w:ascii="Arial" w:hAnsi="Arial" w:cs="Arial"/>
          <w:sz w:val="24"/>
          <w:szCs w:val="24"/>
        </w:rPr>
        <w:t xml:space="preserve">o účetnictví </w:t>
      </w:r>
      <w:r w:rsidR="008B5EC0">
        <w:rPr>
          <w:rFonts w:ascii="Arial" w:hAnsi="Arial" w:cs="Arial"/>
          <w:sz w:val="24"/>
          <w:szCs w:val="24"/>
        </w:rPr>
        <w:t>je ú</w:t>
      </w:r>
      <w:r w:rsidR="00077226" w:rsidRPr="00CB4E9C">
        <w:rPr>
          <w:rFonts w:ascii="Arial" w:hAnsi="Arial" w:cs="Arial"/>
          <w:sz w:val="24"/>
          <w:szCs w:val="24"/>
        </w:rPr>
        <w:t>četní</w:t>
      </w:r>
      <w:r w:rsidR="008B5EC0">
        <w:rPr>
          <w:rFonts w:ascii="Arial" w:hAnsi="Arial" w:cs="Arial"/>
          <w:sz w:val="24"/>
          <w:szCs w:val="24"/>
        </w:rPr>
        <w:t>m</w:t>
      </w:r>
      <w:r w:rsidR="00077226" w:rsidRPr="00CB4E9C">
        <w:rPr>
          <w:rFonts w:ascii="Arial" w:hAnsi="Arial" w:cs="Arial"/>
          <w:sz w:val="24"/>
          <w:szCs w:val="24"/>
        </w:rPr>
        <w:t xml:space="preserve"> období</w:t>
      </w:r>
      <w:r w:rsidR="008B5EC0">
        <w:rPr>
          <w:rFonts w:ascii="Arial" w:hAnsi="Arial" w:cs="Arial"/>
          <w:sz w:val="24"/>
          <w:szCs w:val="24"/>
        </w:rPr>
        <w:t xml:space="preserve">m </w:t>
      </w:r>
      <w:r w:rsidR="00077226" w:rsidRPr="00CB4E9C">
        <w:rPr>
          <w:rFonts w:ascii="Arial" w:hAnsi="Arial" w:cs="Arial"/>
          <w:sz w:val="24"/>
          <w:szCs w:val="24"/>
        </w:rPr>
        <w:t>nepřetržitě po sobě jdoucích 12</w:t>
      </w:r>
      <w:r w:rsidR="009126F8">
        <w:rPr>
          <w:rFonts w:ascii="Arial" w:hAnsi="Arial" w:cs="Arial"/>
          <w:sz w:val="24"/>
          <w:szCs w:val="24"/>
        </w:rPr>
        <w:t> </w:t>
      </w:r>
      <w:r w:rsidR="00077226" w:rsidRPr="00CB4E9C">
        <w:rPr>
          <w:rFonts w:ascii="Arial" w:hAnsi="Arial" w:cs="Arial"/>
          <w:sz w:val="24"/>
          <w:szCs w:val="24"/>
        </w:rPr>
        <w:t xml:space="preserve">měsíců. </w:t>
      </w:r>
    </w:p>
    <w:p w14:paraId="3335E1F1" w14:textId="4FEF5D91" w:rsidR="004D004A" w:rsidRPr="00CB4E9C" w:rsidRDefault="00077226" w:rsidP="008029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E9C">
        <w:rPr>
          <w:rFonts w:ascii="Arial" w:hAnsi="Arial" w:cs="Arial"/>
          <w:sz w:val="24"/>
          <w:szCs w:val="24"/>
        </w:rPr>
        <w:lastRenderedPageBreak/>
        <w:t xml:space="preserve">Účetní období </w:t>
      </w:r>
      <w:r w:rsidR="008B5EC0">
        <w:rPr>
          <w:rFonts w:ascii="Arial" w:hAnsi="Arial" w:cs="Arial"/>
          <w:sz w:val="24"/>
          <w:szCs w:val="24"/>
        </w:rPr>
        <w:t xml:space="preserve">příjemce </w:t>
      </w:r>
      <w:r w:rsidRPr="00CB4E9C">
        <w:rPr>
          <w:rFonts w:ascii="Arial" w:hAnsi="Arial" w:cs="Arial"/>
          <w:sz w:val="24"/>
          <w:szCs w:val="24"/>
        </w:rPr>
        <w:t xml:space="preserve">se buď </w:t>
      </w:r>
      <w:r w:rsidRPr="00CB4E9C">
        <w:rPr>
          <w:rFonts w:ascii="Arial" w:hAnsi="Arial" w:cs="Arial"/>
          <w:b/>
          <w:bCs/>
          <w:sz w:val="24"/>
          <w:szCs w:val="24"/>
        </w:rPr>
        <w:t>shoduje s kalendářním rokem</w:t>
      </w:r>
      <w:r w:rsidRPr="00CB4E9C">
        <w:rPr>
          <w:rFonts w:ascii="Arial" w:hAnsi="Arial" w:cs="Arial"/>
          <w:sz w:val="24"/>
          <w:szCs w:val="24"/>
        </w:rPr>
        <w:t xml:space="preserve">, nebo </w:t>
      </w:r>
      <w:r w:rsidRPr="00CB4E9C">
        <w:rPr>
          <w:rFonts w:ascii="Arial" w:hAnsi="Arial" w:cs="Arial"/>
          <w:b/>
          <w:bCs/>
          <w:sz w:val="24"/>
          <w:szCs w:val="24"/>
        </w:rPr>
        <w:t>je hospodářským rokem</w:t>
      </w:r>
      <w:r w:rsidRPr="00CB4E9C">
        <w:rPr>
          <w:rFonts w:ascii="Arial" w:hAnsi="Arial" w:cs="Arial"/>
          <w:sz w:val="24"/>
          <w:szCs w:val="24"/>
        </w:rPr>
        <w:t>. Hospodářským rokem je účetní období, které může začínat pouze prvním dnem jiného</w:t>
      </w:r>
      <w:r w:rsidR="00D302BE" w:rsidRPr="00CB4E9C">
        <w:rPr>
          <w:rFonts w:ascii="Arial" w:hAnsi="Arial" w:cs="Arial"/>
          <w:sz w:val="24"/>
          <w:szCs w:val="24"/>
        </w:rPr>
        <w:t xml:space="preserve"> </w:t>
      </w:r>
      <w:r w:rsidRPr="00CB4E9C">
        <w:rPr>
          <w:rFonts w:ascii="Arial" w:hAnsi="Arial" w:cs="Arial"/>
          <w:sz w:val="24"/>
          <w:szCs w:val="24"/>
        </w:rPr>
        <w:t>měsíce než leden.</w:t>
      </w:r>
      <w:r w:rsidR="00DE0F6C">
        <w:rPr>
          <w:rFonts w:ascii="Arial" w:hAnsi="Arial" w:cs="Arial"/>
          <w:sz w:val="24"/>
          <w:szCs w:val="24"/>
        </w:rPr>
        <w:t xml:space="preserve"> V praxi většina poskytovatelů služby péče o dítě v dětské skupině využívá kalendářní rok.</w:t>
      </w:r>
    </w:p>
    <w:p w14:paraId="439205A1" w14:textId="77777777" w:rsidR="004A4B81" w:rsidRDefault="004A4B81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B0419A" w14:textId="090FF0B5" w:rsidR="00584267" w:rsidRPr="00761002" w:rsidRDefault="00D63267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1002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584267" w:rsidRPr="00761002">
        <w:rPr>
          <w:rFonts w:ascii="Arial" w:hAnsi="Arial" w:cs="Arial"/>
          <w:b/>
          <w:bCs/>
          <w:sz w:val="24"/>
          <w:szCs w:val="24"/>
          <w:u w:val="single"/>
        </w:rPr>
        <w:t>odnik</w:t>
      </w:r>
    </w:p>
    <w:p w14:paraId="02D17103" w14:textId="7BFC23CB" w:rsidR="00584267" w:rsidRPr="00D63267" w:rsidRDefault="00807EC4" w:rsidP="0080296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Podpora v režimu de minimis se počítá pro jeden podnik. </w:t>
      </w:r>
      <w:r w:rsidR="00584267" w:rsidRPr="00CB4E9C">
        <w:rPr>
          <w:rFonts w:ascii="Arial" w:hAnsi="Arial" w:cs="Arial"/>
          <w:sz w:val="24"/>
          <w:szCs w:val="24"/>
        </w:rPr>
        <w:t xml:space="preserve">Podnikem se rozumí každý subjekt vykonávající hospodářskou činnost, bez ohledu na jeho právní formu a způsob financování, který nabízí služby a/nebo zboží. </w:t>
      </w:r>
      <w:r w:rsidR="00584267" w:rsidRPr="00D63267">
        <w:rPr>
          <w:rFonts w:ascii="Arial" w:hAnsi="Arial" w:cs="Arial"/>
          <w:b/>
          <w:bCs/>
          <w:sz w:val="24"/>
          <w:szCs w:val="24"/>
        </w:rPr>
        <w:t>Pod pojem podnik spadají i</w:t>
      </w:r>
      <w:r w:rsidR="006D4376">
        <w:rPr>
          <w:rFonts w:ascii="Arial" w:hAnsi="Arial" w:cs="Arial"/>
          <w:b/>
          <w:bCs/>
          <w:sz w:val="24"/>
          <w:szCs w:val="24"/>
        </w:rPr>
        <w:t> </w:t>
      </w:r>
      <w:r w:rsidR="00584267" w:rsidRPr="00D63267">
        <w:rPr>
          <w:rFonts w:ascii="Arial" w:hAnsi="Arial" w:cs="Arial"/>
          <w:b/>
          <w:bCs/>
          <w:sz w:val="24"/>
          <w:szCs w:val="24"/>
        </w:rPr>
        <w:t>poskytovatelé služby péče o dítě v dětské skupině</w:t>
      </w:r>
      <w:r w:rsidR="00E16D9B">
        <w:rPr>
          <w:rFonts w:ascii="Arial" w:hAnsi="Arial" w:cs="Arial"/>
          <w:b/>
          <w:bCs/>
          <w:sz w:val="24"/>
          <w:szCs w:val="24"/>
        </w:rPr>
        <w:t>, dle vyjádření Úřadu na</w:t>
      </w:r>
      <w:r w:rsidR="006232B1">
        <w:rPr>
          <w:rFonts w:ascii="Arial" w:hAnsi="Arial" w:cs="Arial"/>
          <w:b/>
          <w:bCs/>
          <w:sz w:val="24"/>
          <w:szCs w:val="24"/>
        </w:rPr>
        <w:t> </w:t>
      </w:r>
      <w:r w:rsidR="00E16D9B">
        <w:rPr>
          <w:rFonts w:ascii="Arial" w:hAnsi="Arial" w:cs="Arial"/>
          <w:b/>
          <w:bCs/>
          <w:sz w:val="24"/>
          <w:szCs w:val="24"/>
        </w:rPr>
        <w:t>ochranu hospodářské soutěže se z hlediska příspěvku na provoz dětské skupiny podnikem myslí všichni poskytovatelé, není relevantní, zda poskytují službu výhradně svým zaměstnancům nebo také rodičům, kteří nejsou zaměstnanci poskytovatele.</w:t>
      </w:r>
    </w:p>
    <w:p w14:paraId="098037F8" w14:textId="1C6EB183" w:rsidR="000156A4" w:rsidRPr="00807EC4" w:rsidRDefault="000D367A" w:rsidP="00CD24DE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CB4E9C">
        <w:rPr>
          <w:rFonts w:ascii="Arial" w:hAnsi="Arial" w:cs="Arial"/>
          <w:sz w:val="24"/>
          <w:szCs w:val="24"/>
        </w:rPr>
        <w:t>Podniky se neposuzují izolovaně.</w:t>
      </w:r>
      <w:r w:rsidR="00CD24DE">
        <w:rPr>
          <w:rFonts w:ascii="Arial" w:hAnsi="Arial" w:cs="Arial"/>
          <w:sz w:val="24"/>
          <w:szCs w:val="24"/>
        </w:rPr>
        <w:t xml:space="preserve"> </w:t>
      </w:r>
      <w:r w:rsidR="00CD24DE" w:rsidRPr="00CD24DE">
        <w:rPr>
          <w:rFonts w:ascii="Arial" w:hAnsi="Arial" w:cs="Arial"/>
          <w:b/>
          <w:bCs/>
          <w:sz w:val="24"/>
          <w:szCs w:val="24"/>
        </w:rPr>
        <w:t>Pojem „jeden podnik“ („propojený podnik“)</w:t>
      </w:r>
      <w:r w:rsidR="00CD24DE">
        <w:rPr>
          <w:rFonts w:ascii="Arial" w:hAnsi="Arial" w:cs="Arial"/>
          <w:sz w:val="24"/>
          <w:szCs w:val="24"/>
        </w:rPr>
        <w:t xml:space="preserve"> zahrnuje veškeré subjekty, které mají mezi sebou alespoň jeden z následujících vztahů:</w:t>
      </w:r>
    </w:p>
    <w:p w14:paraId="16EFCA1C" w14:textId="77777777" w:rsidR="000156A4" w:rsidRPr="00CB4E9C" w:rsidRDefault="000156A4" w:rsidP="00802965">
      <w:pPr>
        <w:numPr>
          <w:ilvl w:val="0"/>
          <w:numId w:val="2"/>
        </w:numPr>
        <w:spacing w:after="220" w:line="36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CB4E9C">
        <w:rPr>
          <w:rFonts w:ascii="Arial" w:eastAsia="Arial" w:hAnsi="Arial" w:cs="Arial"/>
          <w:sz w:val="24"/>
          <w:szCs w:val="24"/>
        </w:rPr>
        <w:t>jeden subjekt vlastní více než 50 % hlasovacích práv, která náležejí akcionářům nebo společníkům, v jiném subjektu;</w:t>
      </w:r>
    </w:p>
    <w:p w14:paraId="082963AD" w14:textId="77777777" w:rsidR="000156A4" w:rsidRPr="00CB4E9C" w:rsidRDefault="000156A4" w:rsidP="00802965">
      <w:pPr>
        <w:numPr>
          <w:ilvl w:val="0"/>
          <w:numId w:val="2"/>
        </w:numPr>
        <w:spacing w:after="220" w:line="36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CB4E9C">
        <w:rPr>
          <w:rFonts w:ascii="Arial" w:eastAsia="Arial" w:hAnsi="Arial" w:cs="Arial"/>
          <w:sz w:val="24"/>
          <w:szCs w:val="24"/>
        </w:rPr>
        <w:t>jeden subjekt má právo jmenovat nebo odvolat více než 50 % členů správního, řídícího nebo dozorčího orgánu jiného subjektu;</w:t>
      </w:r>
    </w:p>
    <w:p w14:paraId="36E18C9C" w14:textId="77777777" w:rsidR="000156A4" w:rsidRPr="00CB4E9C" w:rsidRDefault="000156A4" w:rsidP="00802965">
      <w:pPr>
        <w:numPr>
          <w:ilvl w:val="0"/>
          <w:numId w:val="2"/>
        </w:numPr>
        <w:spacing w:after="220" w:line="36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CB4E9C">
        <w:rPr>
          <w:rFonts w:ascii="Arial" w:eastAsia="Arial" w:hAnsi="Arial" w:cs="Arial"/>
          <w:sz w:val="24"/>
          <w:szCs w:val="24"/>
        </w:rPr>
        <w:t>jeden subjekt má právo uplatňovat více než 50% vliv v jiném subjektu podle smlouvy uzavřené s daným subjektem nebo dle ustanovení v zakladatelské smlouvě nebo ve stanovách tohoto subjektu;</w:t>
      </w:r>
    </w:p>
    <w:p w14:paraId="05DC0F52" w14:textId="77777777" w:rsidR="000156A4" w:rsidRPr="00CB4E9C" w:rsidRDefault="000156A4" w:rsidP="00802965">
      <w:pPr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E9C">
        <w:rPr>
          <w:rFonts w:ascii="Arial" w:eastAsia="Arial" w:hAnsi="Arial" w:cs="Arial"/>
          <w:sz w:val="24"/>
          <w:szCs w:val="24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2CA1A60D" w14:textId="1416C172" w:rsidR="000156A4" w:rsidRPr="001E1E8F" w:rsidRDefault="000156A4" w:rsidP="00802965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B4E9C">
        <w:rPr>
          <w:rFonts w:ascii="Arial" w:eastAsia="Arial" w:hAnsi="Arial" w:cs="Arial"/>
          <w:sz w:val="24"/>
          <w:szCs w:val="24"/>
        </w:rPr>
        <w:t>Subjekty, které mají s žadatelem o podporu de minimis jakýkoli vztah uvedený pod písm</w:t>
      </w:r>
      <w:r w:rsidRPr="001E1E8F">
        <w:rPr>
          <w:rFonts w:ascii="Arial" w:eastAsia="Arial" w:hAnsi="Arial" w:cs="Arial"/>
          <w:sz w:val="24"/>
          <w:szCs w:val="24"/>
        </w:rPr>
        <w:t>. a) až d) prostřednictvím jednoho nebo více dalších subjektů, se také považují za</w:t>
      </w:r>
      <w:r w:rsidR="006B110B" w:rsidRPr="001E1E8F">
        <w:rPr>
          <w:rFonts w:ascii="Arial" w:eastAsia="Arial" w:hAnsi="Arial" w:cs="Arial"/>
          <w:sz w:val="24"/>
          <w:szCs w:val="24"/>
        </w:rPr>
        <w:t> </w:t>
      </w:r>
      <w:r w:rsidRPr="001E1E8F">
        <w:rPr>
          <w:rFonts w:ascii="Arial" w:eastAsia="Arial" w:hAnsi="Arial" w:cs="Arial"/>
          <w:sz w:val="24"/>
          <w:szCs w:val="24"/>
        </w:rPr>
        <w:t>podnik propojený s žadatelem o podporu de minimis</w:t>
      </w:r>
      <w:r w:rsidR="00A02F76" w:rsidRPr="001E1E8F">
        <w:rPr>
          <w:rFonts w:ascii="Arial" w:eastAsia="Arial" w:hAnsi="Arial" w:cs="Arial"/>
          <w:sz w:val="24"/>
          <w:szCs w:val="24"/>
        </w:rPr>
        <w:t>.</w:t>
      </w:r>
      <w:r w:rsidR="00ED5285" w:rsidRPr="001E1E8F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94112291"/>
      <w:r w:rsidR="001E1E8F" w:rsidRPr="001E1E8F">
        <w:rPr>
          <w:rFonts w:ascii="Arial" w:eastAsia="Arial" w:hAnsi="Arial" w:cs="Arial"/>
          <w:sz w:val="24"/>
          <w:szCs w:val="24"/>
        </w:rPr>
        <w:t>Více informací – viz</w:t>
      </w:r>
      <w:r w:rsidR="007B567A" w:rsidRPr="001E1E8F">
        <w:rPr>
          <w:rFonts w:ascii="Arial" w:eastAsia="Arial" w:hAnsi="Arial" w:cs="Arial"/>
          <w:sz w:val="24"/>
          <w:szCs w:val="24"/>
        </w:rPr>
        <w:t xml:space="preserve"> </w:t>
      </w:r>
      <w:r w:rsidR="00ED5285" w:rsidRPr="001E1E8F">
        <w:rPr>
          <w:rFonts w:ascii="Arial" w:eastAsia="Arial" w:hAnsi="Arial" w:cs="Arial"/>
          <w:sz w:val="24"/>
          <w:szCs w:val="24"/>
        </w:rPr>
        <w:t>Metodick</w:t>
      </w:r>
      <w:r w:rsidR="001E1E8F" w:rsidRPr="001E1E8F">
        <w:rPr>
          <w:rFonts w:ascii="Arial" w:eastAsia="Arial" w:hAnsi="Arial" w:cs="Arial"/>
          <w:sz w:val="24"/>
          <w:szCs w:val="24"/>
        </w:rPr>
        <w:t>á</w:t>
      </w:r>
      <w:r w:rsidR="00ED5285" w:rsidRPr="001E1E8F">
        <w:rPr>
          <w:rFonts w:ascii="Arial" w:eastAsia="Arial" w:hAnsi="Arial" w:cs="Arial"/>
          <w:sz w:val="24"/>
          <w:szCs w:val="24"/>
        </w:rPr>
        <w:t xml:space="preserve"> </w:t>
      </w:r>
      <w:r w:rsidR="00ED5285" w:rsidRPr="001E1E8F">
        <w:rPr>
          <w:rFonts w:ascii="Arial" w:eastAsia="Arial" w:hAnsi="Arial" w:cs="Arial"/>
          <w:sz w:val="24"/>
          <w:szCs w:val="24"/>
        </w:rPr>
        <w:lastRenderedPageBreak/>
        <w:t>příruč</w:t>
      </w:r>
      <w:r w:rsidR="001E1E8F" w:rsidRPr="001E1E8F">
        <w:rPr>
          <w:rFonts w:ascii="Arial" w:eastAsia="Arial" w:hAnsi="Arial" w:cs="Arial"/>
          <w:sz w:val="24"/>
          <w:szCs w:val="24"/>
        </w:rPr>
        <w:t>ka</w:t>
      </w:r>
      <w:r w:rsidR="00ED5285" w:rsidRPr="001E1E8F">
        <w:rPr>
          <w:rFonts w:ascii="Arial" w:eastAsia="Arial" w:hAnsi="Arial" w:cs="Arial"/>
          <w:sz w:val="24"/>
          <w:szCs w:val="24"/>
        </w:rPr>
        <w:t xml:space="preserve"> k aplikaci pojmu </w:t>
      </w:r>
      <w:r w:rsidR="001E1E8F" w:rsidRPr="001E1E8F">
        <w:rPr>
          <w:rFonts w:ascii="Arial" w:eastAsia="Arial" w:hAnsi="Arial" w:cs="Arial"/>
          <w:sz w:val="24"/>
          <w:szCs w:val="24"/>
        </w:rPr>
        <w:t>„</w:t>
      </w:r>
      <w:r w:rsidR="00ED5285" w:rsidRPr="001E1E8F">
        <w:rPr>
          <w:rFonts w:ascii="Arial" w:eastAsia="Arial" w:hAnsi="Arial" w:cs="Arial"/>
          <w:sz w:val="24"/>
          <w:szCs w:val="24"/>
        </w:rPr>
        <w:t>jeden podnik</w:t>
      </w:r>
      <w:r w:rsidR="001E1E8F" w:rsidRPr="001E1E8F">
        <w:rPr>
          <w:rFonts w:ascii="Arial" w:eastAsia="Arial" w:hAnsi="Arial" w:cs="Arial"/>
          <w:sz w:val="24"/>
          <w:szCs w:val="24"/>
        </w:rPr>
        <w:t>“</w:t>
      </w:r>
      <w:r w:rsidR="00ED5285" w:rsidRPr="001E1E8F">
        <w:rPr>
          <w:rFonts w:ascii="Arial" w:eastAsia="Arial" w:hAnsi="Arial" w:cs="Arial"/>
          <w:sz w:val="24"/>
          <w:szCs w:val="24"/>
        </w:rPr>
        <w:t xml:space="preserve"> z pohledu pravidel podpory de minimis</w:t>
      </w:r>
      <w:bookmarkEnd w:id="0"/>
      <w:r w:rsidR="001E1E8F">
        <w:rPr>
          <w:rFonts w:ascii="Arial" w:eastAsia="Arial" w:hAnsi="Arial" w:cs="Arial"/>
          <w:sz w:val="24"/>
          <w:szCs w:val="24"/>
        </w:rPr>
        <w:t xml:space="preserve"> (pozn. pod čarou č. 2 v tomto dokumentu)</w:t>
      </w:r>
    </w:p>
    <w:p w14:paraId="066F0A0F" w14:textId="2451A064" w:rsidR="00ED5285" w:rsidRPr="001E1E8F" w:rsidRDefault="00761002" w:rsidP="00802965">
      <w:pPr>
        <w:spacing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1E1E8F">
        <w:rPr>
          <w:rFonts w:ascii="Arial" w:eastAsia="Arial" w:hAnsi="Arial" w:cs="Arial"/>
          <w:b/>
          <w:bCs/>
          <w:sz w:val="24"/>
          <w:szCs w:val="24"/>
          <w:u w:val="single"/>
        </w:rPr>
        <w:t>Podpora de minimis a v</w:t>
      </w:r>
      <w:r w:rsidR="00ED5285" w:rsidRPr="001E1E8F">
        <w:rPr>
          <w:rFonts w:ascii="Arial" w:eastAsia="Arial" w:hAnsi="Arial" w:cs="Arial"/>
          <w:b/>
          <w:bCs/>
          <w:sz w:val="24"/>
          <w:szCs w:val="24"/>
          <w:u w:val="single"/>
        </w:rPr>
        <w:t>azba na orgán veřejné moci</w:t>
      </w:r>
      <w:r w:rsidR="007B567A" w:rsidRPr="001E1E8F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(obec, kraj atd.)</w:t>
      </w:r>
    </w:p>
    <w:p w14:paraId="29F33273" w14:textId="189E17EA" w:rsidR="00ED5285" w:rsidRDefault="00ED5285" w:rsidP="00802965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E1E8F">
        <w:rPr>
          <w:rFonts w:ascii="Arial" w:eastAsia="Arial" w:hAnsi="Arial" w:cs="Arial"/>
          <w:sz w:val="24"/>
          <w:szCs w:val="24"/>
        </w:rPr>
        <w:t>Podniky, které mají přímou vazbu na tentýž orgán veřejné moci (tj. obec, kraj apod.) a</w:t>
      </w:r>
      <w:r w:rsidR="005B085F" w:rsidRPr="001E1E8F">
        <w:rPr>
          <w:rFonts w:ascii="Arial" w:eastAsia="Arial" w:hAnsi="Arial" w:cs="Arial"/>
          <w:sz w:val="24"/>
          <w:szCs w:val="24"/>
        </w:rPr>
        <w:t> </w:t>
      </w:r>
      <w:r w:rsidRPr="001E1E8F">
        <w:rPr>
          <w:rFonts w:ascii="Arial" w:eastAsia="Arial" w:hAnsi="Arial" w:cs="Arial"/>
          <w:sz w:val="24"/>
          <w:szCs w:val="24"/>
        </w:rPr>
        <w:t>nemají žádný vzájemný vztah, se za propojené podniky nepovažují. Stejně tak se za</w:t>
      </w:r>
      <w:r w:rsidR="005B085F" w:rsidRPr="001E1E8F">
        <w:rPr>
          <w:rFonts w:ascii="Arial" w:eastAsia="Arial" w:hAnsi="Arial" w:cs="Arial"/>
          <w:sz w:val="24"/>
          <w:szCs w:val="24"/>
        </w:rPr>
        <w:t> </w:t>
      </w:r>
      <w:r w:rsidRPr="001E1E8F">
        <w:rPr>
          <w:rFonts w:ascii="Arial" w:eastAsia="Arial" w:hAnsi="Arial" w:cs="Arial"/>
          <w:sz w:val="24"/>
          <w:szCs w:val="24"/>
        </w:rPr>
        <w:t xml:space="preserve">propojené podniky nepovažuje samotný podnik a orgán veřejné moci, na který je podnik navázán. </w:t>
      </w:r>
      <w:r w:rsidR="006B110B" w:rsidRPr="001E1E8F">
        <w:rPr>
          <w:rFonts w:ascii="Arial" w:eastAsia="Arial" w:hAnsi="Arial" w:cs="Arial"/>
          <w:sz w:val="24"/>
          <w:szCs w:val="24"/>
        </w:rPr>
        <w:t>Konkrétní příklady</w:t>
      </w:r>
      <w:r w:rsidRPr="001E1E8F">
        <w:rPr>
          <w:rFonts w:ascii="Arial" w:eastAsia="Arial" w:hAnsi="Arial" w:cs="Arial"/>
          <w:sz w:val="24"/>
          <w:szCs w:val="24"/>
        </w:rPr>
        <w:t xml:space="preserve"> lze nalézt v </w:t>
      </w:r>
      <w:r w:rsidR="00EC4A31" w:rsidRPr="001E1E8F">
        <w:rPr>
          <w:rFonts w:ascii="Arial" w:eastAsia="Arial" w:hAnsi="Arial" w:cs="Arial"/>
          <w:sz w:val="24"/>
          <w:szCs w:val="24"/>
        </w:rPr>
        <w:t>„</w:t>
      </w:r>
      <w:r w:rsidRPr="001E1E8F">
        <w:rPr>
          <w:rFonts w:ascii="Arial" w:eastAsia="Arial" w:hAnsi="Arial" w:cs="Arial"/>
          <w:sz w:val="24"/>
          <w:szCs w:val="24"/>
        </w:rPr>
        <w:t>Metodick</w:t>
      </w:r>
      <w:r w:rsidR="007B567A" w:rsidRPr="001E1E8F">
        <w:rPr>
          <w:rFonts w:ascii="Arial" w:eastAsia="Arial" w:hAnsi="Arial" w:cs="Arial"/>
          <w:sz w:val="24"/>
          <w:szCs w:val="24"/>
        </w:rPr>
        <w:t>é</w:t>
      </w:r>
      <w:r w:rsidRPr="001E1E8F">
        <w:rPr>
          <w:rFonts w:ascii="Arial" w:eastAsia="Arial" w:hAnsi="Arial" w:cs="Arial"/>
          <w:sz w:val="24"/>
          <w:szCs w:val="24"/>
        </w:rPr>
        <w:t xml:space="preserve"> příruč</w:t>
      </w:r>
      <w:r w:rsidR="007B567A" w:rsidRPr="001E1E8F">
        <w:rPr>
          <w:rFonts w:ascii="Arial" w:eastAsia="Arial" w:hAnsi="Arial" w:cs="Arial"/>
          <w:sz w:val="24"/>
          <w:szCs w:val="24"/>
        </w:rPr>
        <w:t>ce</w:t>
      </w:r>
      <w:r w:rsidRPr="001E1E8F">
        <w:rPr>
          <w:rFonts w:ascii="Arial" w:eastAsia="Arial" w:hAnsi="Arial" w:cs="Arial"/>
          <w:sz w:val="24"/>
          <w:szCs w:val="24"/>
        </w:rPr>
        <w:t xml:space="preserve"> k aplikaci pojmu jeden podnik z pohledu pravidel podpory de minimis</w:t>
      </w:r>
      <w:r w:rsidR="00EC4A31" w:rsidRPr="00E859CF">
        <w:rPr>
          <w:rFonts w:ascii="Arial" w:eastAsia="Arial" w:hAnsi="Arial" w:cs="Arial"/>
          <w:sz w:val="24"/>
          <w:szCs w:val="24"/>
        </w:rPr>
        <w:t>“</w:t>
      </w:r>
      <w:r w:rsidR="006B110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13C05" w:rsidRPr="00E859CF">
        <w:rPr>
          <w:rFonts w:ascii="Arial" w:eastAsia="Arial" w:hAnsi="Arial" w:cs="Arial"/>
          <w:sz w:val="24"/>
          <w:szCs w:val="24"/>
        </w:rPr>
        <w:t>(</w:t>
      </w:r>
      <w:r w:rsidR="006B110B" w:rsidRPr="008215F3">
        <w:rPr>
          <w:rFonts w:ascii="Arial" w:eastAsia="Arial" w:hAnsi="Arial" w:cs="Arial"/>
          <w:sz w:val="24"/>
          <w:szCs w:val="24"/>
        </w:rPr>
        <w:t>str. 6</w:t>
      </w:r>
      <w:r w:rsidR="00513C05" w:rsidRPr="008215F3">
        <w:rPr>
          <w:rFonts w:ascii="Arial" w:eastAsia="Arial" w:hAnsi="Arial" w:cs="Arial"/>
          <w:sz w:val="24"/>
          <w:szCs w:val="24"/>
        </w:rPr>
        <w:t>)</w:t>
      </w:r>
      <w:r w:rsidR="007B567A" w:rsidRPr="008215F3">
        <w:rPr>
          <w:rFonts w:ascii="Arial" w:eastAsia="Arial" w:hAnsi="Arial" w:cs="Arial"/>
          <w:sz w:val="24"/>
          <w:szCs w:val="24"/>
        </w:rPr>
        <w:t>.</w:t>
      </w:r>
    </w:p>
    <w:p w14:paraId="04082435" w14:textId="77777777" w:rsidR="00CD24DE" w:rsidRDefault="00CD24DE" w:rsidP="00802965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34222F" w14:textId="296CDDA4" w:rsidR="00A86A13" w:rsidRPr="00E859CF" w:rsidRDefault="00A86A13" w:rsidP="008215F3">
      <w:pPr>
        <w:spacing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E859CF">
        <w:rPr>
          <w:rFonts w:ascii="Arial" w:eastAsia="Arial" w:hAnsi="Arial" w:cs="Arial"/>
          <w:b/>
          <w:bCs/>
          <w:sz w:val="24"/>
          <w:szCs w:val="24"/>
          <w:u w:val="single"/>
        </w:rPr>
        <w:t>Rozdělování a spojování podniků z pohledu pravidel podpory de minimis</w:t>
      </w:r>
    </w:p>
    <w:p w14:paraId="5D07A635" w14:textId="2D7E53BA" w:rsidR="000156A4" w:rsidRPr="00E859CF" w:rsidRDefault="00A86A13" w:rsidP="00E859CF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859CF">
        <w:rPr>
          <w:rFonts w:ascii="Arial" w:eastAsia="Arial" w:hAnsi="Arial" w:cs="Arial"/>
          <w:sz w:val="24"/>
          <w:szCs w:val="24"/>
        </w:rPr>
        <w:t>V případě spojení či nabytí je potřeba přihlédnout k veškerým podporám de minimis poskytnutým dříve všem podnikům, které podléhají spojení, aby se zjistilo, zda žádnou novou podporu de minimis poskytnutou nově vzniklému či nabývajícímu podniku nedošlo k překročení příslušného stropu.</w:t>
      </w:r>
    </w:p>
    <w:p w14:paraId="4F644BEB" w14:textId="7B0C7537" w:rsidR="00A86A13" w:rsidRPr="008215F3" w:rsidRDefault="00A86A13" w:rsidP="00E859CF">
      <w:pPr>
        <w:spacing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859CF">
        <w:rPr>
          <w:rFonts w:ascii="Arial" w:eastAsia="Arial" w:hAnsi="Arial" w:cs="Arial"/>
          <w:sz w:val="24"/>
          <w:szCs w:val="24"/>
        </w:rPr>
        <w:t>V případě rozdělení jednoho podniku na dva či více samostatných podniků se podpora de minimis poskytnutá před rozdělením přidělí podniku, který byl jejím příjemcem, což je v zásadě podnik, který převzal činnost, na něž byla podpora de minimis použita.</w:t>
      </w:r>
      <w:r w:rsidR="006232B1">
        <w:rPr>
          <w:rFonts w:ascii="Arial" w:eastAsia="Arial" w:hAnsi="Arial" w:cs="Arial"/>
          <w:sz w:val="24"/>
          <w:szCs w:val="24"/>
        </w:rPr>
        <w:t xml:space="preserve"> Pokud by takové </w:t>
      </w:r>
      <w:r w:rsidR="004009BA">
        <w:rPr>
          <w:rFonts w:ascii="Arial" w:eastAsia="Arial" w:hAnsi="Arial" w:cs="Arial"/>
          <w:sz w:val="24"/>
          <w:szCs w:val="24"/>
        </w:rPr>
        <w:t>přidělení nebylo možné, přidělí se podpora de minimis poměrným způsobem na základě účetní hodnoty vlastního kapitálu nových podniků k datu účinku rozdělení.</w:t>
      </w:r>
      <w:r w:rsidR="006C7F12" w:rsidRPr="00E859CF">
        <w:rPr>
          <w:rFonts w:ascii="Arial" w:eastAsia="Arial" w:hAnsi="Arial" w:cs="Arial"/>
          <w:sz w:val="24"/>
          <w:szCs w:val="24"/>
        </w:rPr>
        <w:t xml:space="preserve"> Více informací lze nalézt v </w:t>
      </w:r>
      <w:r w:rsidR="006C7F12" w:rsidRPr="008215F3">
        <w:rPr>
          <w:rFonts w:ascii="Arial" w:eastAsia="Arial" w:hAnsi="Arial" w:cs="Arial"/>
          <w:b/>
          <w:bCs/>
          <w:sz w:val="24"/>
          <w:szCs w:val="24"/>
        </w:rPr>
        <w:t>„Metodické příručce k rozdělování a</w:t>
      </w:r>
      <w:r w:rsidR="001F16DF">
        <w:rPr>
          <w:rFonts w:ascii="Arial" w:eastAsia="Arial" w:hAnsi="Arial" w:cs="Arial"/>
          <w:b/>
          <w:bCs/>
          <w:sz w:val="24"/>
          <w:szCs w:val="24"/>
        </w:rPr>
        <w:t> </w:t>
      </w:r>
      <w:r w:rsidR="006C7F12" w:rsidRPr="008215F3">
        <w:rPr>
          <w:rFonts w:ascii="Arial" w:eastAsia="Arial" w:hAnsi="Arial" w:cs="Arial"/>
          <w:b/>
          <w:bCs/>
          <w:sz w:val="24"/>
          <w:szCs w:val="24"/>
        </w:rPr>
        <w:t>spojování podniků z pohledu pravidel podpory de minimis a zaznamenávání údajů do centrálního registru podpor malého rozsahu“.</w:t>
      </w:r>
    </w:p>
    <w:p w14:paraId="5DC86687" w14:textId="6E7BBE88" w:rsidR="000512F3" w:rsidRDefault="009126F8" w:rsidP="00E859CF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59CF">
        <w:rPr>
          <w:rFonts w:ascii="Arial" w:hAnsi="Arial" w:cs="Arial"/>
          <w:b/>
          <w:bCs/>
          <w:sz w:val="24"/>
          <w:szCs w:val="24"/>
        </w:rPr>
        <w:t>Rozhodovací pravomoc v oblasti veřejné podpory přísluší Evropské komisi, resp. příslušným soudním orgánům EU. Pouze tyto mohou svým rozhodnutím poskytnout právní jistotu v oblasti veřejné podpory.</w:t>
      </w:r>
    </w:p>
    <w:p w14:paraId="1C496CDB" w14:textId="47E1D45E" w:rsidR="00A46029" w:rsidRDefault="00A46029" w:rsidP="00E859CF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9CE693" w14:textId="5EBA2ED5" w:rsidR="00A46029" w:rsidRPr="00A46029" w:rsidRDefault="00A46029" w:rsidP="00E859CF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6029">
        <w:rPr>
          <w:rFonts w:ascii="Arial" w:hAnsi="Arial" w:cs="Arial"/>
          <w:b/>
          <w:bCs/>
          <w:sz w:val="24"/>
          <w:szCs w:val="24"/>
          <w:u w:val="single"/>
        </w:rPr>
        <w:t>De minimis v roce 2022</w:t>
      </w:r>
      <w:r w:rsidR="002717B7">
        <w:rPr>
          <w:rFonts w:ascii="Arial" w:hAnsi="Arial" w:cs="Arial"/>
          <w:b/>
          <w:bCs/>
          <w:sz w:val="24"/>
          <w:szCs w:val="24"/>
          <w:u w:val="single"/>
        </w:rPr>
        <w:t xml:space="preserve"> a de minimis SOHZ od roku 2023</w:t>
      </w:r>
    </w:p>
    <w:p w14:paraId="25E46BAD" w14:textId="62D7EED7" w:rsidR="002717B7" w:rsidRPr="00685C30" w:rsidRDefault="00A46029" w:rsidP="00E859C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roce 2022 postupovalo MPSV podle obecného nařízení o podpoře de minimis (</w:t>
      </w:r>
      <w:r>
        <w:rPr>
          <w:rFonts w:ascii="ArialMT" w:hAnsi="ArialMT" w:cs="ArialMT"/>
          <w:sz w:val="24"/>
          <w:szCs w:val="24"/>
        </w:rPr>
        <w:t xml:space="preserve">Nařízení Komise (EU) č. 1407/2013 ze dne 18. prosince 2013 o použití článků 107 a 108 Smlouvy o fungování Evropské unie na podporu de minimis, </w:t>
      </w:r>
      <w:proofErr w:type="spellStart"/>
      <w:r>
        <w:rPr>
          <w:rFonts w:ascii="ArialMT" w:hAnsi="ArialMT" w:cs="ArialMT"/>
          <w:sz w:val="24"/>
          <w:szCs w:val="24"/>
        </w:rPr>
        <w:t>Úř</w:t>
      </w:r>
      <w:proofErr w:type="spellEnd"/>
      <w:r>
        <w:rPr>
          <w:rFonts w:ascii="ArialMT" w:hAnsi="ArialMT" w:cs="ArialMT"/>
          <w:sz w:val="24"/>
          <w:szCs w:val="24"/>
        </w:rPr>
        <w:t xml:space="preserve">. </w:t>
      </w:r>
      <w:proofErr w:type="spellStart"/>
      <w:r>
        <w:rPr>
          <w:rFonts w:ascii="ArialMT" w:hAnsi="ArialMT" w:cs="ArialMT"/>
          <w:sz w:val="24"/>
          <w:szCs w:val="24"/>
        </w:rPr>
        <w:t>věst</w:t>
      </w:r>
      <w:proofErr w:type="spellEnd"/>
      <w:r>
        <w:rPr>
          <w:rFonts w:ascii="ArialMT" w:hAnsi="ArialMT" w:cs="ArialMT"/>
          <w:sz w:val="24"/>
          <w:szCs w:val="24"/>
        </w:rPr>
        <w:t xml:space="preserve">. L 352 ze dne 24. 12. 2013, s. 1-8) s limitem </w:t>
      </w:r>
      <w:r>
        <w:rPr>
          <w:rFonts w:ascii="Arial" w:hAnsi="Arial" w:cs="Arial"/>
          <w:sz w:val="24"/>
          <w:szCs w:val="24"/>
        </w:rPr>
        <w:t xml:space="preserve">200 000 </w:t>
      </w:r>
      <w:proofErr w:type="gramStart"/>
      <w:r>
        <w:rPr>
          <w:rFonts w:ascii="Arial" w:hAnsi="Arial" w:cs="Arial"/>
          <w:sz w:val="24"/>
          <w:szCs w:val="24"/>
        </w:rPr>
        <w:t>Eur</w:t>
      </w:r>
      <w:proofErr w:type="gramEnd"/>
      <w:r>
        <w:rPr>
          <w:rFonts w:ascii="Arial" w:hAnsi="Arial" w:cs="Arial"/>
          <w:sz w:val="24"/>
          <w:szCs w:val="24"/>
        </w:rPr>
        <w:t xml:space="preserve"> za tři po sobě jdoucí účetní období. </w:t>
      </w:r>
      <w:r>
        <w:rPr>
          <w:rFonts w:ascii="Arial" w:hAnsi="Arial" w:cs="Arial"/>
          <w:sz w:val="24"/>
          <w:szCs w:val="24"/>
        </w:rPr>
        <w:lastRenderedPageBreak/>
        <w:t xml:space="preserve">Zároveň </w:t>
      </w:r>
      <w:r w:rsidR="009946CE">
        <w:rPr>
          <w:rFonts w:ascii="Arial" w:hAnsi="Arial" w:cs="Arial"/>
          <w:sz w:val="24"/>
          <w:szCs w:val="24"/>
        </w:rPr>
        <w:t>opakovaně</w:t>
      </w:r>
      <w:r>
        <w:rPr>
          <w:rFonts w:ascii="Arial" w:hAnsi="Arial" w:cs="Arial"/>
          <w:sz w:val="24"/>
          <w:szCs w:val="24"/>
        </w:rPr>
        <w:t xml:space="preserve"> konzultovalo </w:t>
      </w:r>
      <w:r w:rsidR="00BF639A">
        <w:rPr>
          <w:rFonts w:ascii="Arial" w:hAnsi="Arial" w:cs="Arial"/>
          <w:sz w:val="24"/>
          <w:szCs w:val="24"/>
        </w:rPr>
        <w:t>celou záležitost</w:t>
      </w:r>
      <w:r w:rsidR="002717B7">
        <w:rPr>
          <w:rFonts w:ascii="Arial" w:hAnsi="Arial" w:cs="Arial"/>
          <w:sz w:val="24"/>
          <w:szCs w:val="24"/>
        </w:rPr>
        <w:t xml:space="preserve"> s Úřadem pro ochranu hospodářské soutěže a </w:t>
      </w:r>
      <w:r w:rsidR="00BF639A">
        <w:rPr>
          <w:rFonts w:ascii="Arial" w:hAnsi="Arial" w:cs="Arial"/>
          <w:sz w:val="24"/>
          <w:szCs w:val="24"/>
        </w:rPr>
        <w:t>se zástupci Evropské komise</w:t>
      </w:r>
      <w:r w:rsidR="009946CE">
        <w:rPr>
          <w:rFonts w:ascii="Arial" w:hAnsi="Arial" w:cs="Arial"/>
          <w:sz w:val="24"/>
          <w:szCs w:val="24"/>
        </w:rPr>
        <w:t>, přičemž režim de minimis prezentovalo</w:t>
      </w:r>
      <w:r w:rsidR="00BF639A">
        <w:rPr>
          <w:rFonts w:ascii="Arial" w:hAnsi="Arial" w:cs="Arial"/>
          <w:sz w:val="24"/>
          <w:szCs w:val="24"/>
        </w:rPr>
        <w:t xml:space="preserve"> jako velmi limitující pro rozvoj dětských skupin a udržitelné financování jejich provozu. Na</w:t>
      </w:r>
      <w:r w:rsidR="009946CE">
        <w:rPr>
          <w:rFonts w:ascii="Arial" w:hAnsi="Arial" w:cs="Arial"/>
          <w:sz w:val="24"/>
          <w:szCs w:val="24"/>
        </w:rPr>
        <w:t> </w:t>
      </w:r>
      <w:r w:rsidR="00BF639A">
        <w:rPr>
          <w:rFonts w:ascii="Arial" w:hAnsi="Arial" w:cs="Arial"/>
          <w:sz w:val="24"/>
          <w:szCs w:val="24"/>
        </w:rPr>
        <w:t>základě současných analýz a</w:t>
      </w:r>
      <w:r w:rsidR="002717B7">
        <w:rPr>
          <w:rFonts w:ascii="Arial" w:hAnsi="Arial" w:cs="Arial"/>
          <w:sz w:val="24"/>
          <w:szCs w:val="24"/>
        </w:rPr>
        <w:t> </w:t>
      </w:r>
      <w:r w:rsidR="00BF639A">
        <w:rPr>
          <w:rFonts w:ascii="Arial" w:hAnsi="Arial" w:cs="Arial"/>
          <w:sz w:val="24"/>
          <w:szCs w:val="24"/>
        </w:rPr>
        <w:t xml:space="preserve">zároveň na doporučení </w:t>
      </w:r>
      <w:r w:rsidR="002717B7">
        <w:rPr>
          <w:rFonts w:ascii="Arial" w:hAnsi="Arial" w:cs="Arial"/>
          <w:sz w:val="24"/>
          <w:szCs w:val="24"/>
        </w:rPr>
        <w:t>výše uvedených orgánů</w:t>
      </w:r>
      <w:r w:rsidR="00BF639A">
        <w:rPr>
          <w:rFonts w:ascii="Arial" w:hAnsi="Arial" w:cs="Arial"/>
          <w:sz w:val="24"/>
          <w:szCs w:val="24"/>
        </w:rPr>
        <w:t xml:space="preserve"> </w:t>
      </w:r>
      <w:r w:rsidR="00C80F77">
        <w:rPr>
          <w:rFonts w:ascii="Arial" w:hAnsi="Arial" w:cs="Arial"/>
          <w:sz w:val="24"/>
          <w:szCs w:val="24"/>
        </w:rPr>
        <w:t>byla</w:t>
      </w:r>
      <w:r w:rsidR="00BF639A" w:rsidRPr="00BF639A">
        <w:rPr>
          <w:rFonts w:ascii="Arial" w:hAnsi="Arial" w:cs="Arial"/>
          <w:sz w:val="24"/>
          <w:szCs w:val="24"/>
        </w:rPr>
        <w:t xml:space="preserve"> </w:t>
      </w:r>
      <w:r w:rsidR="00C80F77" w:rsidRPr="00BF639A">
        <w:rPr>
          <w:rFonts w:ascii="Arial" w:hAnsi="Arial" w:cs="Arial"/>
          <w:sz w:val="24"/>
          <w:szCs w:val="24"/>
        </w:rPr>
        <w:t xml:space="preserve">následně </w:t>
      </w:r>
      <w:r w:rsidR="00BF639A" w:rsidRPr="00BF639A">
        <w:rPr>
          <w:rFonts w:ascii="Arial" w:hAnsi="Arial" w:cs="Arial"/>
          <w:sz w:val="24"/>
          <w:szCs w:val="24"/>
        </w:rPr>
        <w:t>služb</w:t>
      </w:r>
      <w:r w:rsidR="00C80F77">
        <w:rPr>
          <w:rFonts w:ascii="Arial" w:hAnsi="Arial" w:cs="Arial"/>
          <w:sz w:val="24"/>
          <w:szCs w:val="24"/>
        </w:rPr>
        <w:t>a</w:t>
      </w:r>
      <w:r w:rsidR="00BF639A" w:rsidRPr="00BF639A">
        <w:rPr>
          <w:rFonts w:ascii="Arial" w:hAnsi="Arial" w:cs="Arial"/>
          <w:sz w:val="24"/>
          <w:szCs w:val="24"/>
        </w:rPr>
        <w:t xml:space="preserve"> péče o dítě v dětské skupině, které dosáhlo tří let věku, a to počínaje </w:t>
      </w:r>
      <w:r w:rsidR="00BF639A" w:rsidRPr="00FC7D70">
        <w:rPr>
          <w:rFonts w:ascii="Arial" w:hAnsi="Arial" w:cs="Arial"/>
          <w:sz w:val="24"/>
          <w:szCs w:val="24"/>
        </w:rPr>
        <w:t>dnem 1. září do</w:t>
      </w:r>
      <w:r w:rsidR="002717B7" w:rsidRPr="00FC7D70">
        <w:rPr>
          <w:rFonts w:ascii="Arial" w:hAnsi="Arial" w:cs="Arial"/>
          <w:sz w:val="24"/>
          <w:szCs w:val="24"/>
        </w:rPr>
        <w:t> </w:t>
      </w:r>
      <w:r w:rsidR="00BF639A" w:rsidRPr="00FC7D70">
        <w:rPr>
          <w:rFonts w:ascii="Arial" w:hAnsi="Arial" w:cs="Arial"/>
          <w:sz w:val="24"/>
          <w:szCs w:val="24"/>
        </w:rPr>
        <w:t>zahájení povinné školní docházky dítěte</w:t>
      </w:r>
      <w:r w:rsidR="009946CE" w:rsidRPr="00FC7D70">
        <w:rPr>
          <w:rFonts w:ascii="Arial" w:hAnsi="Arial" w:cs="Arial"/>
          <w:sz w:val="24"/>
          <w:szCs w:val="24"/>
        </w:rPr>
        <w:t>,</w:t>
      </w:r>
      <w:r w:rsidR="00BF639A" w:rsidRPr="00FC7D70">
        <w:rPr>
          <w:rFonts w:ascii="Arial" w:hAnsi="Arial" w:cs="Arial"/>
          <w:sz w:val="24"/>
          <w:szCs w:val="24"/>
        </w:rPr>
        <w:t xml:space="preserve"> </w:t>
      </w:r>
      <w:r w:rsidR="00C80F77" w:rsidRPr="00FC7D70">
        <w:rPr>
          <w:rFonts w:ascii="Arial" w:hAnsi="Arial" w:cs="Arial"/>
          <w:sz w:val="24"/>
          <w:szCs w:val="24"/>
        </w:rPr>
        <w:t xml:space="preserve">označena jako </w:t>
      </w:r>
      <w:r w:rsidR="00BF639A" w:rsidRPr="00FC7D70">
        <w:rPr>
          <w:rFonts w:ascii="Arial" w:hAnsi="Arial" w:cs="Arial"/>
          <w:sz w:val="24"/>
          <w:szCs w:val="24"/>
        </w:rPr>
        <w:t>služb</w:t>
      </w:r>
      <w:r w:rsidR="00C80F77" w:rsidRPr="00FC7D70">
        <w:rPr>
          <w:rFonts w:ascii="Arial" w:hAnsi="Arial" w:cs="Arial"/>
          <w:sz w:val="24"/>
          <w:szCs w:val="24"/>
        </w:rPr>
        <w:t>a</w:t>
      </w:r>
      <w:r w:rsidR="00BF639A" w:rsidRPr="00FC7D70">
        <w:rPr>
          <w:rFonts w:ascii="Arial" w:hAnsi="Arial" w:cs="Arial"/>
          <w:sz w:val="24"/>
          <w:szCs w:val="24"/>
        </w:rPr>
        <w:t xml:space="preserve"> obecného hospodářského zájmu</w:t>
      </w:r>
      <w:r w:rsidR="00C80F77" w:rsidRPr="00FC7D70">
        <w:rPr>
          <w:rFonts w:ascii="Arial" w:hAnsi="Arial" w:cs="Arial"/>
          <w:sz w:val="24"/>
          <w:szCs w:val="24"/>
        </w:rPr>
        <w:t xml:space="preserve">. Službami obecného hospodářského zájmu (SOHZ) </w:t>
      </w:r>
      <w:r w:rsidR="00FC7D70" w:rsidRPr="00FC7D70">
        <w:rPr>
          <w:rFonts w:ascii="Arial" w:hAnsi="Arial" w:cs="Arial"/>
          <w:sz w:val="24"/>
          <w:szCs w:val="24"/>
        </w:rPr>
        <w:t>jsou</w:t>
      </w:r>
      <w:r w:rsidR="00C80F77" w:rsidRPr="00FC7D70">
        <w:rPr>
          <w:rFonts w:ascii="Arial" w:hAnsi="Arial" w:cs="Arial"/>
          <w:sz w:val="24"/>
          <w:szCs w:val="24"/>
        </w:rPr>
        <w:t xml:space="preserve"> </w:t>
      </w:r>
      <w:r w:rsidR="00FC7D70" w:rsidRPr="00FC7D70">
        <w:rPr>
          <w:rFonts w:ascii="Arial" w:hAnsi="Arial" w:cs="Arial"/>
          <w:sz w:val="24"/>
          <w:szCs w:val="24"/>
        </w:rPr>
        <w:t xml:space="preserve">míněny </w:t>
      </w:r>
      <w:r w:rsidR="00C80F77" w:rsidRPr="00FC7D70">
        <w:rPr>
          <w:rFonts w:ascii="Arial" w:hAnsi="Arial" w:cs="Arial"/>
          <w:sz w:val="24"/>
          <w:szCs w:val="24"/>
        </w:rPr>
        <w:t>hospodářské činnosti, které orgány veřejné správy definují jako služby zvláštního významu pro své občany a které by bez veřejného zásahu nebyly poskytovány nebo by byly poskytovány za méně příznivých podmínek.</w:t>
      </w:r>
      <w:r w:rsidR="00FC7D70" w:rsidRPr="00FC7D70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="00FC7D70">
        <w:rPr>
          <w:rFonts w:ascii="Arial" w:hAnsi="Arial" w:cs="Arial"/>
          <w:sz w:val="24"/>
          <w:szCs w:val="24"/>
        </w:rPr>
        <w:t xml:space="preserve"> </w:t>
      </w:r>
      <w:r w:rsidR="000D79E8" w:rsidRPr="00FC7D70">
        <w:rPr>
          <w:rFonts w:ascii="Arial" w:hAnsi="Arial" w:cs="Arial"/>
          <w:sz w:val="24"/>
          <w:szCs w:val="24"/>
        </w:rPr>
        <w:t>V</w:t>
      </w:r>
      <w:r w:rsidR="00BF639A" w:rsidRPr="00FC7D70">
        <w:rPr>
          <w:rFonts w:ascii="Arial" w:hAnsi="Arial" w:cs="Arial"/>
          <w:sz w:val="24"/>
          <w:szCs w:val="24"/>
        </w:rPr>
        <w:t>šem poskytovatelům zapsaným v evidenci</w:t>
      </w:r>
      <w:r w:rsidR="00BF639A" w:rsidRPr="002717B7">
        <w:rPr>
          <w:rFonts w:ascii="Arial" w:hAnsi="Arial" w:cs="Arial"/>
          <w:sz w:val="24"/>
          <w:szCs w:val="24"/>
        </w:rPr>
        <w:t xml:space="preserve"> poskytovatelů, kteří mají oprávnění k poskytování služby péče o</w:t>
      </w:r>
      <w:r w:rsidR="009946CE">
        <w:rPr>
          <w:rFonts w:ascii="Arial" w:hAnsi="Arial" w:cs="Arial"/>
          <w:sz w:val="24"/>
          <w:szCs w:val="24"/>
        </w:rPr>
        <w:t> </w:t>
      </w:r>
      <w:r w:rsidR="00BF639A" w:rsidRPr="002717B7">
        <w:rPr>
          <w:rFonts w:ascii="Arial" w:hAnsi="Arial" w:cs="Arial"/>
          <w:sz w:val="24"/>
          <w:szCs w:val="24"/>
        </w:rPr>
        <w:t>dítě v dětské skupině, vydalo</w:t>
      </w:r>
      <w:r w:rsidR="000D79E8" w:rsidRPr="002717B7">
        <w:rPr>
          <w:rFonts w:ascii="Arial" w:hAnsi="Arial" w:cs="Arial"/>
          <w:sz w:val="24"/>
          <w:szCs w:val="24"/>
        </w:rPr>
        <w:t xml:space="preserve"> MPSV</w:t>
      </w:r>
      <w:r w:rsidR="00BF639A" w:rsidRPr="002717B7">
        <w:rPr>
          <w:rFonts w:ascii="Arial" w:hAnsi="Arial" w:cs="Arial"/>
          <w:sz w:val="24"/>
          <w:szCs w:val="24"/>
        </w:rPr>
        <w:t xml:space="preserve"> </w:t>
      </w:r>
      <w:r w:rsidR="000D79E8" w:rsidRPr="002717B7">
        <w:rPr>
          <w:rFonts w:ascii="Arial" w:hAnsi="Arial" w:cs="Arial"/>
          <w:sz w:val="24"/>
          <w:szCs w:val="24"/>
        </w:rPr>
        <w:t>P</w:t>
      </w:r>
      <w:r w:rsidR="00BF639A" w:rsidRPr="002717B7">
        <w:rPr>
          <w:rFonts w:ascii="Arial" w:hAnsi="Arial" w:cs="Arial"/>
          <w:sz w:val="24"/>
          <w:szCs w:val="24"/>
        </w:rPr>
        <w:t xml:space="preserve">ověření výkonem </w:t>
      </w:r>
      <w:r w:rsidR="00BF639A" w:rsidRPr="00685C30">
        <w:rPr>
          <w:rFonts w:ascii="Arial" w:hAnsi="Arial" w:cs="Arial"/>
          <w:sz w:val="24"/>
          <w:szCs w:val="24"/>
        </w:rPr>
        <w:t>služby obecného hospodářského zájmu ode dne 1.</w:t>
      </w:r>
      <w:r w:rsidR="009946CE">
        <w:rPr>
          <w:rFonts w:ascii="Arial" w:hAnsi="Arial" w:cs="Arial"/>
          <w:sz w:val="24"/>
          <w:szCs w:val="24"/>
        </w:rPr>
        <w:t xml:space="preserve"> </w:t>
      </w:r>
      <w:r w:rsidR="00BF639A" w:rsidRPr="00685C30">
        <w:rPr>
          <w:rFonts w:ascii="Arial" w:hAnsi="Arial" w:cs="Arial"/>
          <w:sz w:val="24"/>
          <w:szCs w:val="24"/>
        </w:rPr>
        <w:t>1.</w:t>
      </w:r>
      <w:r w:rsidR="009946CE">
        <w:rPr>
          <w:rFonts w:ascii="Arial" w:hAnsi="Arial" w:cs="Arial"/>
          <w:sz w:val="24"/>
          <w:szCs w:val="24"/>
        </w:rPr>
        <w:t xml:space="preserve"> </w:t>
      </w:r>
      <w:r w:rsidR="00BF639A" w:rsidRPr="00685C30">
        <w:rPr>
          <w:rFonts w:ascii="Arial" w:hAnsi="Arial" w:cs="Arial"/>
          <w:sz w:val="24"/>
          <w:szCs w:val="24"/>
        </w:rPr>
        <w:t>2023 (nebo ode dne zápisu do</w:t>
      </w:r>
      <w:r w:rsidR="00FC7D70">
        <w:rPr>
          <w:rFonts w:ascii="Arial" w:hAnsi="Arial" w:cs="Arial"/>
          <w:sz w:val="24"/>
          <w:szCs w:val="24"/>
        </w:rPr>
        <w:t> </w:t>
      </w:r>
      <w:r w:rsidR="00BF639A" w:rsidRPr="00685C30">
        <w:rPr>
          <w:rFonts w:ascii="Arial" w:hAnsi="Arial" w:cs="Arial"/>
          <w:sz w:val="24"/>
          <w:szCs w:val="24"/>
        </w:rPr>
        <w:t>evidence poskytovatelů, pokud nasta</w:t>
      </w:r>
      <w:r w:rsidR="000D79E8" w:rsidRPr="00685C30">
        <w:rPr>
          <w:rFonts w:ascii="Arial" w:hAnsi="Arial" w:cs="Arial"/>
          <w:sz w:val="24"/>
          <w:szCs w:val="24"/>
        </w:rPr>
        <w:t>l</w:t>
      </w:r>
      <w:r w:rsidR="00BF639A" w:rsidRPr="00685C30">
        <w:rPr>
          <w:rFonts w:ascii="Arial" w:hAnsi="Arial" w:cs="Arial"/>
          <w:sz w:val="24"/>
          <w:szCs w:val="24"/>
        </w:rPr>
        <w:t xml:space="preserve"> později) do dne 31.</w:t>
      </w:r>
      <w:r w:rsidR="009946CE">
        <w:rPr>
          <w:rFonts w:ascii="Arial" w:hAnsi="Arial" w:cs="Arial"/>
          <w:sz w:val="24"/>
          <w:szCs w:val="24"/>
        </w:rPr>
        <w:t xml:space="preserve"> </w:t>
      </w:r>
      <w:r w:rsidR="00BF639A" w:rsidRPr="00685C30">
        <w:rPr>
          <w:rFonts w:ascii="Arial" w:hAnsi="Arial" w:cs="Arial"/>
          <w:sz w:val="24"/>
          <w:szCs w:val="24"/>
        </w:rPr>
        <w:t>12.</w:t>
      </w:r>
      <w:r w:rsidR="009946CE">
        <w:rPr>
          <w:rFonts w:ascii="Arial" w:hAnsi="Arial" w:cs="Arial"/>
          <w:sz w:val="24"/>
          <w:szCs w:val="24"/>
        </w:rPr>
        <w:t xml:space="preserve"> </w:t>
      </w:r>
      <w:r w:rsidR="00BF639A" w:rsidRPr="00685C30">
        <w:rPr>
          <w:rFonts w:ascii="Arial" w:hAnsi="Arial" w:cs="Arial"/>
          <w:sz w:val="24"/>
          <w:szCs w:val="24"/>
        </w:rPr>
        <w:t xml:space="preserve">2026. </w:t>
      </w:r>
      <w:r w:rsidR="00685C30" w:rsidRPr="00685C30">
        <w:rPr>
          <w:rFonts w:ascii="Arial" w:hAnsi="Arial" w:cs="Arial"/>
          <w:sz w:val="24"/>
          <w:szCs w:val="24"/>
        </w:rPr>
        <w:t>Pověření</w:t>
      </w:r>
      <w:r w:rsidR="00070A11">
        <w:rPr>
          <w:rFonts w:ascii="Arial" w:hAnsi="Arial" w:cs="Arial"/>
          <w:sz w:val="24"/>
          <w:szCs w:val="24"/>
        </w:rPr>
        <w:t xml:space="preserve"> je vydáváno </w:t>
      </w:r>
      <w:r w:rsidR="00070A11" w:rsidRPr="00685C30">
        <w:rPr>
          <w:rFonts w:ascii="Arial" w:hAnsi="Arial" w:cs="Arial"/>
          <w:sz w:val="24"/>
          <w:szCs w:val="24"/>
        </w:rPr>
        <w:t>na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základě Nařízení Komise (EU) o podpoře de minimis pro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služby obecného hospodářského zájmu (</w:t>
      </w:r>
      <w:r w:rsidR="00070A11">
        <w:rPr>
          <w:rFonts w:ascii="Arial" w:hAnsi="Arial" w:cs="Arial"/>
          <w:sz w:val="24"/>
          <w:szCs w:val="24"/>
        </w:rPr>
        <w:t xml:space="preserve">v roce 2023 se jednalo o </w:t>
      </w:r>
      <w:r w:rsidR="00070A11" w:rsidRPr="00685C30">
        <w:rPr>
          <w:rFonts w:ascii="Arial" w:hAnsi="Arial" w:cs="Arial"/>
          <w:sz w:val="24"/>
          <w:szCs w:val="24"/>
        </w:rPr>
        <w:t>Nařízení Komise (EU) č.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360/2012 ze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dne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25. 4. 2012 o použití článků 107 a 108 Smlouvy o fungování Evropské unie na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 xml:space="preserve">podporu de minimis udílenou podnikům poskytujícím služby obecného hospodářského zájmu, </w:t>
      </w:r>
      <w:proofErr w:type="spellStart"/>
      <w:r w:rsidR="00070A11" w:rsidRPr="00685C30">
        <w:rPr>
          <w:rFonts w:ascii="Arial" w:hAnsi="Arial" w:cs="Arial"/>
          <w:sz w:val="24"/>
          <w:szCs w:val="24"/>
        </w:rPr>
        <w:t>Úř</w:t>
      </w:r>
      <w:proofErr w:type="spellEnd"/>
      <w:r w:rsidR="00070A11" w:rsidRPr="00685C3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70A11" w:rsidRPr="00685C30">
        <w:rPr>
          <w:rFonts w:ascii="Arial" w:hAnsi="Arial" w:cs="Arial"/>
          <w:sz w:val="24"/>
          <w:szCs w:val="24"/>
        </w:rPr>
        <w:t>věst</w:t>
      </w:r>
      <w:proofErr w:type="spellEnd"/>
      <w:r w:rsidR="00070A11" w:rsidRPr="00685C30">
        <w:rPr>
          <w:rFonts w:ascii="Arial" w:hAnsi="Arial" w:cs="Arial"/>
          <w:sz w:val="24"/>
          <w:szCs w:val="24"/>
        </w:rPr>
        <w:t>. L 114, 26.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4.</w:t>
      </w:r>
      <w:r w:rsidR="00070A11">
        <w:rPr>
          <w:rFonts w:ascii="Arial" w:hAnsi="Arial" w:cs="Arial"/>
          <w:sz w:val="24"/>
          <w:szCs w:val="24"/>
        </w:rPr>
        <w:t> </w:t>
      </w:r>
      <w:r w:rsidR="00070A11" w:rsidRPr="00685C30">
        <w:rPr>
          <w:rFonts w:ascii="Arial" w:hAnsi="Arial" w:cs="Arial"/>
          <w:sz w:val="24"/>
          <w:szCs w:val="24"/>
        </w:rPr>
        <w:t>2012</w:t>
      </w:r>
      <w:r w:rsidR="00070A11">
        <w:rPr>
          <w:rFonts w:ascii="Arial" w:hAnsi="Arial" w:cs="Arial"/>
          <w:sz w:val="24"/>
          <w:szCs w:val="24"/>
        </w:rPr>
        <w:t>, které stanovil</w:t>
      </w:r>
      <w:r w:rsidR="00B14AE9">
        <w:rPr>
          <w:rFonts w:ascii="Arial" w:hAnsi="Arial" w:cs="Arial"/>
          <w:sz w:val="24"/>
          <w:szCs w:val="24"/>
        </w:rPr>
        <w:t>o</w:t>
      </w:r>
      <w:r w:rsidR="00070A11">
        <w:rPr>
          <w:rFonts w:ascii="Arial" w:hAnsi="Arial" w:cs="Arial"/>
          <w:sz w:val="24"/>
          <w:szCs w:val="24"/>
        </w:rPr>
        <w:t xml:space="preserve"> limit 500 000 Eur za tři po sobě jdoucí účetní období; od ledna 2024 se jedná o </w:t>
      </w:r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Nařízení Komise (EU) 2023/2832 ze dne 13. prosince 2023 o použití článků 107 a 108 Smlouvy o fungování Evropské unie na podporu de minimis udílenou podnikům poskytujícím služby obecného hospodářského zájmu</w:t>
      </w:r>
      <w:r w:rsidR="00685C30" w:rsidRPr="00FD0D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Úř</w:t>
      </w:r>
      <w:proofErr w:type="spellEnd"/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věst</w:t>
      </w:r>
      <w:proofErr w:type="spellEnd"/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A1745" w:rsidRPr="00FD0DCE">
        <w:rPr>
          <w:rFonts w:ascii="Arial" w:hAnsi="Arial" w:cs="Arial"/>
          <w:color w:val="000000"/>
          <w:sz w:val="24"/>
          <w:szCs w:val="24"/>
          <w:shd w:val="clear" w:color="auto" w:fill="FFFFFF"/>
        </w:rPr>
        <w:t>2832, 15.12.2023</w:t>
      </w:r>
      <w:r w:rsidR="002717B7" w:rsidRPr="00FD0DCE">
        <w:rPr>
          <w:rFonts w:ascii="Arial" w:hAnsi="Arial" w:cs="Arial"/>
          <w:sz w:val="24"/>
          <w:szCs w:val="24"/>
        </w:rPr>
        <w:t xml:space="preserve">, které stanoví limit </w:t>
      </w:r>
      <w:r w:rsidR="002A1745" w:rsidRPr="00FD0DCE">
        <w:rPr>
          <w:rFonts w:ascii="Arial" w:hAnsi="Arial" w:cs="Arial"/>
          <w:sz w:val="24"/>
          <w:szCs w:val="24"/>
        </w:rPr>
        <w:t>75</w:t>
      </w:r>
      <w:r w:rsidR="002717B7" w:rsidRPr="00FD0DCE">
        <w:rPr>
          <w:rFonts w:ascii="Arial" w:hAnsi="Arial" w:cs="Arial"/>
          <w:sz w:val="24"/>
          <w:szCs w:val="24"/>
        </w:rPr>
        <w:t>0 000 Eur za tři po sobě jdoucí účetní období</w:t>
      </w:r>
      <w:r w:rsidR="00070A11">
        <w:rPr>
          <w:rFonts w:ascii="Arial" w:hAnsi="Arial" w:cs="Arial"/>
          <w:sz w:val="24"/>
          <w:szCs w:val="24"/>
        </w:rPr>
        <w:t>)</w:t>
      </w:r>
      <w:r w:rsidR="002717B7" w:rsidRPr="00FD0DCE">
        <w:rPr>
          <w:rFonts w:ascii="Arial" w:hAnsi="Arial" w:cs="Arial"/>
          <w:sz w:val="24"/>
          <w:szCs w:val="24"/>
        </w:rPr>
        <w:t>. Pověření bylo</w:t>
      </w:r>
      <w:r w:rsidR="00070A11">
        <w:rPr>
          <w:rFonts w:ascii="Arial" w:hAnsi="Arial" w:cs="Arial"/>
          <w:sz w:val="24"/>
          <w:szCs w:val="24"/>
        </w:rPr>
        <w:t xml:space="preserve"> a je</w:t>
      </w:r>
      <w:r w:rsidR="002717B7" w:rsidRPr="00FD0DCE">
        <w:rPr>
          <w:rFonts w:ascii="Arial" w:hAnsi="Arial" w:cs="Arial"/>
          <w:sz w:val="24"/>
          <w:szCs w:val="24"/>
        </w:rPr>
        <w:t xml:space="preserve"> vydáno i</w:t>
      </w:r>
      <w:r w:rsidR="00070A11">
        <w:rPr>
          <w:rFonts w:ascii="Arial" w:hAnsi="Arial" w:cs="Arial"/>
          <w:sz w:val="24"/>
          <w:szCs w:val="24"/>
        </w:rPr>
        <w:t> </w:t>
      </w:r>
      <w:r w:rsidR="002717B7" w:rsidRPr="00FD0DCE">
        <w:rPr>
          <w:rFonts w:ascii="Arial" w:hAnsi="Arial" w:cs="Arial"/>
          <w:sz w:val="24"/>
          <w:szCs w:val="24"/>
        </w:rPr>
        <w:t xml:space="preserve">poskytovatelům, kteří čerpají státní příspěvek </w:t>
      </w:r>
      <w:r w:rsidR="009946CE" w:rsidRPr="00FD0DCE">
        <w:rPr>
          <w:rFonts w:ascii="Arial" w:hAnsi="Arial" w:cs="Arial"/>
          <w:sz w:val="24"/>
          <w:szCs w:val="24"/>
        </w:rPr>
        <w:t xml:space="preserve">pouze </w:t>
      </w:r>
      <w:r w:rsidR="002717B7" w:rsidRPr="00FD0DCE">
        <w:rPr>
          <w:rFonts w:ascii="Arial" w:hAnsi="Arial" w:cs="Arial"/>
          <w:sz w:val="24"/>
          <w:szCs w:val="24"/>
        </w:rPr>
        <w:t>na</w:t>
      </w:r>
      <w:r w:rsidR="00FC7D70" w:rsidRPr="00FD0DCE">
        <w:rPr>
          <w:rFonts w:ascii="Arial" w:hAnsi="Arial" w:cs="Arial"/>
          <w:sz w:val="24"/>
          <w:szCs w:val="24"/>
        </w:rPr>
        <w:t> </w:t>
      </w:r>
      <w:r w:rsidR="002717B7" w:rsidRPr="00FD0DCE">
        <w:rPr>
          <w:rFonts w:ascii="Arial" w:hAnsi="Arial" w:cs="Arial"/>
          <w:sz w:val="24"/>
          <w:szCs w:val="24"/>
        </w:rPr>
        <w:t>kapacitní místa obsazená dět</w:t>
      </w:r>
      <w:r w:rsidR="00C80F77" w:rsidRPr="00FD0DCE">
        <w:rPr>
          <w:rFonts w:ascii="Arial" w:hAnsi="Arial" w:cs="Arial"/>
          <w:sz w:val="24"/>
          <w:szCs w:val="24"/>
        </w:rPr>
        <w:t>m</w:t>
      </w:r>
      <w:r w:rsidR="002717B7" w:rsidRPr="00FD0DCE">
        <w:rPr>
          <w:rFonts w:ascii="Arial" w:hAnsi="Arial" w:cs="Arial"/>
          <w:sz w:val="24"/>
          <w:szCs w:val="24"/>
        </w:rPr>
        <w:t xml:space="preserve">i </w:t>
      </w:r>
      <w:r w:rsidR="009946CE" w:rsidRPr="00FD0DCE">
        <w:rPr>
          <w:rFonts w:ascii="Arial" w:hAnsi="Arial" w:cs="Arial"/>
          <w:sz w:val="24"/>
          <w:szCs w:val="24"/>
        </w:rPr>
        <w:t>ve věku od šesti měsíců do 31.</w:t>
      </w:r>
      <w:r w:rsidR="00C80F77" w:rsidRPr="00FD0DCE">
        <w:rPr>
          <w:rFonts w:ascii="Arial" w:hAnsi="Arial" w:cs="Arial"/>
          <w:sz w:val="24"/>
          <w:szCs w:val="24"/>
        </w:rPr>
        <w:t xml:space="preserve"> </w:t>
      </w:r>
      <w:r w:rsidR="009946CE" w:rsidRPr="00FD0DCE">
        <w:rPr>
          <w:rFonts w:ascii="Arial" w:hAnsi="Arial" w:cs="Arial"/>
          <w:sz w:val="24"/>
          <w:szCs w:val="24"/>
        </w:rPr>
        <w:t>8. po třetích narozeninách, a to pro případ, kdy by se takový poskytovatel rozhodl čerpat příspěvek i na dítě starší.</w:t>
      </w:r>
      <w:r w:rsidR="009946CE">
        <w:rPr>
          <w:rFonts w:ascii="Arial" w:hAnsi="Arial" w:cs="Arial"/>
          <w:sz w:val="24"/>
          <w:szCs w:val="24"/>
        </w:rPr>
        <w:t xml:space="preserve"> Poskytovatel je oprávněn Pověření nepřijmout, v tomto případě </w:t>
      </w:r>
      <w:r w:rsidR="00B14AE9">
        <w:rPr>
          <w:rFonts w:ascii="Arial" w:hAnsi="Arial" w:cs="Arial"/>
          <w:sz w:val="24"/>
          <w:szCs w:val="24"/>
        </w:rPr>
        <w:t>vyrozumí</w:t>
      </w:r>
      <w:r w:rsidR="009946CE">
        <w:rPr>
          <w:rFonts w:ascii="Arial" w:hAnsi="Arial" w:cs="Arial"/>
          <w:sz w:val="24"/>
          <w:szCs w:val="24"/>
        </w:rPr>
        <w:t xml:space="preserve"> Odbor rodinné politiky</w:t>
      </w:r>
      <w:r w:rsidR="002A1745">
        <w:rPr>
          <w:rFonts w:ascii="Arial" w:hAnsi="Arial" w:cs="Arial"/>
          <w:sz w:val="24"/>
          <w:szCs w:val="24"/>
        </w:rPr>
        <w:t>, ochrany dětí a sociálního začleňování</w:t>
      </w:r>
      <w:r w:rsidR="00B14AE9">
        <w:rPr>
          <w:rFonts w:ascii="Arial" w:hAnsi="Arial" w:cs="Arial"/>
          <w:sz w:val="24"/>
          <w:szCs w:val="24"/>
        </w:rPr>
        <w:t xml:space="preserve"> MPSV o nepřijetí Pověření</w:t>
      </w:r>
      <w:r w:rsidR="002A1745">
        <w:rPr>
          <w:rFonts w:ascii="Arial" w:hAnsi="Arial" w:cs="Arial"/>
          <w:sz w:val="24"/>
          <w:szCs w:val="24"/>
        </w:rPr>
        <w:t>.</w:t>
      </w:r>
    </w:p>
    <w:sectPr w:rsidR="002717B7" w:rsidRPr="0068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525D" w14:textId="77777777" w:rsidR="00763ABA" w:rsidRDefault="00763ABA" w:rsidP="003C2077">
      <w:pPr>
        <w:spacing w:after="0" w:line="240" w:lineRule="auto"/>
      </w:pPr>
      <w:r>
        <w:separator/>
      </w:r>
    </w:p>
  </w:endnote>
  <w:endnote w:type="continuationSeparator" w:id="0">
    <w:p w14:paraId="550B4462" w14:textId="77777777" w:rsidR="00763ABA" w:rsidRDefault="00763ABA" w:rsidP="003C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4ECF" w14:textId="77777777" w:rsidR="00763ABA" w:rsidRDefault="00763ABA" w:rsidP="003C2077">
      <w:pPr>
        <w:spacing w:after="0" w:line="240" w:lineRule="auto"/>
      </w:pPr>
      <w:r>
        <w:separator/>
      </w:r>
    </w:p>
  </w:footnote>
  <w:footnote w:type="continuationSeparator" w:id="0">
    <w:p w14:paraId="254713DC" w14:textId="77777777" w:rsidR="00763ABA" w:rsidRDefault="00763ABA" w:rsidP="003C2077">
      <w:pPr>
        <w:spacing w:after="0" w:line="240" w:lineRule="auto"/>
      </w:pPr>
      <w:r>
        <w:continuationSeparator/>
      </w:r>
    </w:p>
  </w:footnote>
  <w:footnote w:id="1">
    <w:p w14:paraId="02CBD83B" w14:textId="28EA7AE7" w:rsidR="009126F8" w:rsidRDefault="009126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</w:rPr>
          <w:t>Úřad pro ochranu hospodářské soutěže | Veřejná podpora (uohs.cz)</w:t>
        </w:r>
      </w:hyperlink>
    </w:p>
  </w:footnote>
  <w:footnote w:id="2">
    <w:p w14:paraId="66D2B77C" w14:textId="73EBF296" w:rsidR="009126F8" w:rsidRDefault="009126F8" w:rsidP="009126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tgtFrame="_self" w:history="1">
        <w:r w:rsidR="00513C05" w:rsidRPr="00513C05">
          <w:rPr>
            <w:rStyle w:val="Hypertextovodkaz"/>
          </w:rPr>
          <w:t>Metodická příručka k aplikaci pojmu „jeden podnik“ dle pravidel de minimis</w:t>
        </w:r>
      </w:hyperlink>
    </w:p>
    <w:p w14:paraId="2092D25D" w14:textId="1B2349AA" w:rsidR="00513C05" w:rsidRPr="00513C05" w:rsidRDefault="001E1E8F" w:rsidP="008215F3">
      <w:pPr>
        <w:pStyle w:val="Textpoznpodarou"/>
        <w:ind w:left="142"/>
        <w:rPr>
          <w:rFonts w:cstheme="minorHAnsi"/>
        </w:rPr>
      </w:pPr>
      <w:hyperlink r:id="rId3" w:tgtFrame="_self" w:history="1">
        <w:r w:rsidR="00513C05" w:rsidRPr="00513C05">
          <w:rPr>
            <w:rStyle w:val="Hypertextovodkaz"/>
            <w:rFonts w:cstheme="minorHAnsi"/>
          </w:rPr>
          <w:t>Metodická příručka k rozdělování a spojování podniků z pohledu pravidel podpory de minimis a zaznamenávání údajů do centrálního registru podpor malého rozsahu</w:t>
        </w:r>
      </w:hyperlink>
      <w:r w:rsidR="00513C05" w:rsidRPr="00513C05">
        <w:rPr>
          <w:rFonts w:cstheme="minorHAnsi"/>
        </w:rPr>
        <w:t> </w:t>
      </w:r>
    </w:p>
  </w:footnote>
  <w:footnote w:id="3">
    <w:p w14:paraId="1ACAFD9A" w14:textId="42EE0960" w:rsidR="00FC7D70" w:rsidRPr="00FC7D70" w:rsidRDefault="00FC7D70">
      <w:pPr>
        <w:pStyle w:val="Textpoznpodarou"/>
        <w:rPr>
          <w:rFonts w:ascii="Arial" w:hAnsi="Arial" w:cs="Arial"/>
        </w:rPr>
      </w:pPr>
      <w:r w:rsidRPr="00FC7D70">
        <w:rPr>
          <w:rStyle w:val="Znakapoznpodarou"/>
          <w:rFonts w:ascii="Arial" w:hAnsi="Arial" w:cs="Arial"/>
        </w:rPr>
        <w:footnoteRef/>
      </w:r>
      <w:r w:rsidRPr="00FC7D70">
        <w:rPr>
          <w:rFonts w:ascii="Arial" w:hAnsi="Arial" w:cs="Arial"/>
        </w:rPr>
        <w:t xml:space="preserve"> </w:t>
      </w:r>
      <w:hyperlink r:id="rId4" w:history="1">
        <w:r w:rsidR="003264D1">
          <w:rPr>
            <w:rStyle w:val="Hypertextovodkaz"/>
          </w:rPr>
          <w:t>Manuál služeb obecného hospodářského zájmu (dotaceeu.cz)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2B2"/>
    <w:multiLevelType w:val="hybridMultilevel"/>
    <w:tmpl w:val="2BAA91B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C7FF4"/>
    <w:multiLevelType w:val="hybridMultilevel"/>
    <w:tmpl w:val="5936C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7304"/>
    <w:multiLevelType w:val="hybridMultilevel"/>
    <w:tmpl w:val="C7F6C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55C4"/>
    <w:multiLevelType w:val="multilevel"/>
    <w:tmpl w:val="F9D4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A2FBF"/>
    <w:multiLevelType w:val="hybridMultilevel"/>
    <w:tmpl w:val="ED206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22BCE"/>
    <w:multiLevelType w:val="hybridMultilevel"/>
    <w:tmpl w:val="4B0094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52751"/>
    <w:multiLevelType w:val="multilevel"/>
    <w:tmpl w:val="6FEE82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9854729">
    <w:abstractNumId w:val="6"/>
  </w:num>
  <w:num w:numId="2" w16cid:durableId="788934281">
    <w:abstractNumId w:val="4"/>
  </w:num>
  <w:num w:numId="3" w16cid:durableId="1554344006">
    <w:abstractNumId w:val="1"/>
  </w:num>
  <w:num w:numId="4" w16cid:durableId="559555242">
    <w:abstractNumId w:val="0"/>
  </w:num>
  <w:num w:numId="5" w16cid:durableId="861821637">
    <w:abstractNumId w:val="3"/>
  </w:num>
  <w:num w:numId="6" w16cid:durableId="259025076">
    <w:abstractNumId w:val="5"/>
  </w:num>
  <w:num w:numId="7" w16cid:durableId="152621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77"/>
    <w:rsid w:val="000156A4"/>
    <w:rsid w:val="00031529"/>
    <w:rsid w:val="000512F3"/>
    <w:rsid w:val="00070A11"/>
    <w:rsid w:val="00077226"/>
    <w:rsid w:val="00081A50"/>
    <w:rsid w:val="000A6E7D"/>
    <w:rsid w:val="000C0B6C"/>
    <w:rsid w:val="000D367A"/>
    <w:rsid w:val="000D79E8"/>
    <w:rsid w:val="000E2FEC"/>
    <w:rsid w:val="000E3342"/>
    <w:rsid w:val="0010050D"/>
    <w:rsid w:val="00115B5B"/>
    <w:rsid w:val="00137ADF"/>
    <w:rsid w:val="0016536B"/>
    <w:rsid w:val="001B53F2"/>
    <w:rsid w:val="001C2129"/>
    <w:rsid w:val="001D5331"/>
    <w:rsid w:val="001E1E8F"/>
    <w:rsid w:val="001F16DF"/>
    <w:rsid w:val="00215A29"/>
    <w:rsid w:val="002609EF"/>
    <w:rsid w:val="002627D9"/>
    <w:rsid w:val="002717B7"/>
    <w:rsid w:val="002A1745"/>
    <w:rsid w:val="003264D1"/>
    <w:rsid w:val="0034129C"/>
    <w:rsid w:val="00351BE7"/>
    <w:rsid w:val="00380541"/>
    <w:rsid w:val="003C2077"/>
    <w:rsid w:val="004009BA"/>
    <w:rsid w:val="00485C8C"/>
    <w:rsid w:val="004967F8"/>
    <w:rsid w:val="004A4B81"/>
    <w:rsid w:val="004D004A"/>
    <w:rsid w:val="00513C05"/>
    <w:rsid w:val="00521D42"/>
    <w:rsid w:val="00525E14"/>
    <w:rsid w:val="00584267"/>
    <w:rsid w:val="0059404F"/>
    <w:rsid w:val="005B085F"/>
    <w:rsid w:val="005B7670"/>
    <w:rsid w:val="006232B1"/>
    <w:rsid w:val="006243F9"/>
    <w:rsid w:val="00664106"/>
    <w:rsid w:val="006650C9"/>
    <w:rsid w:val="00672E46"/>
    <w:rsid w:val="00685C30"/>
    <w:rsid w:val="006B110B"/>
    <w:rsid w:val="006B6495"/>
    <w:rsid w:val="006C7F12"/>
    <w:rsid w:val="006D4376"/>
    <w:rsid w:val="006F7056"/>
    <w:rsid w:val="00761002"/>
    <w:rsid w:val="00763ABA"/>
    <w:rsid w:val="007A1CFB"/>
    <w:rsid w:val="007B567A"/>
    <w:rsid w:val="007F5D12"/>
    <w:rsid w:val="00802965"/>
    <w:rsid w:val="00802E3B"/>
    <w:rsid w:val="00807EC4"/>
    <w:rsid w:val="008215F3"/>
    <w:rsid w:val="00822D81"/>
    <w:rsid w:val="00871AA2"/>
    <w:rsid w:val="008B5EC0"/>
    <w:rsid w:val="008C21C5"/>
    <w:rsid w:val="009126F8"/>
    <w:rsid w:val="0093245B"/>
    <w:rsid w:val="00963D5E"/>
    <w:rsid w:val="00981A1E"/>
    <w:rsid w:val="009870C2"/>
    <w:rsid w:val="009946CE"/>
    <w:rsid w:val="009B0592"/>
    <w:rsid w:val="00A02F76"/>
    <w:rsid w:val="00A17AF6"/>
    <w:rsid w:val="00A2734F"/>
    <w:rsid w:val="00A46029"/>
    <w:rsid w:val="00A60D8E"/>
    <w:rsid w:val="00A61977"/>
    <w:rsid w:val="00A85BC4"/>
    <w:rsid w:val="00A86A13"/>
    <w:rsid w:val="00A91DCD"/>
    <w:rsid w:val="00AB505F"/>
    <w:rsid w:val="00AB5B6E"/>
    <w:rsid w:val="00AD3C94"/>
    <w:rsid w:val="00B14AE9"/>
    <w:rsid w:val="00B236E7"/>
    <w:rsid w:val="00B5124D"/>
    <w:rsid w:val="00BC1D3A"/>
    <w:rsid w:val="00BF639A"/>
    <w:rsid w:val="00C41B01"/>
    <w:rsid w:val="00C80F77"/>
    <w:rsid w:val="00C97BF3"/>
    <w:rsid w:val="00C97C33"/>
    <w:rsid w:val="00CB4E9C"/>
    <w:rsid w:val="00CD00AA"/>
    <w:rsid w:val="00CD24DE"/>
    <w:rsid w:val="00D03D45"/>
    <w:rsid w:val="00D122D6"/>
    <w:rsid w:val="00D20DA3"/>
    <w:rsid w:val="00D302BE"/>
    <w:rsid w:val="00D3707D"/>
    <w:rsid w:val="00D63267"/>
    <w:rsid w:val="00DB2774"/>
    <w:rsid w:val="00DE0F6C"/>
    <w:rsid w:val="00E16D9B"/>
    <w:rsid w:val="00E859CF"/>
    <w:rsid w:val="00EC4A31"/>
    <w:rsid w:val="00ED5285"/>
    <w:rsid w:val="00F10494"/>
    <w:rsid w:val="00F3571D"/>
    <w:rsid w:val="00F41BD7"/>
    <w:rsid w:val="00F66637"/>
    <w:rsid w:val="00F82276"/>
    <w:rsid w:val="00FA7CFC"/>
    <w:rsid w:val="00FB3856"/>
    <w:rsid w:val="00FC7D70"/>
    <w:rsid w:val="00FD0DCE"/>
    <w:rsid w:val="00FD4FF7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4D85F7"/>
  <w15:chartTrackingRefBased/>
  <w15:docId w15:val="{EDC7F428-D666-4A6C-873A-6549EE62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077"/>
  </w:style>
  <w:style w:type="paragraph" w:styleId="Nadpis1">
    <w:name w:val="heading 1"/>
    <w:basedOn w:val="Normln"/>
    <w:next w:val="Normln"/>
    <w:link w:val="Nadpis1Char"/>
    <w:uiPriority w:val="9"/>
    <w:qFormat/>
    <w:rsid w:val="003C2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2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207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C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C2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C2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20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2077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C2077"/>
    <w:rPr>
      <w:vertAlign w:val="superscript"/>
    </w:rPr>
  </w:style>
  <w:style w:type="character" w:customStyle="1" w:styleId="TextpoznpodarouChar14">
    <w:name w:val="Text pozn. pod čarou Char14"/>
    <w:aliases w:val="Text poznámky pod čiarou 007 Char14,Footnote Char14,pozn. pod čarou Char14,Schriftart: 9 pt Char14,Schriftart: 10 pt Char14,Schriftart: 8 pt Char14,Podrozdział Char14,Podrozdzia3 Char14,Char1 Char14,Fußnotentextf Char14"/>
    <w:basedOn w:val="Standardnpsmoodstavce"/>
    <w:uiPriority w:val="99"/>
    <w:rsid w:val="00A85BC4"/>
    <w:rPr>
      <w:sz w:val="18"/>
      <w:szCs w:val="20"/>
    </w:rPr>
  </w:style>
  <w:style w:type="paragraph" w:styleId="Odstavecseseznamem">
    <w:name w:val="List Paragraph"/>
    <w:basedOn w:val="Normln"/>
    <w:uiPriority w:val="34"/>
    <w:qFormat/>
    <w:rsid w:val="00A85B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5B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5B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5BC4"/>
    <w:rPr>
      <w:sz w:val="20"/>
      <w:szCs w:val="20"/>
    </w:rPr>
  </w:style>
  <w:style w:type="paragraph" w:customStyle="1" w:styleId="Tabulkatext">
    <w:name w:val="Tabulka text"/>
    <w:link w:val="TabulkatextChar"/>
    <w:uiPriority w:val="6"/>
    <w:qFormat/>
    <w:rsid w:val="00A85BC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85BC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C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B01"/>
  </w:style>
  <w:style w:type="paragraph" w:styleId="Zpat">
    <w:name w:val="footer"/>
    <w:basedOn w:val="Normln"/>
    <w:link w:val="ZpatChar"/>
    <w:uiPriority w:val="99"/>
    <w:unhideWhenUsed/>
    <w:rsid w:val="00C4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B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07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6536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D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3C0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E85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ohs.cz/download/Sekce_VP/VP_update/prirucka-k-premenam-podniku-rev-kveten-2021.pdf" TargetMode="External"/><Relationship Id="rId2" Type="http://schemas.openxmlformats.org/officeDocument/2006/relationships/hyperlink" Target="https://www.uohs.cz/download/Sekce_VP/VP_update/Prirucka-k-pojmu-jeden-podnik_rev-kveten-2021.pdf" TargetMode="External"/><Relationship Id="rId1" Type="http://schemas.openxmlformats.org/officeDocument/2006/relationships/hyperlink" Target="https://www.uohs.cz/cs/verejna-podpora.html" TargetMode="External"/><Relationship Id="rId4" Type="http://schemas.openxmlformats.org/officeDocument/2006/relationships/hyperlink" Target="https://www.dotaceeu.cz/Dotace/media/SF/NOK/P%C5%99edb%C4%9B%C5%BEn%C3%A9%20podm%C3%ADnky/Slu%C5%BEby%20obecn%C3%A9ho%20hospod%C3%A1%C5%99sk%C3%A9ho%20z%C3%A1jmu/Manual-SOHZ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48A3-65E5-4713-BE0D-E59F708F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1482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Oltová Jana Mgr. Bc. (MPSV)</dc:creator>
  <cp:keywords/>
  <dc:description/>
  <cp:lastModifiedBy>Keprová Lydie Mgr. (MPSV)</cp:lastModifiedBy>
  <cp:revision>8</cp:revision>
  <cp:lastPrinted>2022-02-03T08:51:00Z</cp:lastPrinted>
  <dcterms:created xsi:type="dcterms:W3CDTF">2024-01-04T14:26:00Z</dcterms:created>
  <dcterms:modified xsi:type="dcterms:W3CDTF">2024-01-08T14:03:00Z</dcterms:modified>
</cp:coreProperties>
</file>